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19B5" w14:textId="787FA756" w:rsidR="0015151F" w:rsidRPr="0015151F" w:rsidRDefault="002E7203" w:rsidP="002D342E">
      <w:pPr>
        <w:jc w:val="center"/>
        <w:rPr>
          <w:rFonts w:cs="Arial"/>
          <w:b/>
          <w:bCs/>
          <w:sz w:val="16"/>
          <w:szCs w:val="16"/>
        </w:rPr>
      </w:pPr>
      <w:r>
        <w:rPr>
          <w:noProof/>
        </w:rPr>
        <w:drawing>
          <wp:anchor distT="0" distB="0" distL="114300" distR="114300" simplePos="0" relativeHeight="251658240" behindDoc="0" locked="0" layoutInCell="1" allowOverlap="1" wp14:anchorId="54439470" wp14:editId="19C7C3BA">
            <wp:simplePos x="0" y="0"/>
            <wp:positionH relativeFrom="column">
              <wp:posOffset>4419142</wp:posOffset>
            </wp:positionH>
            <wp:positionV relativeFrom="paragraph">
              <wp:posOffset>-911314</wp:posOffset>
            </wp:positionV>
            <wp:extent cx="1554480" cy="91440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54480" cy="914400"/>
                    </a:xfrm>
                    <a:prstGeom prst="rect">
                      <a:avLst/>
                    </a:prstGeom>
                  </pic:spPr>
                </pic:pic>
              </a:graphicData>
            </a:graphic>
            <wp14:sizeRelH relativeFrom="margin">
              <wp14:pctWidth>0</wp14:pctWidth>
            </wp14:sizeRelH>
            <wp14:sizeRelV relativeFrom="margin">
              <wp14:pctHeight>0</wp14:pctHeight>
            </wp14:sizeRelV>
          </wp:anchor>
        </w:drawing>
      </w:r>
    </w:p>
    <w:p w14:paraId="4513420A" w14:textId="40D04DF9" w:rsidR="002D342E" w:rsidRPr="002E7203" w:rsidRDefault="0015151F" w:rsidP="002D342E">
      <w:pPr>
        <w:jc w:val="center"/>
        <w:rPr>
          <w:rFonts w:cs="Arial"/>
          <w:b/>
          <w:bCs/>
          <w:sz w:val="40"/>
          <w:szCs w:val="40"/>
        </w:rPr>
      </w:pPr>
      <w:r w:rsidRPr="002E7203">
        <w:rPr>
          <w:rFonts w:cs="Arial"/>
          <w:b/>
          <w:bCs/>
          <w:sz w:val="40"/>
          <w:szCs w:val="40"/>
        </w:rPr>
        <w:t>SEMINARARBEIT</w:t>
      </w:r>
    </w:p>
    <w:p w14:paraId="23BBDD74" w14:textId="792B7F0F" w:rsidR="0015151F" w:rsidRDefault="0015151F" w:rsidP="002D342E">
      <w:pPr>
        <w:jc w:val="center"/>
        <w:rPr>
          <w:rFonts w:cs="Arial"/>
          <w:sz w:val="48"/>
          <w:szCs w:val="48"/>
        </w:rPr>
      </w:pPr>
    </w:p>
    <w:p w14:paraId="14B64D13" w14:textId="14BC6D90" w:rsidR="0015151F" w:rsidRPr="0015151F" w:rsidRDefault="0015151F" w:rsidP="002D342E">
      <w:pPr>
        <w:jc w:val="center"/>
        <w:rPr>
          <w:rFonts w:cs="Arial"/>
          <w:sz w:val="24"/>
          <w:szCs w:val="24"/>
        </w:rPr>
      </w:pPr>
      <w:r>
        <w:rPr>
          <w:rFonts w:cs="Arial"/>
          <w:sz w:val="24"/>
          <w:szCs w:val="24"/>
        </w:rPr>
        <w:t>über das Thema</w:t>
      </w:r>
    </w:p>
    <w:p w14:paraId="564D39C3" w14:textId="54086291" w:rsidR="00F621B7" w:rsidRDefault="00F621B7" w:rsidP="002D342E">
      <w:pPr>
        <w:jc w:val="center"/>
        <w:rPr>
          <w:rFonts w:cs="Arial"/>
          <w:sz w:val="48"/>
          <w:szCs w:val="48"/>
        </w:rPr>
      </w:pPr>
    </w:p>
    <w:p w14:paraId="60BA41FF" w14:textId="62542E31" w:rsidR="0015151F" w:rsidRPr="00BC31CC" w:rsidRDefault="0015151F" w:rsidP="00BC31CC">
      <w:pPr>
        <w:jc w:val="center"/>
        <w:rPr>
          <w:rFonts w:cs="Arial"/>
          <w:b/>
          <w:bCs/>
          <w:sz w:val="40"/>
          <w:szCs w:val="40"/>
        </w:rPr>
      </w:pPr>
      <w:r w:rsidRPr="00BC31CC">
        <w:rPr>
          <w:rFonts w:cs="Arial"/>
          <w:b/>
          <w:bCs/>
          <w:sz w:val="40"/>
          <w:szCs w:val="40"/>
        </w:rPr>
        <w:t>„Kritische Evaluierung von Bankgebühren im Zeitalter hochgradiger Automatisation und Selbstbedienung“</w:t>
      </w:r>
    </w:p>
    <w:p w14:paraId="11C50484" w14:textId="77777777" w:rsidR="0015151F" w:rsidRDefault="0015151F" w:rsidP="0015151F">
      <w:pPr>
        <w:jc w:val="center"/>
        <w:rPr>
          <w:rFonts w:cs="Arial"/>
          <w:sz w:val="36"/>
          <w:szCs w:val="36"/>
        </w:rPr>
      </w:pPr>
    </w:p>
    <w:p w14:paraId="2E0C26E6" w14:textId="77777777" w:rsidR="0015151F" w:rsidRDefault="0015151F" w:rsidP="0015151F">
      <w:pPr>
        <w:jc w:val="center"/>
        <w:rPr>
          <w:rFonts w:cs="Arial"/>
          <w:sz w:val="36"/>
          <w:szCs w:val="36"/>
        </w:rPr>
      </w:pPr>
    </w:p>
    <w:p w14:paraId="78AE3119" w14:textId="77777777" w:rsidR="0015151F" w:rsidRDefault="0015151F" w:rsidP="0015151F">
      <w:pPr>
        <w:jc w:val="center"/>
        <w:rPr>
          <w:rFonts w:cs="Arial"/>
          <w:sz w:val="36"/>
          <w:szCs w:val="36"/>
        </w:rPr>
      </w:pPr>
    </w:p>
    <w:p w14:paraId="6EA02C55" w14:textId="233D107C" w:rsidR="00F621B7" w:rsidRDefault="0015151F" w:rsidP="0015151F">
      <w:pPr>
        <w:jc w:val="center"/>
        <w:rPr>
          <w:rFonts w:cs="Arial"/>
          <w:sz w:val="24"/>
          <w:szCs w:val="24"/>
        </w:rPr>
      </w:pPr>
      <w:r>
        <w:rPr>
          <w:rFonts w:cs="Arial"/>
          <w:sz w:val="24"/>
          <w:szCs w:val="24"/>
        </w:rPr>
        <w:t>im Rahmen der Lehrveranstaltung</w:t>
      </w:r>
    </w:p>
    <w:p w14:paraId="3FAE6B22" w14:textId="26311388" w:rsidR="0015151F" w:rsidRPr="0015151F" w:rsidRDefault="0015151F" w:rsidP="0015151F">
      <w:pPr>
        <w:jc w:val="center"/>
        <w:rPr>
          <w:rFonts w:cs="Arial"/>
          <w:sz w:val="24"/>
          <w:szCs w:val="24"/>
        </w:rPr>
      </w:pPr>
      <w:r>
        <w:rPr>
          <w:rFonts w:cs="Arial"/>
          <w:sz w:val="24"/>
          <w:szCs w:val="24"/>
        </w:rPr>
        <w:t>„4152 – Seminar aus BIS“</w:t>
      </w:r>
    </w:p>
    <w:p w14:paraId="4837AB0B" w14:textId="77777777" w:rsidR="0015151F" w:rsidRDefault="0015151F" w:rsidP="0015151F">
      <w:pPr>
        <w:jc w:val="center"/>
        <w:rPr>
          <w:rFonts w:cs="Arial"/>
          <w:sz w:val="24"/>
          <w:szCs w:val="24"/>
        </w:rPr>
      </w:pPr>
    </w:p>
    <w:p w14:paraId="635245BC" w14:textId="77777777" w:rsidR="0015151F" w:rsidRDefault="0015151F" w:rsidP="0015151F">
      <w:pPr>
        <w:jc w:val="center"/>
        <w:rPr>
          <w:rFonts w:cs="Arial"/>
          <w:sz w:val="24"/>
          <w:szCs w:val="24"/>
        </w:rPr>
      </w:pPr>
      <w:r>
        <w:rPr>
          <w:rFonts w:cs="Arial"/>
          <w:sz w:val="24"/>
          <w:szCs w:val="24"/>
        </w:rPr>
        <w:t>im Sommersemester 2021/22</w:t>
      </w:r>
    </w:p>
    <w:p w14:paraId="4599D20A" w14:textId="77777777" w:rsidR="0015151F" w:rsidRDefault="0015151F" w:rsidP="0015151F">
      <w:pPr>
        <w:jc w:val="center"/>
        <w:rPr>
          <w:rFonts w:cs="Arial"/>
          <w:sz w:val="24"/>
          <w:szCs w:val="24"/>
        </w:rPr>
      </w:pPr>
    </w:p>
    <w:p w14:paraId="43252B98" w14:textId="77777777" w:rsidR="0015151F" w:rsidRDefault="0015151F" w:rsidP="0015151F">
      <w:pPr>
        <w:jc w:val="center"/>
        <w:rPr>
          <w:rFonts w:cs="Arial"/>
          <w:sz w:val="24"/>
          <w:szCs w:val="24"/>
        </w:rPr>
      </w:pPr>
    </w:p>
    <w:p w14:paraId="24EDC315" w14:textId="77777777" w:rsidR="0015151F" w:rsidRDefault="0015151F" w:rsidP="0015151F">
      <w:pPr>
        <w:jc w:val="center"/>
        <w:rPr>
          <w:rFonts w:cs="Arial"/>
          <w:sz w:val="24"/>
          <w:szCs w:val="24"/>
        </w:rPr>
      </w:pPr>
      <w:r>
        <w:rPr>
          <w:rFonts w:cs="Arial"/>
          <w:sz w:val="24"/>
          <w:szCs w:val="24"/>
        </w:rPr>
        <w:t xml:space="preserve">Eingereicht bei: </w:t>
      </w:r>
    </w:p>
    <w:p w14:paraId="6E7413FB" w14:textId="1764102C" w:rsidR="0015151F" w:rsidRDefault="0015151F" w:rsidP="0015151F">
      <w:pPr>
        <w:jc w:val="center"/>
        <w:rPr>
          <w:rFonts w:cs="Arial"/>
          <w:sz w:val="24"/>
          <w:szCs w:val="24"/>
        </w:rPr>
      </w:pPr>
      <w:r>
        <w:rPr>
          <w:rFonts w:cs="Arial"/>
          <w:sz w:val="24"/>
          <w:szCs w:val="24"/>
        </w:rPr>
        <w:t xml:space="preserve">LV-Leiter: </w:t>
      </w:r>
      <w:proofErr w:type="spellStart"/>
      <w:r w:rsidRPr="0015151F">
        <w:rPr>
          <w:rFonts w:cs="Arial"/>
          <w:b/>
          <w:bCs/>
          <w:sz w:val="24"/>
          <w:szCs w:val="24"/>
        </w:rPr>
        <w:t>ao</w:t>
      </w:r>
      <w:proofErr w:type="spellEnd"/>
      <w:r w:rsidRPr="0015151F">
        <w:rPr>
          <w:rFonts w:cs="Arial"/>
          <w:b/>
          <w:bCs/>
          <w:sz w:val="24"/>
          <w:szCs w:val="24"/>
        </w:rPr>
        <w:t>. Univ. Prof. Dr. Rony G. Flatscher</w:t>
      </w:r>
    </w:p>
    <w:p w14:paraId="089ACF8F" w14:textId="77777777" w:rsidR="0015151F" w:rsidRDefault="0015151F" w:rsidP="0015151F">
      <w:pPr>
        <w:jc w:val="center"/>
        <w:rPr>
          <w:rFonts w:cs="Arial"/>
          <w:sz w:val="24"/>
          <w:szCs w:val="24"/>
        </w:rPr>
      </w:pPr>
      <w:r>
        <w:rPr>
          <w:rFonts w:cs="Arial"/>
          <w:sz w:val="24"/>
          <w:szCs w:val="24"/>
        </w:rPr>
        <w:tab/>
        <w:t>Institut für Wirtschaftsinformatik</w:t>
      </w:r>
    </w:p>
    <w:p w14:paraId="406542B9" w14:textId="5CE8BD2F" w:rsidR="0015151F" w:rsidRDefault="0015151F" w:rsidP="0015151F">
      <w:pPr>
        <w:jc w:val="center"/>
        <w:rPr>
          <w:rFonts w:cs="Arial"/>
          <w:sz w:val="24"/>
          <w:szCs w:val="24"/>
        </w:rPr>
      </w:pPr>
      <w:r>
        <w:rPr>
          <w:rFonts w:cs="Arial"/>
          <w:sz w:val="24"/>
          <w:szCs w:val="24"/>
        </w:rPr>
        <w:tab/>
        <w:t xml:space="preserve">Wirtschaftsuniversität Wien </w:t>
      </w:r>
    </w:p>
    <w:p w14:paraId="2FB4EE1A" w14:textId="77777777" w:rsidR="0015151F" w:rsidRDefault="0015151F" w:rsidP="0015151F">
      <w:pPr>
        <w:jc w:val="center"/>
        <w:rPr>
          <w:rFonts w:cs="Arial"/>
          <w:sz w:val="24"/>
          <w:szCs w:val="24"/>
        </w:rPr>
      </w:pPr>
    </w:p>
    <w:p w14:paraId="059FB677" w14:textId="77777777" w:rsidR="0015151F" w:rsidRDefault="0015151F" w:rsidP="0015151F">
      <w:pPr>
        <w:jc w:val="center"/>
        <w:rPr>
          <w:rFonts w:cs="Arial"/>
          <w:sz w:val="24"/>
          <w:szCs w:val="24"/>
        </w:rPr>
      </w:pPr>
    </w:p>
    <w:p w14:paraId="2E56296D" w14:textId="77777777" w:rsidR="0015151F" w:rsidRDefault="0015151F" w:rsidP="0015151F">
      <w:pPr>
        <w:jc w:val="center"/>
        <w:rPr>
          <w:rFonts w:cs="Arial"/>
          <w:sz w:val="24"/>
          <w:szCs w:val="24"/>
        </w:rPr>
      </w:pPr>
      <w:r>
        <w:rPr>
          <w:rFonts w:cs="Arial"/>
          <w:sz w:val="24"/>
          <w:szCs w:val="24"/>
        </w:rPr>
        <w:t xml:space="preserve">Eingereicht von: </w:t>
      </w:r>
    </w:p>
    <w:p w14:paraId="682A85EE" w14:textId="77777777" w:rsidR="0015151F" w:rsidRPr="0015151F" w:rsidRDefault="0015151F" w:rsidP="0015151F">
      <w:pPr>
        <w:jc w:val="center"/>
        <w:rPr>
          <w:rFonts w:cs="Arial"/>
          <w:b/>
          <w:bCs/>
          <w:sz w:val="24"/>
          <w:szCs w:val="24"/>
        </w:rPr>
      </w:pPr>
      <w:r w:rsidRPr="0015151F">
        <w:rPr>
          <w:rFonts w:cs="Arial"/>
          <w:b/>
          <w:bCs/>
          <w:sz w:val="24"/>
          <w:szCs w:val="24"/>
        </w:rPr>
        <w:t>Hülya Baysal, 11801807</w:t>
      </w:r>
    </w:p>
    <w:p w14:paraId="52D2685F" w14:textId="77777777" w:rsidR="0015151F" w:rsidRDefault="0015151F" w:rsidP="0015151F">
      <w:pPr>
        <w:jc w:val="center"/>
        <w:rPr>
          <w:rFonts w:cs="Arial"/>
          <w:sz w:val="24"/>
          <w:szCs w:val="24"/>
        </w:rPr>
      </w:pPr>
    </w:p>
    <w:p w14:paraId="6B3D6ADA" w14:textId="77777777" w:rsidR="0015151F" w:rsidRDefault="0015151F" w:rsidP="00A91C6D">
      <w:pPr>
        <w:jc w:val="center"/>
        <w:rPr>
          <w:rFonts w:cs="Arial"/>
          <w:sz w:val="24"/>
          <w:szCs w:val="24"/>
        </w:rPr>
      </w:pPr>
    </w:p>
    <w:p w14:paraId="0CE19A3C" w14:textId="635C3AA6" w:rsidR="00940A8C" w:rsidRDefault="0015151F" w:rsidP="00333527">
      <w:pPr>
        <w:jc w:val="center"/>
        <w:rPr>
          <w:sz w:val="28"/>
          <w:szCs w:val="36"/>
        </w:rPr>
      </w:pPr>
      <w:r>
        <w:rPr>
          <w:rFonts w:cs="Arial"/>
          <w:sz w:val="24"/>
          <w:szCs w:val="24"/>
        </w:rPr>
        <w:t xml:space="preserve">Wien, am </w:t>
      </w:r>
      <w:r w:rsidR="00A05918">
        <w:rPr>
          <w:rFonts w:cs="Arial"/>
          <w:sz w:val="24"/>
          <w:szCs w:val="24"/>
        </w:rPr>
        <w:t>01.06</w:t>
      </w:r>
      <w:r>
        <w:rPr>
          <w:rFonts w:cs="Arial"/>
          <w:sz w:val="24"/>
          <w:szCs w:val="24"/>
        </w:rPr>
        <w:t>.2021</w:t>
      </w:r>
      <w:r w:rsidR="00EF154C">
        <w:rPr>
          <w:sz w:val="28"/>
          <w:szCs w:val="36"/>
        </w:rPr>
        <w:br w:type="page"/>
      </w:r>
    </w:p>
    <w:p w14:paraId="4AD155F1" w14:textId="60DE03A0" w:rsidR="00940A8C" w:rsidRPr="003A25BC" w:rsidRDefault="000A6171" w:rsidP="003A25BC">
      <w:pPr>
        <w:spacing w:after="120"/>
        <w:jc w:val="both"/>
        <w:rPr>
          <w:b/>
          <w:bCs/>
          <w:sz w:val="24"/>
          <w:szCs w:val="24"/>
        </w:rPr>
      </w:pPr>
      <w:r w:rsidRPr="003A25BC">
        <w:rPr>
          <w:b/>
          <w:bCs/>
          <w:sz w:val="24"/>
          <w:szCs w:val="24"/>
        </w:rPr>
        <w:lastRenderedPageBreak/>
        <w:t>Eidesstattliche</w:t>
      </w:r>
      <w:r w:rsidRPr="003A25BC">
        <w:rPr>
          <w:sz w:val="24"/>
          <w:szCs w:val="24"/>
        </w:rPr>
        <w:t xml:space="preserve"> </w:t>
      </w:r>
      <w:r w:rsidR="00940A8C" w:rsidRPr="003A25BC">
        <w:rPr>
          <w:b/>
          <w:bCs/>
          <w:sz w:val="24"/>
          <w:szCs w:val="24"/>
        </w:rPr>
        <w:t>Erklärung</w:t>
      </w:r>
    </w:p>
    <w:p w14:paraId="7F3D286C" w14:textId="5CE29A74" w:rsidR="00710FFD" w:rsidRPr="003A25BC" w:rsidRDefault="00710FFD" w:rsidP="003A25BC">
      <w:pPr>
        <w:spacing w:after="120"/>
        <w:jc w:val="both"/>
        <w:rPr>
          <w:b/>
          <w:bCs/>
          <w:sz w:val="24"/>
          <w:szCs w:val="24"/>
        </w:rPr>
      </w:pPr>
      <w:r w:rsidRPr="003A25BC">
        <w:rPr>
          <w:sz w:val="24"/>
          <w:szCs w:val="24"/>
        </w:rPr>
        <w:t>Hiermit erkläre ich eidesstattlich, dass die vorliegende Arbeit selbstständig und ohne fremde Hilfe verfasst wurde. Ich habe alle direkten und indirekten Zitate deutlich gekennzeichnet und die Quellen im Literaturverzeichnis korrekt angegeben.</w:t>
      </w:r>
    </w:p>
    <w:p w14:paraId="31EF8778" w14:textId="77777777" w:rsidR="000A6171" w:rsidRPr="003A25BC" w:rsidRDefault="000A6171" w:rsidP="003A25BC">
      <w:pPr>
        <w:spacing w:after="120"/>
        <w:jc w:val="both"/>
        <w:rPr>
          <w:b/>
          <w:bCs/>
          <w:sz w:val="24"/>
          <w:szCs w:val="24"/>
        </w:rPr>
      </w:pPr>
    </w:p>
    <w:p w14:paraId="4C57A342" w14:textId="4573402E" w:rsidR="000A6171" w:rsidRPr="003A25BC" w:rsidRDefault="008E24A0" w:rsidP="003A25BC">
      <w:pPr>
        <w:spacing w:after="120"/>
        <w:jc w:val="both"/>
        <w:rPr>
          <w:sz w:val="24"/>
          <w:szCs w:val="24"/>
        </w:rPr>
      </w:pPr>
      <w:r w:rsidRPr="003A25BC">
        <w:rPr>
          <w:sz w:val="24"/>
          <w:szCs w:val="24"/>
        </w:rPr>
        <w:t>Datum:</w:t>
      </w:r>
      <w:r w:rsidR="000131E9" w:rsidRPr="003A25BC">
        <w:rPr>
          <w:sz w:val="24"/>
          <w:szCs w:val="24"/>
        </w:rPr>
        <w:tab/>
      </w:r>
      <w:r w:rsidR="00C41F68">
        <w:rPr>
          <w:sz w:val="24"/>
          <w:szCs w:val="24"/>
        </w:rPr>
        <w:t>01.06</w:t>
      </w:r>
      <w:r w:rsidR="000131E9" w:rsidRPr="003A25BC">
        <w:rPr>
          <w:sz w:val="24"/>
          <w:szCs w:val="24"/>
        </w:rPr>
        <w:t>.2021</w:t>
      </w:r>
    </w:p>
    <w:p w14:paraId="5F0497F0" w14:textId="14CCD769" w:rsidR="008E24A0" w:rsidRPr="003A25BC" w:rsidRDefault="008E24A0" w:rsidP="003A25BC">
      <w:pPr>
        <w:spacing w:after="120"/>
        <w:jc w:val="both"/>
        <w:rPr>
          <w:sz w:val="24"/>
          <w:szCs w:val="24"/>
        </w:rPr>
      </w:pPr>
      <w:r w:rsidRPr="003A25BC">
        <w:rPr>
          <w:sz w:val="24"/>
          <w:szCs w:val="24"/>
        </w:rPr>
        <w:t>Unterschrift:</w:t>
      </w:r>
      <w:r w:rsidR="00E10D49" w:rsidRPr="003A25BC">
        <w:rPr>
          <w:sz w:val="24"/>
          <w:szCs w:val="24"/>
        </w:rPr>
        <w:tab/>
      </w:r>
      <w:r w:rsidR="003645EB" w:rsidRPr="003645EB">
        <w:rPr>
          <w:rFonts w:ascii="Brush Script MT" w:hAnsi="Brush Script MT"/>
          <w:sz w:val="32"/>
          <w:szCs w:val="32"/>
        </w:rPr>
        <w:t>Hülya Baysal</w:t>
      </w:r>
    </w:p>
    <w:p w14:paraId="11B45DD8" w14:textId="77777777" w:rsidR="000A6171" w:rsidRPr="003A25BC" w:rsidRDefault="000A6171" w:rsidP="003A25BC">
      <w:pPr>
        <w:spacing w:after="120"/>
        <w:jc w:val="both"/>
        <w:rPr>
          <w:b/>
          <w:bCs/>
          <w:sz w:val="24"/>
          <w:szCs w:val="24"/>
        </w:rPr>
      </w:pPr>
    </w:p>
    <w:p w14:paraId="200868CF" w14:textId="77777777" w:rsidR="000A6171" w:rsidRPr="003A25BC" w:rsidRDefault="000A6171" w:rsidP="003A25BC">
      <w:pPr>
        <w:spacing w:after="120"/>
        <w:jc w:val="both"/>
        <w:rPr>
          <w:b/>
          <w:bCs/>
          <w:sz w:val="24"/>
          <w:szCs w:val="24"/>
        </w:rPr>
      </w:pPr>
    </w:p>
    <w:p w14:paraId="6D272295" w14:textId="77777777" w:rsidR="000A6171" w:rsidRPr="003A25BC" w:rsidRDefault="000A6171" w:rsidP="003A25BC">
      <w:pPr>
        <w:spacing w:after="120"/>
        <w:jc w:val="both"/>
        <w:rPr>
          <w:b/>
          <w:bCs/>
          <w:sz w:val="24"/>
          <w:szCs w:val="24"/>
        </w:rPr>
      </w:pPr>
    </w:p>
    <w:p w14:paraId="13FF6BAA" w14:textId="7DA990DB" w:rsidR="000A6171" w:rsidRPr="003A25BC" w:rsidRDefault="00940A8C" w:rsidP="003A25BC">
      <w:pPr>
        <w:spacing w:after="120"/>
        <w:jc w:val="both"/>
        <w:rPr>
          <w:b/>
          <w:bCs/>
          <w:sz w:val="24"/>
          <w:szCs w:val="24"/>
        </w:rPr>
      </w:pPr>
      <w:r w:rsidRPr="003A25BC">
        <w:rPr>
          <w:b/>
          <w:bCs/>
          <w:sz w:val="24"/>
          <w:szCs w:val="24"/>
        </w:rPr>
        <w:t>Gender-Erklärung</w:t>
      </w:r>
    </w:p>
    <w:p w14:paraId="407385B5" w14:textId="7C0D1305" w:rsidR="000A6171" w:rsidRPr="003A25BC" w:rsidRDefault="000A6171" w:rsidP="003A25BC">
      <w:pPr>
        <w:spacing w:after="120"/>
        <w:jc w:val="both"/>
        <w:rPr>
          <w:b/>
          <w:bCs/>
          <w:sz w:val="24"/>
          <w:szCs w:val="24"/>
        </w:rPr>
      </w:pPr>
      <w:r w:rsidRPr="003A25BC">
        <w:rPr>
          <w:sz w:val="24"/>
          <w:szCs w:val="24"/>
        </w:rPr>
        <w:t xml:space="preserve">Aus Gründen der besseren Lesbarkeit wird in dieser </w:t>
      </w:r>
      <w:r w:rsidR="00062ED5">
        <w:rPr>
          <w:sz w:val="24"/>
          <w:szCs w:val="24"/>
        </w:rPr>
        <w:t>Seminararbeit</w:t>
      </w:r>
      <w:r w:rsidRPr="003A25BC">
        <w:rPr>
          <w:sz w:val="24"/>
          <w:szCs w:val="24"/>
        </w:rPr>
        <w:t xml:space="preserve"> die Sprachform des generischen Maskulinums angewendet. Es wird an dieser Stelle darauf hingewiesen, dass die ausschließliche Verwendung der männlichen Form geschlechtsunabhängig verstanden werden soll.</w:t>
      </w:r>
    </w:p>
    <w:p w14:paraId="647350A9" w14:textId="48D2221D" w:rsidR="00333527" w:rsidRPr="00940A8C" w:rsidRDefault="00940A8C" w:rsidP="00940A8C">
      <w:pPr>
        <w:spacing w:after="200" w:line="276" w:lineRule="auto"/>
        <w:rPr>
          <w:sz w:val="28"/>
          <w:szCs w:val="36"/>
        </w:rPr>
      </w:pPr>
      <w:r>
        <w:rPr>
          <w:sz w:val="28"/>
          <w:szCs w:val="36"/>
        </w:rPr>
        <w:br w:type="page"/>
      </w:r>
    </w:p>
    <w:sdt>
      <w:sdtPr>
        <w:rPr>
          <w:rFonts w:ascii="Arial" w:eastAsiaTheme="minorHAnsi" w:hAnsi="Arial" w:cstheme="minorBidi"/>
          <w:color w:val="auto"/>
          <w:sz w:val="22"/>
          <w:szCs w:val="22"/>
          <w:lang w:val="de-DE" w:eastAsia="en-US"/>
        </w:rPr>
        <w:id w:val="-1783724069"/>
        <w:docPartObj>
          <w:docPartGallery w:val="Table of Contents"/>
          <w:docPartUnique/>
        </w:docPartObj>
      </w:sdtPr>
      <w:sdtEndPr>
        <w:rPr>
          <w:b/>
          <w:bCs/>
        </w:rPr>
      </w:sdtEndPr>
      <w:sdtContent>
        <w:p w14:paraId="1D148F53" w14:textId="276E369C" w:rsidR="006C61B6" w:rsidRPr="00B12D11" w:rsidRDefault="00963335" w:rsidP="00FB29B6">
          <w:pPr>
            <w:pStyle w:val="Inhaltsverzeichnisberschrift"/>
            <w:rPr>
              <w:rFonts w:ascii="Arial" w:hAnsi="Arial" w:cs="Arial"/>
              <w:b/>
              <w:bCs/>
              <w:color w:val="auto"/>
              <w:lang w:val="de-DE"/>
            </w:rPr>
          </w:pPr>
          <w:r w:rsidRPr="00B12D11">
            <w:rPr>
              <w:rFonts w:ascii="Arial" w:hAnsi="Arial" w:cs="Arial"/>
              <w:b/>
              <w:bCs/>
              <w:color w:val="auto"/>
              <w:lang w:val="de-DE"/>
            </w:rPr>
            <w:t>Inhaltsverzeichnis</w:t>
          </w:r>
        </w:p>
        <w:p w14:paraId="4A31B4FF" w14:textId="77777777" w:rsidR="00E666D1" w:rsidRPr="00E666D1" w:rsidRDefault="00E666D1" w:rsidP="00E666D1">
          <w:pPr>
            <w:rPr>
              <w:lang w:val="de-DE" w:eastAsia="de-AT"/>
            </w:rPr>
          </w:pPr>
        </w:p>
        <w:p w14:paraId="15990FC7" w14:textId="11DE7430" w:rsidR="00B12D11" w:rsidRDefault="006C61B6">
          <w:pPr>
            <w:pStyle w:val="Verzeichnis1"/>
            <w:rPr>
              <w:rFonts w:asciiTheme="minorHAnsi" w:eastAsiaTheme="minorEastAsia" w:hAnsiTheme="minorHAnsi"/>
              <w:noProof/>
              <w:lang w:eastAsia="de-AT"/>
            </w:rPr>
          </w:pPr>
          <w:r>
            <w:fldChar w:fldCharType="begin"/>
          </w:r>
          <w:r>
            <w:instrText xml:space="preserve"> TOC \o "1-3" \h \z \u </w:instrText>
          </w:r>
          <w:r>
            <w:fldChar w:fldCharType="separate"/>
          </w:r>
          <w:hyperlink w:anchor="_Toc73014938" w:history="1">
            <w:r w:rsidR="00B12D11" w:rsidRPr="00C563CF">
              <w:rPr>
                <w:rStyle w:val="Hyperlink"/>
                <w:noProof/>
              </w:rPr>
              <w:t>1</w:t>
            </w:r>
            <w:r w:rsidR="00B12D11">
              <w:rPr>
                <w:rFonts w:asciiTheme="minorHAnsi" w:eastAsiaTheme="minorEastAsia" w:hAnsiTheme="minorHAnsi"/>
                <w:noProof/>
                <w:lang w:eastAsia="de-AT"/>
              </w:rPr>
              <w:tab/>
            </w:r>
            <w:r w:rsidR="00B12D11" w:rsidRPr="00C563CF">
              <w:rPr>
                <w:rStyle w:val="Hyperlink"/>
                <w:noProof/>
              </w:rPr>
              <w:t>Abkürzungsverzeichnis</w:t>
            </w:r>
            <w:r w:rsidR="00B12D11">
              <w:rPr>
                <w:noProof/>
                <w:webHidden/>
              </w:rPr>
              <w:tab/>
            </w:r>
            <w:r w:rsidR="00B12D11">
              <w:rPr>
                <w:noProof/>
                <w:webHidden/>
              </w:rPr>
              <w:fldChar w:fldCharType="begin"/>
            </w:r>
            <w:r w:rsidR="00B12D11">
              <w:rPr>
                <w:noProof/>
                <w:webHidden/>
              </w:rPr>
              <w:instrText xml:space="preserve"> PAGEREF _Toc73014938 \h </w:instrText>
            </w:r>
            <w:r w:rsidR="00B12D11">
              <w:rPr>
                <w:noProof/>
                <w:webHidden/>
              </w:rPr>
            </w:r>
            <w:r w:rsidR="00B12D11">
              <w:rPr>
                <w:noProof/>
                <w:webHidden/>
              </w:rPr>
              <w:fldChar w:fldCharType="separate"/>
            </w:r>
            <w:r w:rsidR="00670350">
              <w:rPr>
                <w:noProof/>
                <w:webHidden/>
              </w:rPr>
              <w:t>4</w:t>
            </w:r>
            <w:r w:rsidR="00B12D11">
              <w:rPr>
                <w:noProof/>
                <w:webHidden/>
              </w:rPr>
              <w:fldChar w:fldCharType="end"/>
            </w:r>
          </w:hyperlink>
        </w:p>
        <w:p w14:paraId="2BFEF03A" w14:textId="242DF9AD" w:rsidR="00B12D11" w:rsidRDefault="00623D3F">
          <w:pPr>
            <w:pStyle w:val="Verzeichnis1"/>
            <w:rPr>
              <w:rFonts w:asciiTheme="minorHAnsi" w:eastAsiaTheme="minorEastAsia" w:hAnsiTheme="minorHAnsi"/>
              <w:noProof/>
              <w:lang w:eastAsia="de-AT"/>
            </w:rPr>
          </w:pPr>
          <w:hyperlink w:anchor="_Toc73014939" w:history="1">
            <w:r w:rsidR="00B12D11" w:rsidRPr="00C563CF">
              <w:rPr>
                <w:rStyle w:val="Hyperlink"/>
                <w:noProof/>
              </w:rPr>
              <w:t>2</w:t>
            </w:r>
            <w:r w:rsidR="00B12D11">
              <w:rPr>
                <w:rFonts w:asciiTheme="minorHAnsi" w:eastAsiaTheme="minorEastAsia" w:hAnsiTheme="minorHAnsi"/>
                <w:noProof/>
                <w:lang w:eastAsia="de-AT"/>
              </w:rPr>
              <w:tab/>
            </w:r>
            <w:r w:rsidR="00B12D11" w:rsidRPr="00C563CF">
              <w:rPr>
                <w:rStyle w:val="Hyperlink"/>
                <w:noProof/>
              </w:rPr>
              <w:t>Abbildungsverzeichnis</w:t>
            </w:r>
            <w:r w:rsidR="00B12D11">
              <w:rPr>
                <w:noProof/>
                <w:webHidden/>
              </w:rPr>
              <w:tab/>
            </w:r>
            <w:r w:rsidR="00B12D11">
              <w:rPr>
                <w:noProof/>
                <w:webHidden/>
              </w:rPr>
              <w:fldChar w:fldCharType="begin"/>
            </w:r>
            <w:r w:rsidR="00B12D11">
              <w:rPr>
                <w:noProof/>
                <w:webHidden/>
              </w:rPr>
              <w:instrText xml:space="preserve"> PAGEREF _Toc73014939 \h </w:instrText>
            </w:r>
            <w:r w:rsidR="00B12D11">
              <w:rPr>
                <w:noProof/>
                <w:webHidden/>
              </w:rPr>
            </w:r>
            <w:r w:rsidR="00B12D11">
              <w:rPr>
                <w:noProof/>
                <w:webHidden/>
              </w:rPr>
              <w:fldChar w:fldCharType="separate"/>
            </w:r>
            <w:r w:rsidR="00670350">
              <w:rPr>
                <w:noProof/>
                <w:webHidden/>
              </w:rPr>
              <w:t>4</w:t>
            </w:r>
            <w:r w:rsidR="00B12D11">
              <w:rPr>
                <w:noProof/>
                <w:webHidden/>
              </w:rPr>
              <w:fldChar w:fldCharType="end"/>
            </w:r>
          </w:hyperlink>
        </w:p>
        <w:p w14:paraId="6E52BDFB" w14:textId="53C05C67" w:rsidR="00B12D11" w:rsidRDefault="00623D3F">
          <w:pPr>
            <w:pStyle w:val="Verzeichnis1"/>
            <w:rPr>
              <w:rFonts w:asciiTheme="minorHAnsi" w:eastAsiaTheme="minorEastAsia" w:hAnsiTheme="minorHAnsi"/>
              <w:noProof/>
              <w:lang w:eastAsia="de-AT"/>
            </w:rPr>
          </w:pPr>
          <w:hyperlink w:anchor="_Toc73014940" w:history="1">
            <w:r w:rsidR="00B12D11" w:rsidRPr="00C563CF">
              <w:rPr>
                <w:rStyle w:val="Hyperlink"/>
                <w:noProof/>
              </w:rPr>
              <w:t>3</w:t>
            </w:r>
            <w:r w:rsidR="00B12D11">
              <w:rPr>
                <w:rFonts w:asciiTheme="minorHAnsi" w:eastAsiaTheme="minorEastAsia" w:hAnsiTheme="minorHAnsi"/>
                <w:noProof/>
                <w:lang w:eastAsia="de-AT"/>
              </w:rPr>
              <w:tab/>
            </w:r>
            <w:r w:rsidR="00B12D11" w:rsidRPr="00C563CF">
              <w:rPr>
                <w:rStyle w:val="Hyperlink"/>
                <w:noProof/>
              </w:rPr>
              <w:t>Tabellenverzeichnis</w:t>
            </w:r>
            <w:r w:rsidR="00B12D11">
              <w:rPr>
                <w:noProof/>
                <w:webHidden/>
              </w:rPr>
              <w:tab/>
            </w:r>
            <w:r w:rsidR="00B12D11">
              <w:rPr>
                <w:noProof/>
                <w:webHidden/>
              </w:rPr>
              <w:fldChar w:fldCharType="begin"/>
            </w:r>
            <w:r w:rsidR="00B12D11">
              <w:rPr>
                <w:noProof/>
                <w:webHidden/>
              </w:rPr>
              <w:instrText xml:space="preserve"> PAGEREF _Toc73014940 \h </w:instrText>
            </w:r>
            <w:r w:rsidR="00B12D11">
              <w:rPr>
                <w:noProof/>
                <w:webHidden/>
              </w:rPr>
            </w:r>
            <w:r w:rsidR="00B12D11">
              <w:rPr>
                <w:noProof/>
                <w:webHidden/>
              </w:rPr>
              <w:fldChar w:fldCharType="separate"/>
            </w:r>
            <w:r w:rsidR="00670350">
              <w:rPr>
                <w:noProof/>
                <w:webHidden/>
              </w:rPr>
              <w:t>5</w:t>
            </w:r>
            <w:r w:rsidR="00B12D11">
              <w:rPr>
                <w:noProof/>
                <w:webHidden/>
              </w:rPr>
              <w:fldChar w:fldCharType="end"/>
            </w:r>
          </w:hyperlink>
        </w:p>
        <w:p w14:paraId="774F2903" w14:textId="0E6D4E5F" w:rsidR="00B12D11" w:rsidRDefault="00623D3F">
          <w:pPr>
            <w:pStyle w:val="Verzeichnis1"/>
            <w:rPr>
              <w:rFonts w:asciiTheme="minorHAnsi" w:eastAsiaTheme="minorEastAsia" w:hAnsiTheme="minorHAnsi"/>
              <w:noProof/>
              <w:lang w:eastAsia="de-AT"/>
            </w:rPr>
          </w:pPr>
          <w:hyperlink w:anchor="_Toc73014941" w:history="1">
            <w:r w:rsidR="00B12D11" w:rsidRPr="00C563CF">
              <w:rPr>
                <w:rStyle w:val="Hyperlink"/>
                <w:noProof/>
              </w:rPr>
              <w:t>4</w:t>
            </w:r>
            <w:r w:rsidR="00B12D11">
              <w:rPr>
                <w:rFonts w:asciiTheme="minorHAnsi" w:eastAsiaTheme="minorEastAsia" w:hAnsiTheme="minorHAnsi"/>
                <w:noProof/>
                <w:lang w:eastAsia="de-AT"/>
              </w:rPr>
              <w:tab/>
            </w:r>
            <w:r w:rsidR="00B12D11" w:rsidRPr="00C563CF">
              <w:rPr>
                <w:rStyle w:val="Hyperlink"/>
                <w:noProof/>
              </w:rPr>
              <w:t>Einleitung</w:t>
            </w:r>
            <w:r w:rsidR="00B12D11">
              <w:rPr>
                <w:noProof/>
                <w:webHidden/>
              </w:rPr>
              <w:tab/>
            </w:r>
            <w:r w:rsidR="00B12D11">
              <w:rPr>
                <w:noProof/>
                <w:webHidden/>
              </w:rPr>
              <w:fldChar w:fldCharType="begin"/>
            </w:r>
            <w:r w:rsidR="00B12D11">
              <w:rPr>
                <w:noProof/>
                <w:webHidden/>
              </w:rPr>
              <w:instrText xml:space="preserve"> PAGEREF _Toc73014941 \h </w:instrText>
            </w:r>
            <w:r w:rsidR="00B12D11">
              <w:rPr>
                <w:noProof/>
                <w:webHidden/>
              </w:rPr>
            </w:r>
            <w:r w:rsidR="00B12D11">
              <w:rPr>
                <w:noProof/>
                <w:webHidden/>
              </w:rPr>
              <w:fldChar w:fldCharType="separate"/>
            </w:r>
            <w:r w:rsidR="00670350">
              <w:rPr>
                <w:noProof/>
                <w:webHidden/>
              </w:rPr>
              <w:t>6</w:t>
            </w:r>
            <w:r w:rsidR="00B12D11">
              <w:rPr>
                <w:noProof/>
                <w:webHidden/>
              </w:rPr>
              <w:fldChar w:fldCharType="end"/>
            </w:r>
          </w:hyperlink>
        </w:p>
        <w:p w14:paraId="32E54869" w14:textId="0080BDD8" w:rsidR="00B12D11" w:rsidRDefault="00623D3F">
          <w:pPr>
            <w:pStyle w:val="Verzeichnis1"/>
            <w:rPr>
              <w:rFonts w:asciiTheme="minorHAnsi" w:eastAsiaTheme="minorEastAsia" w:hAnsiTheme="minorHAnsi"/>
              <w:noProof/>
              <w:lang w:eastAsia="de-AT"/>
            </w:rPr>
          </w:pPr>
          <w:hyperlink w:anchor="_Toc73014942" w:history="1">
            <w:r w:rsidR="00B12D11" w:rsidRPr="00C563CF">
              <w:rPr>
                <w:rStyle w:val="Hyperlink"/>
                <w:noProof/>
              </w:rPr>
              <w:t>5</w:t>
            </w:r>
            <w:r w:rsidR="00B12D11">
              <w:rPr>
                <w:rFonts w:asciiTheme="minorHAnsi" w:eastAsiaTheme="minorEastAsia" w:hAnsiTheme="minorHAnsi"/>
                <w:noProof/>
                <w:lang w:eastAsia="de-AT"/>
              </w:rPr>
              <w:tab/>
            </w:r>
            <w:r w:rsidR="00B12D11" w:rsidRPr="00C563CF">
              <w:rPr>
                <w:rStyle w:val="Hyperlink"/>
                <w:noProof/>
              </w:rPr>
              <w:t>Gesetzliche Grundlagen im Kontext Gebühren</w:t>
            </w:r>
            <w:r w:rsidR="00B12D11">
              <w:rPr>
                <w:noProof/>
                <w:webHidden/>
              </w:rPr>
              <w:tab/>
            </w:r>
            <w:r w:rsidR="00B12D11">
              <w:rPr>
                <w:noProof/>
                <w:webHidden/>
              </w:rPr>
              <w:fldChar w:fldCharType="begin"/>
            </w:r>
            <w:r w:rsidR="00B12D11">
              <w:rPr>
                <w:noProof/>
                <w:webHidden/>
              </w:rPr>
              <w:instrText xml:space="preserve"> PAGEREF _Toc73014942 \h </w:instrText>
            </w:r>
            <w:r w:rsidR="00B12D11">
              <w:rPr>
                <w:noProof/>
                <w:webHidden/>
              </w:rPr>
            </w:r>
            <w:r w:rsidR="00B12D11">
              <w:rPr>
                <w:noProof/>
                <w:webHidden/>
              </w:rPr>
              <w:fldChar w:fldCharType="separate"/>
            </w:r>
            <w:r w:rsidR="00670350">
              <w:rPr>
                <w:noProof/>
                <w:webHidden/>
              </w:rPr>
              <w:t>7</w:t>
            </w:r>
            <w:r w:rsidR="00B12D11">
              <w:rPr>
                <w:noProof/>
                <w:webHidden/>
              </w:rPr>
              <w:fldChar w:fldCharType="end"/>
            </w:r>
          </w:hyperlink>
        </w:p>
        <w:p w14:paraId="2117A26A" w14:textId="3E73A2DA"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43" w:history="1">
            <w:r w:rsidR="00B12D11" w:rsidRPr="00C563CF">
              <w:rPr>
                <w:rStyle w:val="Hyperlink"/>
                <w:noProof/>
              </w:rPr>
              <w:t>5.1</w:t>
            </w:r>
            <w:r w:rsidR="00B12D11">
              <w:rPr>
                <w:rFonts w:asciiTheme="minorHAnsi" w:eastAsiaTheme="minorEastAsia" w:hAnsiTheme="minorHAnsi"/>
                <w:noProof/>
                <w:lang w:eastAsia="de-AT"/>
              </w:rPr>
              <w:tab/>
            </w:r>
            <w:r w:rsidR="00B12D11" w:rsidRPr="00C563CF">
              <w:rPr>
                <w:rStyle w:val="Hyperlink"/>
                <w:noProof/>
              </w:rPr>
              <w:t>Allgemeines</w:t>
            </w:r>
            <w:r w:rsidR="00B12D11">
              <w:rPr>
                <w:noProof/>
                <w:webHidden/>
              </w:rPr>
              <w:tab/>
            </w:r>
            <w:r w:rsidR="00B12D11">
              <w:rPr>
                <w:noProof/>
                <w:webHidden/>
              </w:rPr>
              <w:fldChar w:fldCharType="begin"/>
            </w:r>
            <w:r w:rsidR="00B12D11">
              <w:rPr>
                <w:noProof/>
                <w:webHidden/>
              </w:rPr>
              <w:instrText xml:space="preserve"> PAGEREF _Toc73014943 \h </w:instrText>
            </w:r>
            <w:r w:rsidR="00B12D11">
              <w:rPr>
                <w:noProof/>
                <w:webHidden/>
              </w:rPr>
            </w:r>
            <w:r w:rsidR="00B12D11">
              <w:rPr>
                <w:noProof/>
                <w:webHidden/>
              </w:rPr>
              <w:fldChar w:fldCharType="separate"/>
            </w:r>
            <w:r w:rsidR="00670350">
              <w:rPr>
                <w:noProof/>
                <w:webHidden/>
              </w:rPr>
              <w:t>7</w:t>
            </w:r>
            <w:r w:rsidR="00B12D11">
              <w:rPr>
                <w:noProof/>
                <w:webHidden/>
              </w:rPr>
              <w:fldChar w:fldCharType="end"/>
            </w:r>
          </w:hyperlink>
        </w:p>
        <w:p w14:paraId="22BE6DD0" w14:textId="2C0AC33F"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44" w:history="1">
            <w:r w:rsidR="00B12D11" w:rsidRPr="00C563CF">
              <w:rPr>
                <w:rStyle w:val="Hyperlink"/>
                <w:noProof/>
              </w:rPr>
              <w:t>5.2</w:t>
            </w:r>
            <w:r w:rsidR="00B12D11">
              <w:rPr>
                <w:rFonts w:asciiTheme="minorHAnsi" w:eastAsiaTheme="minorEastAsia" w:hAnsiTheme="minorHAnsi"/>
                <w:noProof/>
                <w:lang w:eastAsia="de-AT"/>
              </w:rPr>
              <w:tab/>
            </w:r>
            <w:r w:rsidR="00B12D11" w:rsidRPr="00C563CF">
              <w:rPr>
                <w:rStyle w:val="Hyperlink"/>
                <w:noProof/>
              </w:rPr>
              <w:t>Laesio enormis</w:t>
            </w:r>
            <w:r w:rsidR="00B12D11">
              <w:rPr>
                <w:noProof/>
                <w:webHidden/>
              </w:rPr>
              <w:tab/>
            </w:r>
            <w:r w:rsidR="00B12D11">
              <w:rPr>
                <w:noProof/>
                <w:webHidden/>
              </w:rPr>
              <w:fldChar w:fldCharType="begin"/>
            </w:r>
            <w:r w:rsidR="00B12D11">
              <w:rPr>
                <w:noProof/>
                <w:webHidden/>
              </w:rPr>
              <w:instrText xml:space="preserve"> PAGEREF _Toc73014944 \h </w:instrText>
            </w:r>
            <w:r w:rsidR="00B12D11">
              <w:rPr>
                <w:noProof/>
                <w:webHidden/>
              </w:rPr>
            </w:r>
            <w:r w:rsidR="00B12D11">
              <w:rPr>
                <w:noProof/>
                <w:webHidden/>
              </w:rPr>
              <w:fldChar w:fldCharType="separate"/>
            </w:r>
            <w:r w:rsidR="00670350">
              <w:rPr>
                <w:noProof/>
                <w:webHidden/>
              </w:rPr>
              <w:t>7</w:t>
            </w:r>
            <w:r w:rsidR="00B12D11">
              <w:rPr>
                <w:noProof/>
                <w:webHidden/>
              </w:rPr>
              <w:fldChar w:fldCharType="end"/>
            </w:r>
          </w:hyperlink>
        </w:p>
        <w:p w14:paraId="7E878BF7" w14:textId="2D5A2408"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45" w:history="1">
            <w:r w:rsidR="00B12D11" w:rsidRPr="00C563CF">
              <w:rPr>
                <w:rStyle w:val="Hyperlink"/>
                <w:noProof/>
              </w:rPr>
              <w:t>5.3</w:t>
            </w:r>
            <w:r w:rsidR="00B12D11">
              <w:rPr>
                <w:rFonts w:asciiTheme="minorHAnsi" w:eastAsiaTheme="minorEastAsia" w:hAnsiTheme="minorHAnsi"/>
                <w:noProof/>
                <w:lang w:eastAsia="de-AT"/>
              </w:rPr>
              <w:tab/>
            </w:r>
            <w:r w:rsidR="00B12D11" w:rsidRPr="00C563CF">
              <w:rPr>
                <w:rStyle w:val="Hyperlink"/>
                <w:noProof/>
              </w:rPr>
              <w:t>Wucher</w:t>
            </w:r>
            <w:r w:rsidR="00B12D11">
              <w:rPr>
                <w:noProof/>
                <w:webHidden/>
              </w:rPr>
              <w:tab/>
            </w:r>
            <w:r w:rsidR="00B12D11">
              <w:rPr>
                <w:noProof/>
                <w:webHidden/>
              </w:rPr>
              <w:fldChar w:fldCharType="begin"/>
            </w:r>
            <w:r w:rsidR="00B12D11">
              <w:rPr>
                <w:noProof/>
                <w:webHidden/>
              </w:rPr>
              <w:instrText xml:space="preserve"> PAGEREF _Toc73014945 \h </w:instrText>
            </w:r>
            <w:r w:rsidR="00B12D11">
              <w:rPr>
                <w:noProof/>
                <w:webHidden/>
              </w:rPr>
            </w:r>
            <w:r w:rsidR="00B12D11">
              <w:rPr>
                <w:noProof/>
                <w:webHidden/>
              </w:rPr>
              <w:fldChar w:fldCharType="separate"/>
            </w:r>
            <w:r w:rsidR="00670350">
              <w:rPr>
                <w:noProof/>
                <w:webHidden/>
              </w:rPr>
              <w:t>8</w:t>
            </w:r>
            <w:r w:rsidR="00B12D11">
              <w:rPr>
                <w:noProof/>
                <w:webHidden/>
              </w:rPr>
              <w:fldChar w:fldCharType="end"/>
            </w:r>
          </w:hyperlink>
        </w:p>
        <w:p w14:paraId="311186E8" w14:textId="517FCA8C"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46" w:history="1">
            <w:r w:rsidR="00B12D11" w:rsidRPr="00C563CF">
              <w:rPr>
                <w:rStyle w:val="Hyperlink"/>
                <w:noProof/>
              </w:rPr>
              <w:t>5.4</w:t>
            </w:r>
            <w:r w:rsidR="00B12D11">
              <w:rPr>
                <w:rFonts w:asciiTheme="minorHAnsi" w:eastAsiaTheme="minorEastAsia" w:hAnsiTheme="minorHAnsi"/>
                <w:noProof/>
                <w:lang w:eastAsia="de-AT"/>
              </w:rPr>
              <w:tab/>
            </w:r>
            <w:r w:rsidR="00B12D11" w:rsidRPr="00C563CF">
              <w:rPr>
                <w:rStyle w:val="Hyperlink"/>
                <w:noProof/>
              </w:rPr>
              <w:t>Kartellgesetz (KartG)</w:t>
            </w:r>
            <w:r w:rsidR="00B12D11">
              <w:rPr>
                <w:noProof/>
                <w:webHidden/>
              </w:rPr>
              <w:tab/>
            </w:r>
            <w:r w:rsidR="00B12D11">
              <w:rPr>
                <w:noProof/>
                <w:webHidden/>
              </w:rPr>
              <w:fldChar w:fldCharType="begin"/>
            </w:r>
            <w:r w:rsidR="00B12D11">
              <w:rPr>
                <w:noProof/>
                <w:webHidden/>
              </w:rPr>
              <w:instrText xml:space="preserve"> PAGEREF _Toc73014946 \h </w:instrText>
            </w:r>
            <w:r w:rsidR="00B12D11">
              <w:rPr>
                <w:noProof/>
                <w:webHidden/>
              </w:rPr>
            </w:r>
            <w:r w:rsidR="00B12D11">
              <w:rPr>
                <w:noProof/>
                <w:webHidden/>
              </w:rPr>
              <w:fldChar w:fldCharType="separate"/>
            </w:r>
            <w:r w:rsidR="00670350">
              <w:rPr>
                <w:noProof/>
                <w:webHidden/>
              </w:rPr>
              <w:t>8</w:t>
            </w:r>
            <w:r w:rsidR="00B12D11">
              <w:rPr>
                <w:noProof/>
                <w:webHidden/>
              </w:rPr>
              <w:fldChar w:fldCharType="end"/>
            </w:r>
          </w:hyperlink>
        </w:p>
        <w:p w14:paraId="087135A5" w14:textId="585278F9"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47" w:history="1">
            <w:r w:rsidR="00B12D11" w:rsidRPr="00C563CF">
              <w:rPr>
                <w:rStyle w:val="Hyperlink"/>
                <w:noProof/>
              </w:rPr>
              <w:t>5.5</w:t>
            </w:r>
            <w:r w:rsidR="00B12D11">
              <w:rPr>
                <w:rFonts w:asciiTheme="minorHAnsi" w:eastAsiaTheme="minorEastAsia" w:hAnsiTheme="minorHAnsi"/>
                <w:noProof/>
                <w:lang w:eastAsia="de-AT"/>
              </w:rPr>
              <w:tab/>
            </w:r>
            <w:r w:rsidR="00B12D11" w:rsidRPr="00C563CF">
              <w:rPr>
                <w:rStyle w:val="Hyperlink"/>
                <w:noProof/>
              </w:rPr>
              <w:t>Konsumentenschutzgesetz (KSchG)</w:t>
            </w:r>
            <w:r w:rsidR="00B12D11">
              <w:rPr>
                <w:noProof/>
                <w:webHidden/>
              </w:rPr>
              <w:tab/>
            </w:r>
            <w:r w:rsidR="00B12D11">
              <w:rPr>
                <w:noProof/>
                <w:webHidden/>
              </w:rPr>
              <w:fldChar w:fldCharType="begin"/>
            </w:r>
            <w:r w:rsidR="00B12D11">
              <w:rPr>
                <w:noProof/>
                <w:webHidden/>
              </w:rPr>
              <w:instrText xml:space="preserve"> PAGEREF _Toc73014947 \h </w:instrText>
            </w:r>
            <w:r w:rsidR="00B12D11">
              <w:rPr>
                <w:noProof/>
                <w:webHidden/>
              </w:rPr>
            </w:r>
            <w:r w:rsidR="00B12D11">
              <w:rPr>
                <w:noProof/>
                <w:webHidden/>
              </w:rPr>
              <w:fldChar w:fldCharType="separate"/>
            </w:r>
            <w:r w:rsidR="00670350">
              <w:rPr>
                <w:noProof/>
                <w:webHidden/>
              </w:rPr>
              <w:t>9</w:t>
            </w:r>
            <w:r w:rsidR="00B12D11">
              <w:rPr>
                <w:noProof/>
                <w:webHidden/>
              </w:rPr>
              <w:fldChar w:fldCharType="end"/>
            </w:r>
          </w:hyperlink>
        </w:p>
        <w:p w14:paraId="7A23B9BA" w14:textId="1069A664"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48" w:history="1">
            <w:r w:rsidR="00B12D11" w:rsidRPr="00C563CF">
              <w:rPr>
                <w:rStyle w:val="Hyperlink"/>
                <w:noProof/>
              </w:rPr>
              <w:t>5.6</w:t>
            </w:r>
            <w:r w:rsidR="00B12D11">
              <w:rPr>
                <w:rFonts w:asciiTheme="minorHAnsi" w:eastAsiaTheme="minorEastAsia" w:hAnsiTheme="minorHAnsi"/>
                <w:noProof/>
                <w:lang w:eastAsia="de-AT"/>
              </w:rPr>
              <w:tab/>
            </w:r>
            <w:r w:rsidR="00B12D11" w:rsidRPr="00C563CF">
              <w:rPr>
                <w:rStyle w:val="Hyperlink"/>
                <w:noProof/>
              </w:rPr>
              <w:t>Zahlungsdienstgesetz (ZaDiG)</w:t>
            </w:r>
            <w:r w:rsidR="00B12D11">
              <w:rPr>
                <w:noProof/>
                <w:webHidden/>
              </w:rPr>
              <w:tab/>
            </w:r>
            <w:r w:rsidR="00B12D11">
              <w:rPr>
                <w:noProof/>
                <w:webHidden/>
              </w:rPr>
              <w:fldChar w:fldCharType="begin"/>
            </w:r>
            <w:r w:rsidR="00B12D11">
              <w:rPr>
                <w:noProof/>
                <w:webHidden/>
              </w:rPr>
              <w:instrText xml:space="preserve"> PAGEREF _Toc73014948 \h </w:instrText>
            </w:r>
            <w:r w:rsidR="00B12D11">
              <w:rPr>
                <w:noProof/>
                <w:webHidden/>
              </w:rPr>
            </w:r>
            <w:r w:rsidR="00B12D11">
              <w:rPr>
                <w:noProof/>
                <w:webHidden/>
              </w:rPr>
              <w:fldChar w:fldCharType="separate"/>
            </w:r>
            <w:r w:rsidR="00670350">
              <w:rPr>
                <w:noProof/>
                <w:webHidden/>
              </w:rPr>
              <w:t>10</w:t>
            </w:r>
            <w:r w:rsidR="00B12D11">
              <w:rPr>
                <w:noProof/>
                <w:webHidden/>
              </w:rPr>
              <w:fldChar w:fldCharType="end"/>
            </w:r>
          </w:hyperlink>
        </w:p>
        <w:p w14:paraId="47991D04" w14:textId="6C0722A8" w:rsidR="00B12D11" w:rsidRDefault="00623D3F">
          <w:pPr>
            <w:pStyle w:val="Verzeichnis1"/>
            <w:rPr>
              <w:rFonts w:asciiTheme="minorHAnsi" w:eastAsiaTheme="minorEastAsia" w:hAnsiTheme="minorHAnsi"/>
              <w:noProof/>
              <w:lang w:eastAsia="de-AT"/>
            </w:rPr>
          </w:pPr>
          <w:hyperlink w:anchor="_Toc73014949" w:history="1">
            <w:r w:rsidR="00B12D11" w:rsidRPr="00C563CF">
              <w:rPr>
                <w:rStyle w:val="Hyperlink"/>
                <w:noProof/>
              </w:rPr>
              <w:t>6</w:t>
            </w:r>
            <w:r w:rsidR="00B12D11">
              <w:rPr>
                <w:rFonts w:asciiTheme="minorHAnsi" w:eastAsiaTheme="minorEastAsia" w:hAnsiTheme="minorHAnsi"/>
                <w:noProof/>
                <w:lang w:eastAsia="de-AT"/>
              </w:rPr>
              <w:tab/>
            </w:r>
            <w:r w:rsidR="00B12D11" w:rsidRPr="00C563CF">
              <w:rPr>
                <w:rStyle w:val="Hyperlink"/>
                <w:noProof/>
              </w:rPr>
              <w:t>Bankgebühren im Zeitalter von Hochautomatisierung und Selbstbedienung</w:t>
            </w:r>
            <w:r w:rsidR="00B12D11">
              <w:rPr>
                <w:noProof/>
                <w:webHidden/>
              </w:rPr>
              <w:tab/>
            </w:r>
            <w:r w:rsidR="00B12D11">
              <w:rPr>
                <w:noProof/>
                <w:webHidden/>
              </w:rPr>
              <w:fldChar w:fldCharType="begin"/>
            </w:r>
            <w:r w:rsidR="00B12D11">
              <w:rPr>
                <w:noProof/>
                <w:webHidden/>
              </w:rPr>
              <w:instrText xml:space="preserve"> PAGEREF _Toc73014949 \h </w:instrText>
            </w:r>
            <w:r w:rsidR="00B12D11">
              <w:rPr>
                <w:noProof/>
                <w:webHidden/>
              </w:rPr>
            </w:r>
            <w:r w:rsidR="00B12D11">
              <w:rPr>
                <w:noProof/>
                <w:webHidden/>
              </w:rPr>
              <w:fldChar w:fldCharType="separate"/>
            </w:r>
            <w:r w:rsidR="00670350">
              <w:rPr>
                <w:noProof/>
                <w:webHidden/>
              </w:rPr>
              <w:t>14</w:t>
            </w:r>
            <w:r w:rsidR="00B12D11">
              <w:rPr>
                <w:noProof/>
                <w:webHidden/>
              </w:rPr>
              <w:fldChar w:fldCharType="end"/>
            </w:r>
          </w:hyperlink>
        </w:p>
        <w:p w14:paraId="57FAF373" w14:textId="35F8AF09"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50" w:history="1">
            <w:r w:rsidR="00B12D11" w:rsidRPr="00C563CF">
              <w:rPr>
                <w:rStyle w:val="Hyperlink"/>
                <w:noProof/>
              </w:rPr>
              <w:t>6.1</w:t>
            </w:r>
            <w:r w:rsidR="00B12D11">
              <w:rPr>
                <w:rFonts w:asciiTheme="minorHAnsi" w:eastAsiaTheme="minorEastAsia" w:hAnsiTheme="minorHAnsi"/>
                <w:noProof/>
                <w:lang w:eastAsia="de-AT"/>
              </w:rPr>
              <w:tab/>
            </w:r>
            <w:r w:rsidR="00B12D11" w:rsidRPr="00C563CF">
              <w:rPr>
                <w:rStyle w:val="Hyperlink"/>
                <w:noProof/>
              </w:rPr>
              <w:t>Kontoführungsgebühren</w:t>
            </w:r>
            <w:r w:rsidR="00B12D11">
              <w:rPr>
                <w:noProof/>
                <w:webHidden/>
              </w:rPr>
              <w:tab/>
            </w:r>
            <w:r w:rsidR="00B12D11">
              <w:rPr>
                <w:noProof/>
                <w:webHidden/>
              </w:rPr>
              <w:fldChar w:fldCharType="begin"/>
            </w:r>
            <w:r w:rsidR="00B12D11">
              <w:rPr>
                <w:noProof/>
                <w:webHidden/>
              </w:rPr>
              <w:instrText xml:space="preserve"> PAGEREF _Toc73014950 \h </w:instrText>
            </w:r>
            <w:r w:rsidR="00B12D11">
              <w:rPr>
                <w:noProof/>
                <w:webHidden/>
              </w:rPr>
            </w:r>
            <w:r w:rsidR="00B12D11">
              <w:rPr>
                <w:noProof/>
                <w:webHidden/>
              </w:rPr>
              <w:fldChar w:fldCharType="separate"/>
            </w:r>
            <w:r w:rsidR="00670350">
              <w:rPr>
                <w:noProof/>
                <w:webHidden/>
              </w:rPr>
              <w:t>15</w:t>
            </w:r>
            <w:r w:rsidR="00B12D11">
              <w:rPr>
                <w:noProof/>
                <w:webHidden/>
              </w:rPr>
              <w:fldChar w:fldCharType="end"/>
            </w:r>
          </w:hyperlink>
        </w:p>
        <w:p w14:paraId="515A6A2D" w14:textId="318860C5"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51" w:history="1">
            <w:r w:rsidR="00B12D11" w:rsidRPr="00C563CF">
              <w:rPr>
                <w:rStyle w:val="Hyperlink"/>
                <w:noProof/>
              </w:rPr>
              <w:t>6.1.1</w:t>
            </w:r>
            <w:r w:rsidR="00B12D11">
              <w:rPr>
                <w:rFonts w:asciiTheme="minorHAnsi" w:eastAsiaTheme="minorEastAsia" w:hAnsiTheme="minorHAnsi"/>
                <w:noProof/>
                <w:lang w:eastAsia="de-AT"/>
              </w:rPr>
              <w:tab/>
            </w:r>
            <w:r w:rsidR="00B12D11" w:rsidRPr="00C563CF">
              <w:rPr>
                <w:rStyle w:val="Hyperlink"/>
                <w:noProof/>
              </w:rPr>
              <w:t>Überblick</w:t>
            </w:r>
            <w:r w:rsidR="00B12D11">
              <w:rPr>
                <w:noProof/>
                <w:webHidden/>
              </w:rPr>
              <w:tab/>
            </w:r>
            <w:r w:rsidR="00B12D11">
              <w:rPr>
                <w:noProof/>
                <w:webHidden/>
              </w:rPr>
              <w:fldChar w:fldCharType="begin"/>
            </w:r>
            <w:r w:rsidR="00B12D11">
              <w:rPr>
                <w:noProof/>
                <w:webHidden/>
              </w:rPr>
              <w:instrText xml:space="preserve"> PAGEREF _Toc73014951 \h </w:instrText>
            </w:r>
            <w:r w:rsidR="00B12D11">
              <w:rPr>
                <w:noProof/>
                <w:webHidden/>
              </w:rPr>
            </w:r>
            <w:r w:rsidR="00B12D11">
              <w:rPr>
                <w:noProof/>
                <w:webHidden/>
              </w:rPr>
              <w:fldChar w:fldCharType="separate"/>
            </w:r>
            <w:r w:rsidR="00670350">
              <w:rPr>
                <w:noProof/>
                <w:webHidden/>
              </w:rPr>
              <w:t>15</w:t>
            </w:r>
            <w:r w:rsidR="00B12D11">
              <w:rPr>
                <w:noProof/>
                <w:webHidden/>
              </w:rPr>
              <w:fldChar w:fldCharType="end"/>
            </w:r>
          </w:hyperlink>
        </w:p>
        <w:p w14:paraId="14A833AA" w14:textId="5C1A4400"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52" w:history="1">
            <w:r w:rsidR="00B12D11" w:rsidRPr="00C563CF">
              <w:rPr>
                <w:rStyle w:val="Hyperlink"/>
                <w:noProof/>
              </w:rPr>
              <w:t>6.1.2</w:t>
            </w:r>
            <w:r w:rsidR="00B12D11">
              <w:rPr>
                <w:rFonts w:asciiTheme="minorHAnsi" w:eastAsiaTheme="minorEastAsia" w:hAnsiTheme="minorHAnsi"/>
                <w:noProof/>
                <w:lang w:eastAsia="de-AT"/>
              </w:rPr>
              <w:tab/>
            </w:r>
            <w:r w:rsidR="00B12D11" w:rsidRPr="00C563CF">
              <w:rPr>
                <w:rStyle w:val="Hyperlink"/>
                <w:noProof/>
              </w:rPr>
              <w:t>Die geschätzten Kosten</w:t>
            </w:r>
            <w:r w:rsidR="00B12D11">
              <w:rPr>
                <w:noProof/>
                <w:webHidden/>
              </w:rPr>
              <w:tab/>
            </w:r>
            <w:r w:rsidR="00B12D11">
              <w:rPr>
                <w:noProof/>
                <w:webHidden/>
              </w:rPr>
              <w:fldChar w:fldCharType="begin"/>
            </w:r>
            <w:r w:rsidR="00B12D11">
              <w:rPr>
                <w:noProof/>
                <w:webHidden/>
              </w:rPr>
              <w:instrText xml:space="preserve"> PAGEREF _Toc73014952 \h </w:instrText>
            </w:r>
            <w:r w:rsidR="00B12D11">
              <w:rPr>
                <w:noProof/>
                <w:webHidden/>
              </w:rPr>
            </w:r>
            <w:r w:rsidR="00B12D11">
              <w:rPr>
                <w:noProof/>
                <w:webHidden/>
              </w:rPr>
              <w:fldChar w:fldCharType="separate"/>
            </w:r>
            <w:r w:rsidR="00670350">
              <w:rPr>
                <w:noProof/>
                <w:webHidden/>
              </w:rPr>
              <w:t>16</w:t>
            </w:r>
            <w:r w:rsidR="00B12D11">
              <w:rPr>
                <w:noProof/>
                <w:webHidden/>
              </w:rPr>
              <w:fldChar w:fldCharType="end"/>
            </w:r>
          </w:hyperlink>
        </w:p>
        <w:p w14:paraId="13D2C924" w14:textId="68046939"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53" w:history="1">
            <w:r w:rsidR="00B12D11" w:rsidRPr="00C563CF">
              <w:rPr>
                <w:rStyle w:val="Hyperlink"/>
                <w:noProof/>
              </w:rPr>
              <w:t>6.2</w:t>
            </w:r>
            <w:r w:rsidR="00B12D11">
              <w:rPr>
                <w:rFonts w:asciiTheme="minorHAnsi" w:eastAsiaTheme="minorEastAsia" w:hAnsiTheme="minorHAnsi"/>
                <w:noProof/>
                <w:lang w:eastAsia="de-AT"/>
              </w:rPr>
              <w:tab/>
            </w:r>
            <w:r w:rsidR="00B12D11" w:rsidRPr="00C563CF">
              <w:rPr>
                <w:rStyle w:val="Hyperlink"/>
                <w:noProof/>
              </w:rPr>
              <w:t>Gebühren für Kontoauszüge</w:t>
            </w:r>
            <w:r w:rsidR="00B12D11">
              <w:rPr>
                <w:noProof/>
                <w:webHidden/>
              </w:rPr>
              <w:tab/>
            </w:r>
            <w:r w:rsidR="00B12D11">
              <w:rPr>
                <w:noProof/>
                <w:webHidden/>
              </w:rPr>
              <w:fldChar w:fldCharType="begin"/>
            </w:r>
            <w:r w:rsidR="00B12D11">
              <w:rPr>
                <w:noProof/>
                <w:webHidden/>
              </w:rPr>
              <w:instrText xml:space="preserve"> PAGEREF _Toc73014953 \h </w:instrText>
            </w:r>
            <w:r w:rsidR="00B12D11">
              <w:rPr>
                <w:noProof/>
                <w:webHidden/>
              </w:rPr>
            </w:r>
            <w:r w:rsidR="00B12D11">
              <w:rPr>
                <w:noProof/>
                <w:webHidden/>
              </w:rPr>
              <w:fldChar w:fldCharType="separate"/>
            </w:r>
            <w:r w:rsidR="00670350">
              <w:rPr>
                <w:noProof/>
                <w:webHidden/>
              </w:rPr>
              <w:t>17</w:t>
            </w:r>
            <w:r w:rsidR="00B12D11">
              <w:rPr>
                <w:noProof/>
                <w:webHidden/>
              </w:rPr>
              <w:fldChar w:fldCharType="end"/>
            </w:r>
          </w:hyperlink>
        </w:p>
        <w:p w14:paraId="187B2F64" w14:textId="12C16B49"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54" w:history="1">
            <w:r w:rsidR="00B12D11" w:rsidRPr="00C563CF">
              <w:rPr>
                <w:rStyle w:val="Hyperlink"/>
                <w:noProof/>
              </w:rPr>
              <w:t>6.2.1</w:t>
            </w:r>
            <w:r w:rsidR="00B12D11">
              <w:rPr>
                <w:rFonts w:asciiTheme="minorHAnsi" w:eastAsiaTheme="minorEastAsia" w:hAnsiTheme="minorHAnsi"/>
                <w:noProof/>
                <w:lang w:eastAsia="de-AT"/>
              </w:rPr>
              <w:tab/>
            </w:r>
            <w:r w:rsidR="00B12D11" w:rsidRPr="00C563CF">
              <w:rPr>
                <w:rStyle w:val="Hyperlink"/>
                <w:noProof/>
              </w:rPr>
              <w:t>Zusendung eines Kontoauszuges</w:t>
            </w:r>
            <w:r w:rsidR="00B12D11">
              <w:rPr>
                <w:noProof/>
                <w:webHidden/>
              </w:rPr>
              <w:tab/>
            </w:r>
            <w:r w:rsidR="00B12D11">
              <w:rPr>
                <w:noProof/>
                <w:webHidden/>
              </w:rPr>
              <w:fldChar w:fldCharType="begin"/>
            </w:r>
            <w:r w:rsidR="00B12D11">
              <w:rPr>
                <w:noProof/>
                <w:webHidden/>
              </w:rPr>
              <w:instrText xml:space="preserve"> PAGEREF _Toc73014954 \h </w:instrText>
            </w:r>
            <w:r w:rsidR="00B12D11">
              <w:rPr>
                <w:noProof/>
                <w:webHidden/>
              </w:rPr>
            </w:r>
            <w:r w:rsidR="00B12D11">
              <w:rPr>
                <w:noProof/>
                <w:webHidden/>
              </w:rPr>
              <w:fldChar w:fldCharType="separate"/>
            </w:r>
            <w:r w:rsidR="00670350">
              <w:rPr>
                <w:noProof/>
                <w:webHidden/>
              </w:rPr>
              <w:t>17</w:t>
            </w:r>
            <w:r w:rsidR="00B12D11">
              <w:rPr>
                <w:noProof/>
                <w:webHidden/>
              </w:rPr>
              <w:fldChar w:fldCharType="end"/>
            </w:r>
          </w:hyperlink>
        </w:p>
        <w:p w14:paraId="48D5C37A" w14:textId="55171E76"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55" w:history="1">
            <w:r w:rsidR="00B12D11" w:rsidRPr="00C563CF">
              <w:rPr>
                <w:rStyle w:val="Hyperlink"/>
                <w:noProof/>
              </w:rPr>
              <w:t>6.2.2</w:t>
            </w:r>
            <w:r w:rsidR="00B12D11">
              <w:rPr>
                <w:rFonts w:asciiTheme="minorHAnsi" w:eastAsiaTheme="minorEastAsia" w:hAnsiTheme="minorHAnsi"/>
                <w:noProof/>
                <w:lang w:eastAsia="de-AT"/>
              </w:rPr>
              <w:tab/>
            </w:r>
            <w:r w:rsidR="00B12D11" w:rsidRPr="00C563CF">
              <w:rPr>
                <w:rStyle w:val="Hyperlink"/>
                <w:noProof/>
              </w:rPr>
              <w:t>Überblick</w:t>
            </w:r>
            <w:r w:rsidR="00B12D11">
              <w:rPr>
                <w:noProof/>
                <w:webHidden/>
              </w:rPr>
              <w:tab/>
            </w:r>
            <w:r w:rsidR="00B12D11">
              <w:rPr>
                <w:noProof/>
                <w:webHidden/>
              </w:rPr>
              <w:fldChar w:fldCharType="begin"/>
            </w:r>
            <w:r w:rsidR="00B12D11">
              <w:rPr>
                <w:noProof/>
                <w:webHidden/>
              </w:rPr>
              <w:instrText xml:space="preserve"> PAGEREF _Toc73014955 \h </w:instrText>
            </w:r>
            <w:r w:rsidR="00B12D11">
              <w:rPr>
                <w:noProof/>
                <w:webHidden/>
              </w:rPr>
            </w:r>
            <w:r w:rsidR="00B12D11">
              <w:rPr>
                <w:noProof/>
                <w:webHidden/>
              </w:rPr>
              <w:fldChar w:fldCharType="separate"/>
            </w:r>
            <w:r w:rsidR="00670350">
              <w:rPr>
                <w:noProof/>
                <w:webHidden/>
              </w:rPr>
              <w:t>17</w:t>
            </w:r>
            <w:r w:rsidR="00B12D11">
              <w:rPr>
                <w:noProof/>
                <w:webHidden/>
              </w:rPr>
              <w:fldChar w:fldCharType="end"/>
            </w:r>
          </w:hyperlink>
        </w:p>
        <w:p w14:paraId="4BB90958" w14:textId="47D90AE5"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56" w:history="1">
            <w:r w:rsidR="00B12D11" w:rsidRPr="00C563CF">
              <w:rPr>
                <w:rStyle w:val="Hyperlink"/>
                <w:noProof/>
              </w:rPr>
              <w:t>6.2.3</w:t>
            </w:r>
            <w:r w:rsidR="00B12D11">
              <w:rPr>
                <w:rFonts w:asciiTheme="minorHAnsi" w:eastAsiaTheme="minorEastAsia" w:hAnsiTheme="minorHAnsi"/>
                <w:noProof/>
                <w:lang w:eastAsia="de-AT"/>
              </w:rPr>
              <w:tab/>
            </w:r>
            <w:r w:rsidR="00B12D11" w:rsidRPr="00C563CF">
              <w:rPr>
                <w:rStyle w:val="Hyperlink"/>
                <w:noProof/>
              </w:rPr>
              <w:t>Die geschätzten Kosten</w:t>
            </w:r>
            <w:r w:rsidR="00B12D11">
              <w:rPr>
                <w:noProof/>
                <w:webHidden/>
              </w:rPr>
              <w:tab/>
            </w:r>
            <w:r w:rsidR="00B12D11">
              <w:rPr>
                <w:noProof/>
                <w:webHidden/>
              </w:rPr>
              <w:fldChar w:fldCharType="begin"/>
            </w:r>
            <w:r w:rsidR="00B12D11">
              <w:rPr>
                <w:noProof/>
                <w:webHidden/>
              </w:rPr>
              <w:instrText xml:space="preserve"> PAGEREF _Toc73014956 \h </w:instrText>
            </w:r>
            <w:r w:rsidR="00B12D11">
              <w:rPr>
                <w:noProof/>
                <w:webHidden/>
              </w:rPr>
            </w:r>
            <w:r w:rsidR="00B12D11">
              <w:rPr>
                <w:noProof/>
                <w:webHidden/>
              </w:rPr>
              <w:fldChar w:fldCharType="separate"/>
            </w:r>
            <w:r w:rsidR="00670350">
              <w:rPr>
                <w:noProof/>
                <w:webHidden/>
              </w:rPr>
              <w:t>18</w:t>
            </w:r>
            <w:r w:rsidR="00B12D11">
              <w:rPr>
                <w:noProof/>
                <w:webHidden/>
              </w:rPr>
              <w:fldChar w:fldCharType="end"/>
            </w:r>
          </w:hyperlink>
        </w:p>
        <w:p w14:paraId="14A84FA3" w14:textId="5CB0B729"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57" w:history="1">
            <w:r w:rsidR="00B12D11" w:rsidRPr="00C563CF">
              <w:rPr>
                <w:rStyle w:val="Hyperlink"/>
                <w:noProof/>
              </w:rPr>
              <w:t>6.2.4</w:t>
            </w:r>
            <w:r w:rsidR="00B12D11">
              <w:rPr>
                <w:rFonts w:asciiTheme="minorHAnsi" w:eastAsiaTheme="minorEastAsia" w:hAnsiTheme="minorHAnsi"/>
                <w:noProof/>
                <w:lang w:eastAsia="de-AT"/>
              </w:rPr>
              <w:tab/>
            </w:r>
            <w:r w:rsidR="00B12D11" w:rsidRPr="00C563CF">
              <w:rPr>
                <w:rStyle w:val="Hyperlink"/>
                <w:noProof/>
              </w:rPr>
              <w:t>Duplikat eines Kontoauszuges</w:t>
            </w:r>
            <w:r w:rsidR="00B12D11">
              <w:rPr>
                <w:noProof/>
                <w:webHidden/>
              </w:rPr>
              <w:tab/>
            </w:r>
            <w:r w:rsidR="00B12D11">
              <w:rPr>
                <w:noProof/>
                <w:webHidden/>
              </w:rPr>
              <w:fldChar w:fldCharType="begin"/>
            </w:r>
            <w:r w:rsidR="00B12D11">
              <w:rPr>
                <w:noProof/>
                <w:webHidden/>
              </w:rPr>
              <w:instrText xml:space="preserve"> PAGEREF _Toc73014957 \h </w:instrText>
            </w:r>
            <w:r w:rsidR="00B12D11">
              <w:rPr>
                <w:noProof/>
                <w:webHidden/>
              </w:rPr>
            </w:r>
            <w:r w:rsidR="00B12D11">
              <w:rPr>
                <w:noProof/>
                <w:webHidden/>
              </w:rPr>
              <w:fldChar w:fldCharType="separate"/>
            </w:r>
            <w:r w:rsidR="00670350">
              <w:rPr>
                <w:noProof/>
                <w:webHidden/>
              </w:rPr>
              <w:t>20</w:t>
            </w:r>
            <w:r w:rsidR="00B12D11">
              <w:rPr>
                <w:noProof/>
                <w:webHidden/>
              </w:rPr>
              <w:fldChar w:fldCharType="end"/>
            </w:r>
          </w:hyperlink>
        </w:p>
        <w:p w14:paraId="1803CB74" w14:textId="30F81AE0"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58" w:history="1">
            <w:r w:rsidR="00B12D11" w:rsidRPr="00C563CF">
              <w:rPr>
                <w:rStyle w:val="Hyperlink"/>
                <w:noProof/>
              </w:rPr>
              <w:t>6.2.5</w:t>
            </w:r>
            <w:r w:rsidR="00B12D11">
              <w:rPr>
                <w:rFonts w:asciiTheme="minorHAnsi" w:eastAsiaTheme="minorEastAsia" w:hAnsiTheme="minorHAnsi"/>
                <w:noProof/>
                <w:lang w:eastAsia="de-AT"/>
              </w:rPr>
              <w:tab/>
            </w:r>
            <w:r w:rsidR="00B12D11" w:rsidRPr="00C563CF">
              <w:rPr>
                <w:rStyle w:val="Hyperlink"/>
                <w:noProof/>
              </w:rPr>
              <w:t>Überblick</w:t>
            </w:r>
            <w:r w:rsidR="00B12D11">
              <w:rPr>
                <w:noProof/>
                <w:webHidden/>
              </w:rPr>
              <w:tab/>
            </w:r>
            <w:r w:rsidR="00B12D11">
              <w:rPr>
                <w:noProof/>
                <w:webHidden/>
              </w:rPr>
              <w:fldChar w:fldCharType="begin"/>
            </w:r>
            <w:r w:rsidR="00B12D11">
              <w:rPr>
                <w:noProof/>
                <w:webHidden/>
              </w:rPr>
              <w:instrText xml:space="preserve"> PAGEREF _Toc73014958 \h </w:instrText>
            </w:r>
            <w:r w:rsidR="00B12D11">
              <w:rPr>
                <w:noProof/>
                <w:webHidden/>
              </w:rPr>
            </w:r>
            <w:r w:rsidR="00B12D11">
              <w:rPr>
                <w:noProof/>
                <w:webHidden/>
              </w:rPr>
              <w:fldChar w:fldCharType="separate"/>
            </w:r>
            <w:r w:rsidR="00670350">
              <w:rPr>
                <w:noProof/>
                <w:webHidden/>
              </w:rPr>
              <w:t>20</w:t>
            </w:r>
            <w:r w:rsidR="00B12D11">
              <w:rPr>
                <w:noProof/>
                <w:webHidden/>
              </w:rPr>
              <w:fldChar w:fldCharType="end"/>
            </w:r>
          </w:hyperlink>
        </w:p>
        <w:p w14:paraId="64A0CD32" w14:textId="62042918"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59" w:history="1">
            <w:r w:rsidR="00B12D11" w:rsidRPr="00C563CF">
              <w:rPr>
                <w:rStyle w:val="Hyperlink"/>
                <w:noProof/>
              </w:rPr>
              <w:t>6.2.6</w:t>
            </w:r>
            <w:r w:rsidR="00B12D11">
              <w:rPr>
                <w:rFonts w:asciiTheme="minorHAnsi" w:eastAsiaTheme="minorEastAsia" w:hAnsiTheme="minorHAnsi"/>
                <w:noProof/>
                <w:lang w:eastAsia="de-AT"/>
              </w:rPr>
              <w:tab/>
            </w:r>
            <w:r w:rsidR="00B12D11" w:rsidRPr="00C563CF">
              <w:rPr>
                <w:rStyle w:val="Hyperlink"/>
                <w:noProof/>
              </w:rPr>
              <w:t>Die geschätzten Kosten</w:t>
            </w:r>
            <w:r w:rsidR="00B12D11">
              <w:rPr>
                <w:noProof/>
                <w:webHidden/>
              </w:rPr>
              <w:tab/>
            </w:r>
            <w:r w:rsidR="00B12D11">
              <w:rPr>
                <w:noProof/>
                <w:webHidden/>
              </w:rPr>
              <w:fldChar w:fldCharType="begin"/>
            </w:r>
            <w:r w:rsidR="00B12D11">
              <w:rPr>
                <w:noProof/>
                <w:webHidden/>
              </w:rPr>
              <w:instrText xml:space="preserve"> PAGEREF _Toc73014959 \h </w:instrText>
            </w:r>
            <w:r w:rsidR="00B12D11">
              <w:rPr>
                <w:noProof/>
                <w:webHidden/>
              </w:rPr>
            </w:r>
            <w:r w:rsidR="00B12D11">
              <w:rPr>
                <w:noProof/>
                <w:webHidden/>
              </w:rPr>
              <w:fldChar w:fldCharType="separate"/>
            </w:r>
            <w:r w:rsidR="00670350">
              <w:rPr>
                <w:noProof/>
                <w:webHidden/>
              </w:rPr>
              <w:t>21</w:t>
            </w:r>
            <w:r w:rsidR="00B12D11">
              <w:rPr>
                <w:noProof/>
                <w:webHidden/>
              </w:rPr>
              <w:fldChar w:fldCharType="end"/>
            </w:r>
          </w:hyperlink>
        </w:p>
        <w:p w14:paraId="07ECEFE1" w14:textId="70BC86A8"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60" w:history="1">
            <w:r w:rsidR="00B12D11" w:rsidRPr="00C563CF">
              <w:rPr>
                <w:rStyle w:val="Hyperlink"/>
                <w:noProof/>
              </w:rPr>
              <w:t>6.3</w:t>
            </w:r>
            <w:r w:rsidR="00B12D11">
              <w:rPr>
                <w:rFonts w:asciiTheme="minorHAnsi" w:eastAsiaTheme="minorEastAsia" w:hAnsiTheme="minorHAnsi"/>
                <w:noProof/>
                <w:lang w:eastAsia="de-AT"/>
              </w:rPr>
              <w:tab/>
            </w:r>
            <w:r w:rsidR="00B12D11" w:rsidRPr="00C563CF">
              <w:rPr>
                <w:rStyle w:val="Hyperlink"/>
                <w:noProof/>
              </w:rPr>
              <w:t>Gebühren für Dauer- und Einziehungsaufträge</w:t>
            </w:r>
            <w:r w:rsidR="00B12D11">
              <w:rPr>
                <w:noProof/>
                <w:webHidden/>
              </w:rPr>
              <w:tab/>
            </w:r>
            <w:r w:rsidR="00B12D11">
              <w:rPr>
                <w:noProof/>
                <w:webHidden/>
              </w:rPr>
              <w:fldChar w:fldCharType="begin"/>
            </w:r>
            <w:r w:rsidR="00B12D11">
              <w:rPr>
                <w:noProof/>
                <w:webHidden/>
              </w:rPr>
              <w:instrText xml:space="preserve"> PAGEREF _Toc73014960 \h </w:instrText>
            </w:r>
            <w:r w:rsidR="00B12D11">
              <w:rPr>
                <w:noProof/>
                <w:webHidden/>
              </w:rPr>
            </w:r>
            <w:r w:rsidR="00B12D11">
              <w:rPr>
                <w:noProof/>
                <w:webHidden/>
              </w:rPr>
              <w:fldChar w:fldCharType="separate"/>
            </w:r>
            <w:r w:rsidR="00670350">
              <w:rPr>
                <w:noProof/>
                <w:webHidden/>
              </w:rPr>
              <w:t>22</w:t>
            </w:r>
            <w:r w:rsidR="00B12D11">
              <w:rPr>
                <w:noProof/>
                <w:webHidden/>
              </w:rPr>
              <w:fldChar w:fldCharType="end"/>
            </w:r>
          </w:hyperlink>
        </w:p>
        <w:p w14:paraId="27BB2FC1" w14:textId="4990EB9A"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61" w:history="1">
            <w:r w:rsidR="00B12D11" w:rsidRPr="00C563CF">
              <w:rPr>
                <w:rStyle w:val="Hyperlink"/>
                <w:noProof/>
              </w:rPr>
              <w:t>6.3.1</w:t>
            </w:r>
            <w:r w:rsidR="00B12D11">
              <w:rPr>
                <w:rFonts w:asciiTheme="minorHAnsi" w:eastAsiaTheme="minorEastAsia" w:hAnsiTheme="minorHAnsi"/>
                <w:noProof/>
                <w:lang w:eastAsia="de-AT"/>
              </w:rPr>
              <w:tab/>
            </w:r>
            <w:r w:rsidR="00B12D11" w:rsidRPr="00C563CF">
              <w:rPr>
                <w:rStyle w:val="Hyperlink"/>
                <w:noProof/>
              </w:rPr>
              <w:t>Änderung/Löschung der Aufträge</w:t>
            </w:r>
            <w:r w:rsidR="00B12D11">
              <w:rPr>
                <w:noProof/>
                <w:webHidden/>
              </w:rPr>
              <w:tab/>
            </w:r>
            <w:r w:rsidR="00B12D11">
              <w:rPr>
                <w:noProof/>
                <w:webHidden/>
              </w:rPr>
              <w:fldChar w:fldCharType="begin"/>
            </w:r>
            <w:r w:rsidR="00B12D11">
              <w:rPr>
                <w:noProof/>
                <w:webHidden/>
              </w:rPr>
              <w:instrText xml:space="preserve"> PAGEREF _Toc73014961 \h </w:instrText>
            </w:r>
            <w:r w:rsidR="00B12D11">
              <w:rPr>
                <w:noProof/>
                <w:webHidden/>
              </w:rPr>
            </w:r>
            <w:r w:rsidR="00B12D11">
              <w:rPr>
                <w:noProof/>
                <w:webHidden/>
              </w:rPr>
              <w:fldChar w:fldCharType="separate"/>
            </w:r>
            <w:r w:rsidR="00670350">
              <w:rPr>
                <w:noProof/>
                <w:webHidden/>
              </w:rPr>
              <w:t>22</w:t>
            </w:r>
            <w:r w:rsidR="00B12D11">
              <w:rPr>
                <w:noProof/>
                <w:webHidden/>
              </w:rPr>
              <w:fldChar w:fldCharType="end"/>
            </w:r>
          </w:hyperlink>
        </w:p>
        <w:p w14:paraId="5323CE9D" w14:textId="1AEEADBA"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62" w:history="1">
            <w:r w:rsidR="00B12D11" w:rsidRPr="00C563CF">
              <w:rPr>
                <w:rStyle w:val="Hyperlink"/>
                <w:noProof/>
              </w:rPr>
              <w:t>6.3.2</w:t>
            </w:r>
            <w:r w:rsidR="00B12D11">
              <w:rPr>
                <w:rFonts w:asciiTheme="minorHAnsi" w:eastAsiaTheme="minorEastAsia" w:hAnsiTheme="minorHAnsi"/>
                <w:noProof/>
                <w:lang w:eastAsia="de-AT"/>
              </w:rPr>
              <w:tab/>
            </w:r>
            <w:r w:rsidR="00B12D11" w:rsidRPr="00C563CF">
              <w:rPr>
                <w:rStyle w:val="Hyperlink"/>
                <w:noProof/>
              </w:rPr>
              <w:t>Überblick</w:t>
            </w:r>
            <w:r w:rsidR="00B12D11">
              <w:rPr>
                <w:noProof/>
                <w:webHidden/>
              </w:rPr>
              <w:tab/>
            </w:r>
            <w:r w:rsidR="00B12D11">
              <w:rPr>
                <w:noProof/>
                <w:webHidden/>
              </w:rPr>
              <w:fldChar w:fldCharType="begin"/>
            </w:r>
            <w:r w:rsidR="00B12D11">
              <w:rPr>
                <w:noProof/>
                <w:webHidden/>
              </w:rPr>
              <w:instrText xml:space="preserve"> PAGEREF _Toc73014962 \h </w:instrText>
            </w:r>
            <w:r w:rsidR="00B12D11">
              <w:rPr>
                <w:noProof/>
                <w:webHidden/>
              </w:rPr>
            </w:r>
            <w:r w:rsidR="00B12D11">
              <w:rPr>
                <w:noProof/>
                <w:webHidden/>
              </w:rPr>
              <w:fldChar w:fldCharType="separate"/>
            </w:r>
            <w:r w:rsidR="00670350">
              <w:rPr>
                <w:noProof/>
                <w:webHidden/>
              </w:rPr>
              <w:t>22</w:t>
            </w:r>
            <w:r w:rsidR="00B12D11">
              <w:rPr>
                <w:noProof/>
                <w:webHidden/>
              </w:rPr>
              <w:fldChar w:fldCharType="end"/>
            </w:r>
          </w:hyperlink>
        </w:p>
        <w:p w14:paraId="1FBA2C29" w14:textId="24245B68"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63" w:history="1">
            <w:r w:rsidR="00B12D11" w:rsidRPr="00C563CF">
              <w:rPr>
                <w:rStyle w:val="Hyperlink"/>
                <w:noProof/>
              </w:rPr>
              <w:t>6.3.3</w:t>
            </w:r>
            <w:r w:rsidR="00B12D11">
              <w:rPr>
                <w:rFonts w:asciiTheme="minorHAnsi" w:eastAsiaTheme="minorEastAsia" w:hAnsiTheme="minorHAnsi"/>
                <w:noProof/>
                <w:lang w:eastAsia="de-AT"/>
              </w:rPr>
              <w:tab/>
            </w:r>
            <w:r w:rsidR="00B12D11" w:rsidRPr="00C563CF">
              <w:rPr>
                <w:rStyle w:val="Hyperlink"/>
                <w:noProof/>
              </w:rPr>
              <w:t>Die geschätzten Kosten</w:t>
            </w:r>
            <w:r w:rsidR="00B12D11">
              <w:rPr>
                <w:noProof/>
                <w:webHidden/>
              </w:rPr>
              <w:tab/>
            </w:r>
            <w:r w:rsidR="00B12D11">
              <w:rPr>
                <w:noProof/>
                <w:webHidden/>
              </w:rPr>
              <w:fldChar w:fldCharType="begin"/>
            </w:r>
            <w:r w:rsidR="00B12D11">
              <w:rPr>
                <w:noProof/>
                <w:webHidden/>
              </w:rPr>
              <w:instrText xml:space="preserve"> PAGEREF _Toc73014963 \h </w:instrText>
            </w:r>
            <w:r w:rsidR="00B12D11">
              <w:rPr>
                <w:noProof/>
                <w:webHidden/>
              </w:rPr>
            </w:r>
            <w:r w:rsidR="00B12D11">
              <w:rPr>
                <w:noProof/>
                <w:webHidden/>
              </w:rPr>
              <w:fldChar w:fldCharType="separate"/>
            </w:r>
            <w:r w:rsidR="00670350">
              <w:rPr>
                <w:noProof/>
                <w:webHidden/>
              </w:rPr>
              <w:t>23</w:t>
            </w:r>
            <w:r w:rsidR="00B12D11">
              <w:rPr>
                <w:noProof/>
                <w:webHidden/>
              </w:rPr>
              <w:fldChar w:fldCharType="end"/>
            </w:r>
          </w:hyperlink>
        </w:p>
        <w:p w14:paraId="443CF38A" w14:textId="58F8CF32"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64" w:history="1">
            <w:r w:rsidR="00B12D11" w:rsidRPr="00C563CF">
              <w:rPr>
                <w:rStyle w:val="Hyperlink"/>
                <w:noProof/>
              </w:rPr>
              <w:t>6.3.4</w:t>
            </w:r>
            <w:r w:rsidR="00B12D11">
              <w:rPr>
                <w:rFonts w:asciiTheme="minorHAnsi" w:eastAsiaTheme="minorEastAsia" w:hAnsiTheme="minorHAnsi"/>
                <w:noProof/>
                <w:lang w:eastAsia="de-AT"/>
              </w:rPr>
              <w:tab/>
            </w:r>
            <w:r w:rsidR="00B12D11" w:rsidRPr="00C563CF">
              <w:rPr>
                <w:rStyle w:val="Hyperlink"/>
                <w:noProof/>
              </w:rPr>
              <w:t>Nichtdurchführung der Aufträge</w:t>
            </w:r>
            <w:r w:rsidR="00B12D11">
              <w:rPr>
                <w:noProof/>
                <w:webHidden/>
              </w:rPr>
              <w:tab/>
            </w:r>
            <w:r w:rsidR="00B12D11">
              <w:rPr>
                <w:noProof/>
                <w:webHidden/>
              </w:rPr>
              <w:fldChar w:fldCharType="begin"/>
            </w:r>
            <w:r w:rsidR="00B12D11">
              <w:rPr>
                <w:noProof/>
                <w:webHidden/>
              </w:rPr>
              <w:instrText xml:space="preserve"> PAGEREF _Toc73014964 \h </w:instrText>
            </w:r>
            <w:r w:rsidR="00B12D11">
              <w:rPr>
                <w:noProof/>
                <w:webHidden/>
              </w:rPr>
            </w:r>
            <w:r w:rsidR="00B12D11">
              <w:rPr>
                <w:noProof/>
                <w:webHidden/>
              </w:rPr>
              <w:fldChar w:fldCharType="separate"/>
            </w:r>
            <w:r w:rsidR="00670350">
              <w:rPr>
                <w:noProof/>
                <w:webHidden/>
              </w:rPr>
              <w:t>24</w:t>
            </w:r>
            <w:r w:rsidR="00B12D11">
              <w:rPr>
                <w:noProof/>
                <w:webHidden/>
              </w:rPr>
              <w:fldChar w:fldCharType="end"/>
            </w:r>
          </w:hyperlink>
        </w:p>
        <w:p w14:paraId="7157DC62" w14:textId="2E797F1D"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65" w:history="1">
            <w:r w:rsidR="00B12D11" w:rsidRPr="00C563CF">
              <w:rPr>
                <w:rStyle w:val="Hyperlink"/>
                <w:noProof/>
              </w:rPr>
              <w:t>6.3.5</w:t>
            </w:r>
            <w:r w:rsidR="00B12D11">
              <w:rPr>
                <w:rFonts w:asciiTheme="minorHAnsi" w:eastAsiaTheme="minorEastAsia" w:hAnsiTheme="minorHAnsi"/>
                <w:noProof/>
                <w:lang w:eastAsia="de-AT"/>
              </w:rPr>
              <w:tab/>
            </w:r>
            <w:r w:rsidR="00B12D11" w:rsidRPr="00C563CF">
              <w:rPr>
                <w:rStyle w:val="Hyperlink"/>
                <w:noProof/>
              </w:rPr>
              <w:t>Überblick</w:t>
            </w:r>
            <w:r w:rsidR="00B12D11">
              <w:rPr>
                <w:noProof/>
                <w:webHidden/>
              </w:rPr>
              <w:tab/>
            </w:r>
            <w:r w:rsidR="00B12D11">
              <w:rPr>
                <w:noProof/>
                <w:webHidden/>
              </w:rPr>
              <w:fldChar w:fldCharType="begin"/>
            </w:r>
            <w:r w:rsidR="00B12D11">
              <w:rPr>
                <w:noProof/>
                <w:webHidden/>
              </w:rPr>
              <w:instrText xml:space="preserve"> PAGEREF _Toc73014965 \h </w:instrText>
            </w:r>
            <w:r w:rsidR="00B12D11">
              <w:rPr>
                <w:noProof/>
                <w:webHidden/>
              </w:rPr>
            </w:r>
            <w:r w:rsidR="00B12D11">
              <w:rPr>
                <w:noProof/>
                <w:webHidden/>
              </w:rPr>
              <w:fldChar w:fldCharType="separate"/>
            </w:r>
            <w:r w:rsidR="00670350">
              <w:rPr>
                <w:noProof/>
                <w:webHidden/>
              </w:rPr>
              <w:t>24</w:t>
            </w:r>
            <w:r w:rsidR="00B12D11">
              <w:rPr>
                <w:noProof/>
                <w:webHidden/>
              </w:rPr>
              <w:fldChar w:fldCharType="end"/>
            </w:r>
          </w:hyperlink>
        </w:p>
        <w:p w14:paraId="52AE80FB" w14:textId="1B88833F"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66" w:history="1">
            <w:r w:rsidR="00B12D11" w:rsidRPr="00C563CF">
              <w:rPr>
                <w:rStyle w:val="Hyperlink"/>
                <w:noProof/>
              </w:rPr>
              <w:t>6.3.6</w:t>
            </w:r>
            <w:r w:rsidR="00B12D11">
              <w:rPr>
                <w:rFonts w:asciiTheme="minorHAnsi" w:eastAsiaTheme="minorEastAsia" w:hAnsiTheme="minorHAnsi"/>
                <w:noProof/>
                <w:lang w:eastAsia="de-AT"/>
              </w:rPr>
              <w:tab/>
            </w:r>
            <w:r w:rsidR="00B12D11" w:rsidRPr="00C563CF">
              <w:rPr>
                <w:rStyle w:val="Hyperlink"/>
                <w:noProof/>
              </w:rPr>
              <w:t>Die geschätzten Kosten</w:t>
            </w:r>
            <w:r w:rsidR="00B12D11">
              <w:rPr>
                <w:noProof/>
                <w:webHidden/>
              </w:rPr>
              <w:tab/>
            </w:r>
            <w:r w:rsidR="00B12D11">
              <w:rPr>
                <w:noProof/>
                <w:webHidden/>
              </w:rPr>
              <w:fldChar w:fldCharType="begin"/>
            </w:r>
            <w:r w:rsidR="00B12D11">
              <w:rPr>
                <w:noProof/>
                <w:webHidden/>
              </w:rPr>
              <w:instrText xml:space="preserve"> PAGEREF _Toc73014966 \h </w:instrText>
            </w:r>
            <w:r w:rsidR="00B12D11">
              <w:rPr>
                <w:noProof/>
                <w:webHidden/>
              </w:rPr>
            </w:r>
            <w:r w:rsidR="00B12D11">
              <w:rPr>
                <w:noProof/>
                <w:webHidden/>
              </w:rPr>
              <w:fldChar w:fldCharType="separate"/>
            </w:r>
            <w:r w:rsidR="00670350">
              <w:rPr>
                <w:noProof/>
                <w:webHidden/>
              </w:rPr>
              <w:t>24</w:t>
            </w:r>
            <w:r w:rsidR="00B12D11">
              <w:rPr>
                <w:noProof/>
                <w:webHidden/>
              </w:rPr>
              <w:fldChar w:fldCharType="end"/>
            </w:r>
          </w:hyperlink>
        </w:p>
        <w:p w14:paraId="0B96EDE3" w14:textId="21B874C0"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67" w:history="1">
            <w:r w:rsidR="00B12D11" w:rsidRPr="00C563CF">
              <w:rPr>
                <w:rStyle w:val="Hyperlink"/>
                <w:noProof/>
              </w:rPr>
              <w:t>6.4</w:t>
            </w:r>
            <w:r w:rsidR="00B12D11">
              <w:rPr>
                <w:rFonts w:asciiTheme="minorHAnsi" w:eastAsiaTheme="minorEastAsia" w:hAnsiTheme="minorHAnsi"/>
                <w:noProof/>
                <w:lang w:eastAsia="de-AT"/>
              </w:rPr>
              <w:tab/>
            </w:r>
            <w:r w:rsidR="00B12D11" w:rsidRPr="00C563CF">
              <w:rPr>
                <w:rStyle w:val="Hyperlink"/>
                <w:noProof/>
              </w:rPr>
              <w:t>Gebühren für Bankkarte</w:t>
            </w:r>
            <w:r w:rsidR="00B12D11">
              <w:rPr>
                <w:noProof/>
                <w:webHidden/>
              </w:rPr>
              <w:tab/>
            </w:r>
            <w:r w:rsidR="00B12D11">
              <w:rPr>
                <w:noProof/>
                <w:webHidden/>
              </w:rPr>
              <w:fldChar w:fldCharType="begin"/>
            </w:r>
            <w:r w:rsidR="00B12D11">
              <w:rPr>
                <w:noProof/>
                <w:webHidden/>
              </w:rPr>
              <w:instrText xml:space="preserve"> PAGEREF _Toc73014967 \h </w:instrText>
            </w:r>
            <w:r w:rsidR="00B12D11">
              <w:rPr>
                <w:noProof/>
                <w:webHidden/>
              </w:rPr>
            </w:r>
            <w:r w:rsidR="00B12D11">
              <w:rPr>
                <w:noProof/>
                <w:webHidden/>
              </w:rPr>
              <w:fldChar w:fldCharType="separate"/>
            </w:r>
            <w:r w:rsidR="00670350">
              <w:rPr>
                <w:noProof/>
                <w:webHidden/>
              </w:rPr>
              <w:t>25</w:t>
            </w:r>
            <w:r w:rsidR="00B12D11">
              <w:rPr>
                <w:noProof/>
                <w:webHidden/>
              </w:rPr>
              <w:fldChar w:fldCharType="end"/>
            </w:r>
          </w:hyperlink>
        </w:p>
        <w:p w14:paraId="3830C2A1" w14:textId="3D6AD296"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68" w:history="1">
            <w:r w:rsidR="00B12D11" w:rsidRPr="00C563CF">
              <w:rPr>
                <w:rStyle w:val="Hyperlink"/>
                <w:noProof/>
              </w:rPr>
              <w:t>6.4.1</w:t>
            </w:r>
            <w:r w:rsidR="00B12D11">
              <w:rPr>
                <w:rFonts w:asciiTheme="minorHAnsi" w:eastAsiaTheme="minorEastAsia" w:hAnsiTheme="minorHAnsi"/>
                <w:noProof/>
                <w:lang w:eastAsia="de-AT"/>
              </w:rPr>
              <w:tab/>
            </w:r>
            <w:r w:rsidR="00B12D11" w:rsidRPr="00C563CF">
              <w:rPr>
                <w:rStyle w:val="Hyperlink"/>
                <w:noProof/>
              </w:rPr>
              <w:t>Nachbestellung einer Karte</w:t>
            </w:r>
            <w:r w:rsidR="00B12D11">
              <w:rPr>
                <w:noProof/>
                <w:webHidden/>
              </w:rPr>
              <w:tab/>
            </w:r>
            <w:r w:rsidR="00B12D11">
              <w:rPr>
                <w:noProof/>
                <w:webHidden/>
              </w:rPr>
              <w:fldChar w:fldCharType="begin"/>
            </w:r>
            <w:r w:rsidR="00B12D11">
              <w:rPr>
                <w:noProof/>
                <w:webHidden/>
              </w:rPr>
              <w:instrText xml:space="preserve"> PAGEREF _Toc73014968 \h </w:instrText>
            </w:r>
            <w:r w:rsidR="00B12D11">
              <w:rPr>
                <w:noProof/>
                <w:webHidden/>
              </w:rPr>
            </w:r>
            <w:r w:rsidR="00B12D11">
              <w:rPr>
                <w:noProof/>
                <w:webHidden/>
              </w:rPr>
              <w:fldChar w:fldCharType="separate"/>
            </w:r>
            <w:r w:rsidR="00670350">
              <w:rPr>
                <w:noProof/>
                <w:webHidden/>
              </w:rPr>
              <w:t>25</w:t>
            </w:r>
            <w:r w:rsidR="00B12D11">
              <w:rPr>
                <w:noProof/>
                <w:webHidden/>
              </w:rPr>
              <w:fldChar w:fldCharType="end"/>
            </w:r>
          </w:hyperlink>
        </w:p>
        <w:p w14:paraId="41A777ED" w14:textId="50E1876A"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69" w:history="1">
            <w:r w:rsidR="00B12D11" w:rsidRPr="00C563CF">
              <w:rPr>
                <w:rStyle w:val="Hyperlink"/>
                <w:noProof/>
              </w:rPr>
              <w:t>6.4.2</w:t>
            </w:r>
            <w:r w:rsidR="00B12D11">
              <w:rPr>
                <w:rFonts w:asciiTheme="minorHAnsi" w:eastAsiaTheme="minorEastAsia" w:hAnsiTheme="minorHAnsi"/>
                <w:noProof/>
                <w:lang w:eastAsia="de-AT"/>
              </w:rPr>
              <w:tab/>
            </w:r>
            <w:r w:rsidR="00B12D11" w:rsidRPr="00C563CF">
              <w:rPr>
                <w:rStyle w:val="Hyperlink"/>
                <w:noProof/>
              </w:rPr>
              <w:t>Überblick</w:t>
            </w:r>
            <w:r w:rsidR="00B12D11">
              <w:rPr>
                <w:noProof/>
                <w:webHidden/>
              </w:rPr>
              <w:tab/>
            </w:r>
            <w:r w:rsidR="00B12D11">
              <w:rPr>
                <w:noProof/>
                <w:webHidden/>
              </w:rPr>
              <w:fldChar w:fldCharType="begin"/>
            </w:r>
            <w:r w:rsidR="00B12D11">
              <w:rPr>
                <w:noProof/>
                <w:webHidden/>
              </w:rPr>
              <w:instrText xml:space="preserve"> PAGEREF _Toc73014969 \h </w:instrText>
            </w:r>
            <w:r w:rsidR="00B12D11">
              <w:rPr>
                <w:noProof/>
                <w:webHidden/>
              </w:rPr>
            </w:r>
            <w:r w:rsidR="00B12D11">
              <w:rPr>
                <w:noProof/>
                <w:webHidden/>
              </w:rPr>
              <w:fldChar w:fldCharType="separate"/>
            </w:r>
            <w:r w:rsidR="00670350">
              <w:rPr>
                <w:noProof/>
                <w:webHidden/>
              </w:rPr>
              <w:t>25</w:t>
            </w:r>
            <w:r w:rsidR="00B12D11">
              <w:rPr>
                <w:noProof/>
                <w:webHidden/>
              </w:rPr>
              <w:fldChar w:fldCharType="end"/>
            </w:r>
          </w:hyperlink>
        </w:p>
        <w:p w14:paraId="50B085FB" w14:textId="5043F7A7"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70" w:history="1">
            <w:r w:rsidR="00B12D11" w:rsidRPr="00C563CF">
              <w:rPr>
                <w:rStyle w:val="Hyperlink"/>
                <w:noProof/>
              </w:rPr>
              <w:t>6.4.3</w:t>
            </w:r>
            <w:r w:rsidR="00B12D11">
              <w:rPr>
                <w:rFonts w:asciiTheme="minorHAnsi" w:eastAsiaTheme="minorEastAsia" w:hAnsiTheme="minorHAnsi"/>
                <w:noProof/>
                <w:lang w:eastAsia="de-AT"/>
              </w:rPr>
              <w:tab/>
            </w:r>
            <w:r w:rsidR="00B12D11" w:rsidRPr="00C563CF">
              <w:rPr>
                <w:rStyle w:val="Hyperlink"/>
                <w:noProof/>
              </w:rPr>
              <w:t>Die geschätzten Kosten</w:t>
            </w:r>
            <w:r w:rsidR="00B12D11">
              <w:rPr>
                <w:noProof/>
                <w:webHidden/>
              </w:rPr>
              <w:tab/>
            </w:r>
            <w:r w:rsidR="00B12D11">
              <w:rPr>
                <w:noProof/>
                <w:webHidden/>
              </w:rPr>
              <w:fldChar w:fldCharType="begin"/>
            </w:r>
            <w:r w:rsidR="00B12D11">
              <w:rPr>
                <w:noProof/>
                <w:webHidden/>
              </w:rPr>
              <w:instrText xml:space="preserve"> PAGEREF _Toc73014970 \h </w:instrText>
            </w:r>
            <w:r w:rsidR="00B12D11">
              <w:rPr>
                <w:noProof/>
                <w:webHidden/>
              </w:rPr>
            </w:r>
            <w:r w:rsidR="00B12D11">
              <w:rPr>
                <w:noProof/>
                <w:webHidden/>
              </w:rPr>
              <w:fldChar w:fldCharType="separate"/>
            </w:r>
            <w:r w:rsidR="00670350">
              <w:rPr>
                <w:noProof/>
                <w:webHidden/>
              </w:rPr>
              <w:t>26</w:t>
            </w:r>
            <w:r w:rsidR="00B12D11">
              <w:rPr>
                <w:noProof/>
                <w:webHidden/>
              </w:rPr>
              <w:fldChar w:fldCharType="end"/>
            </w:r>
          </w:hyperlink>
        </w:p>
        <w:p w14:paraId="1F10C195" w14:textId="049F7155"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71" w:history="1">
            <w:r w:rsidR="00B12D11" w:rsidRPr="00C563CF">
              <w:rPr>
                <w:rStyle w:val="Hyperlink"/>
                <w:noProof/>
              </w:rPr>
              <w:t>6.4.4</w:t>
            </w:r>
            <w:r w:rsidR="00B12D11">
              <w:rPr>
                <w:rFonts w:asciiTheme="minorHAnsi" w:eastAsiaTheme="minorEastAsia" w:hAnsiTheme="minorHAnsi"/>
                <w:noProof/>
                <w:lang w:eastAsia="de-AT"/>
              </w:rPr>
              <w:tab/>
            </w:r>
            <w:r w:rsidR="00B12D11" w:rsidRPr="00C563CF">
              <w:rPr>
                <w:rStyle w:val="Hyperlink"/>
                <w:noProof/>
              </w:rPr>
              <w:t>Sperrung einer Karte</w:t>
            </w:r>
            <w:r w:rsidR="00B12D11">
              <w:rPr>
                <w:noProof/>
                <w:webHidden/>
              </w:rPr>
              <w:tab/>
            </w:r>
            <w:r w:rsidR="00B12D11">
              <w:rPr>
                <w:noProof/>
                <w:webHidden/>
              </w:rPr>
              <w:fldChar w:fldCharType="begin"/>
            </w:r>
            <w:r w:rsidR="00B12D11">
              <w:rPr>
                <w:noProof/>
                <w:webHidden/>
              </w:rPr>
              <w:instrText xml:space="preserve"> PAGEREF _Toc73014971 \h </w:instrText>
            </w:r>
            <w:r w:rsidR="00B12D11">
              <w:rPr>
                <w:noProof/>
                <w:webHidden/>
              </w:rPr>
            </w:r>
            <w:r w:rsidR="00B12D11">
              <w:rPr>
                <w:noProof/>
                <w:webHidden/>
              </w:rPr>
              <w:fldChar w:fldCharType="separate"/>
            </w:r>
            <w:r w:rsidR="00670350">
              <w:rPr>
                <w:noProof/>
                <w:webHidden/>
              </w:rPr>
              <w:t>27</w:t>
            </w:r>
            <w:r w:rsidR="00B12D11">
              <w:rPr>
                <w:noProof/>
                <w:webHidden/>
              </w:rPr>
              <w:fldChar w:fldCharType="end"/>
            </w:r>
          </w:hyperlink>
        </w:p>
        <w:p w14:paraId="60DF2AF9" w14:textId="7CD4923B"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72" w:history="1">
            <w:r w:rsidR="00B12D11" w:rsidRPr="00C563CF">
              <w:rPr>
                <w:rStyle w:val="Hyperlink"/>
                <w:noProof/>
              </w:rPr>
              <w:t>6.4.5</w:t>
            </w:r>
            <w:r w:rsidR="00B12D11">
              <w:rPr>
                <w:rFonts w:asciiTheme="minorHAnsi" w:eastAsiaTheme="minorEastAsia" w:hAnsiTheme="minorHAnsi"/>
                <w:noProof/>
                <w:lang w:eastAsia="de-AT"/>
              </w:rPr>
              <w:tab/>
            </w:r>
            <w:r w:rsidR="00B12D11" w:rsidRPr="00C563CF">
              <w:rPr>
                <w:rStyle w:val="Hyperlink"/>
                <w:noProof/>
              </w:rPr>
              <w:t>Überblick</w:t>
            </w:r>
            <w:r w:rsidR="00B12D11">
              <w:rPr>
                <w:noProof/>
                <w:webHidden/>
              </w:rPr>
              <w:tab/>
            </w:r>
            <w:r w:rsidR="00B12D11">
              <w:rPr>
                <w:noProof/>
                <w:webHidden/>
              </w:rPr>
              <w:fldChar w:fldCharType="begin"/>
            </w:r>
            <w:r w:rsidR="00B12D11">
              <w:rPr>
                <w:noProof/>
                <w:webHidden/>
              </w:rPr>
              <w:instrText xml:space="preserve"> PAGEREF _Toc73014972 \h </w:instrText>
            </w:r>
            <w:r w:rsidR="00B12D11">
              <w:rPr>
                <w:noProof/>
                <w:webHidden/>
              </w:rPr>
            </w:r>
            <w:r w:rsidR="00B12D11">
              <w:rPr>
                <w:noProof/>
                <w:webHidden/>
              </w:rPr>
              <w:fldChar w:fldCharType="separate"/>
            </w:r>
            <w:r w:rsidR="00670350">
              <w:rPr>
                <w:noProof/>
                <w:webHidden/>
              </w:rPr>
              <w:t>27</w:t>
            </w:r>
            <w:r w:rsidR="00B12D11">
              <w:rPr>
                <w:noProof/>
                <w:webHidden/>
              </w:rPr>
              <w:fldChar w:fldCharType="end"/>
            </w:r>
          </w:hyperlink>
        </w:p>
        <w:p w14:paraId="6C8074FC" w14:textId="5341A885"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73" w:history="1">
            <w:r w:rsidR="00B12D11" w:rsidRPr="00C563CF">
              <w:rPr>
                <w:rStyle w:val="Hyperlink"/>
                <w:noProof/>
              </w:rPr>
              <w:t>6.4.6</w:t>
            </w:r>
            <w:r w:rsidR="00B12D11">
              <w:rPr>
                <w:rFonts w:asciiTheme="minorHAnsi" w:eastAsiaTheme="minorEastAsia" w:hAnsiTheme="minorHAnsi"/>
                <w:noProof/>
                <w:lang w:eastAsia="de-AT"/>
              </w:rPr>
              <w:tab/>
            </w:r>
            <w:r w:rsidR="00B12D11" w:rsidRPr="00C563CF">
              <w:rPr>
                <w:rStyle w:val="Hyperlink"/>
                <w:noProof/>
              </w:rPr>
              <w:t>Die geschätzten Kosten</w:t>
            </w:r>
            <w:r w:rsidR="00B12D11">
              <w:rPr>
                <w:noProof/>
                <w:webHidden/>
              </w:rPr>
              <w:tab/>
            </w:r>
            <w:r w:rsidR="00B12D11">
              <w:rPr>
                <w:noProof/>
                <w:webHidden/>
              </w:rPr>
              <w:fldChar w:fldCharType="begin"/>
            </w:r>
            <w:r w:rsidR="00B12D11">
              <w:rPr>
                <w:noProof/>
                <w:webHidden/>
              </w:rPr>
              <w:instrText xml:space="preserve"> PAGEREF _Toc73014973 \h </w:instrText>
            </w:r>
            <w:r w:rsidR="00B12D11">
              <w:rPr>
                <w:noProof/>
                <w:webHidden/>
              </w:rPr>
            </w:r>
            <w:r w:rsidR="00B12D11">
              <w:rPr>
                <w:noProof/>
                <w:webHidden/>
              </w:rPr>
              <w:fldChar w:fldCharType="separate"/>
            </w:r>
            <w:r w:rsidR="00670350">
              <w:rPr>
                <w:noProof/>
                <w:webHidden/>
              </w:rPr>
              <w:t>27</w:t>
            </w:r>
            <w:r w:rsidR="00B12D11">
              <w:rPr>
                <w:noProof/>
                <w:webHidden/>
              </w:rPr>
              <w:fldChar w:fldCharType="end"/>
            </w:r>
          </w:hyperlink>
        </w:p>
        <w:p w14:paraId="1714E248" w14:textId="5B662F4D"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74" w:history="1">
            <w:r w:rsidR="00B12D11" w:rsidRPr="00C563CF">
              <w:rPr>
                <w:rStyle w:val="Hyperlink"/>
                <w:noProof/>
              </w:rPr>
              <w:t>6.5</w:t>
            </w:r>
            <w:r w:rsidR="00B12D11">
              <w:rPr>
                <w:rFonts w:asciiTheme="minorHAnsi" w:eastAsiaTheme="minorEastAsia" w:hAnsiTheme="minorHAnsi"/>
                <w:noProof/>
                <w:lang w:eastAsia="de-AT"/>
              </w:rPr>
              <w:tab/>
            </w:r>
            <w:r w:rsidR="00B12D11" w:rsidRPr="00C563CF">
              <w:rPr>
                <w:rStyle w:val="Hyperlink"/>
                <w:noProof/>
              </w:rPr>
              <w:t>Gebühren für Bareinzahlungen an der Kassa/Selbstbedienungszone</w:t>
            </w:r>
            <w:r w:rsidR="00B12D11">
              <w:rPr>
                <w:noProof/>
                <w:webHidden/>
              </w:rPr>
              <w:tab/>
            </w:r>
            <w:r w:rsidR="00B12D11">
              <w:rPr>
                <w:noProof/>
                <w:webHidden/>
              </w:rPr>
              <w:fldChar w:fldCharType="begin"/>
            </w:r>
            <w:r w:rsidR="00B12D11">
              <w:rPr>
                <w:noProof/>
                <w:webHidden/>
              </w:rPr>
              <w:instrText xml:space="preserve"> PAGEREF _Toc73014974 \h </w:instrText>
            </w:r>
            <w:r w:rsidR="00B12D11">
              <w:rPr>
                <w:noProof/>
                <w:webHidden/>
              </w:rPr>
            </w:r>
            <w:r w:rsidR="00B12D11">
              <w:rPr>
                <w:noProof/>
                <w:webHidden/>
              </w:rPr>
              <w:fldChar w:fldCharType="separate"/>
            </w:r>
            <w:r w:rsidR="00670350">
              <w:rPr>
                <w:noProof/>
                <w:webHidden/>
              </w:rPr>
              <w:t>28</w:t>
            </w:r>
            <w:r w:rsidR="00B12D11">
              <w:rPr>
                <w:noProof/>
                <w:webHidden/>
              </w:rPr>
              <w:fldChar w:fldCharType="end"/>
            </w:r>
          </w:hyperlink>
        </w:p>
        <w:p w14:paraId="1739AC04" w14:textId="4185D838"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75" w:history="1">
            <w:r w:rsidR="00B12D11" w:rsidRPr="00C563CF">
              <w:rPr>
                <w:rStyle w:val="Hyperlink"/>
                <w:noProof/>
              </w:rPr>
              <w:t>6.5.1</w:t>
            </w:r>
            <w:r w:rsidR="00B12D11">
              <w:rPr>
                <w:rFonts w:asciiTheme="minorHAnsi" w:eastAsiaTheme="minorEastAsia" w:hAnsiTheme="minorHAnsi"/>
                <w:noProof/>
                <w:lang w:eastAsia="de-AT"/>
              </w:rPr>
              <w:tab/>
            </w:r>
            <w:r w:rsidR="00B12D11" w:rsidRPr="00C563CF">
              <w:rPr>
                <w:rStyle w:val="Hyperlink"/>
                <w:noProof/>
              </w:rPr>
              <w:t>Überblick</w:t>
            </w:r>
            <w:r w:rsidR="00B12D11">
              <w:rPr>
                <w:noProof/>
                <w:webHidden/>
              </w:rPr>
              <w:tab/>
            </w:r>
            <w:r w:rsidR="00B12D11">
              <w:rPr>
                <w:noProof/>
                <w:webHidden/>
              </w:rPr>
              <w:fldChar w:fldCharType="begin"/>
            </w:r>
            <w:r w:rsidR="00B12D11">
              <w:rPr>
                <w:noProof/>
                <w:webHidden/>
              </w:rPr>
              <w:instrText xml:space="preserve"> PAGEREF _Toc73014975 \h </w:instrText>
            </w:r>
            <w:r w:rsidR="00B12D11">
              <w:rPr>
                <w:noProof/>
                <w:webHidden/>
              </w:rPr>
            </w:r>
            <w:r w:rsidR="00B12D11">
              <w:rPr>
                <w:noProof/>
                <w:webHidden/>
              </w:rPr>
              <w:fldChar w:fldCharType="separate"/>
            </w:r>
            <w:r w:rsidR="00670350">
              <w:rPr>
                <w:noProof/>
                <w:webHidden/>
              </w:rPr>
              <w:t>28</w:t>
            </w:r>
            <w:r w:rsidR="00B12D11">
              <w:rPr>
                <w:noProof/>
                <w:webHidden/>
              </w:rPr>
              <w:fldChar w:fldCharType="end"/>
            </w:r>
          </w:hyperlink>
        </w:p>
        <w:p w14:paraId="1A88D059" w14:textId="78F867E1" w:rsidR="00B12D11" w:rsidRDefault="00623D3F">
          <w:pPr>
            <w:pStyle w:val="Verzeichnis3"/>
            <w:tabs>
              <w:tab w:val="left" w:pos="1320"/>
              <w:tab w:val="right" w:leader="dot" w:pos="8494"/>
            </w:tabs>
            <w:rPr>
              <w:rFonts w:asciiTheme="minorHAnsi" w:eastAsiaTheme="minorEastAsia" w:hAnsiTheme="minorHAnsi"/>
              <w:noProof/>
              <w:lang w:eastAsia="de-AT"/>
            </w:rPr>
          </w:pPr>
          <w:hyperlink w:anchor="_Toc73014976" w:history="1">
            <w:r w:rsidR="00B12D11" w:rsidRPr="00C563CF">
              <w:rPr>
                <w:rStyle w:val="Hyperlink"/>
                <w:noProof/>
              </w:rPr>
              <w:t>6.5.2</w:t>
            </w:r>
            <w:r w:rsidR="00B12D11">
              <w:rPr>
                <w:rFonts w:asciiTheme="minorHAnsi" w:eastAsiaTheme="minorEastAsia" w:hAnsiTheme="minorHAnsi"/>
                <w:noProof/>
                <w:lang w:eastAsia="de-AT"/>
              </w:rPr>
              <w:tab/>
            </w:r>
            <w:r w:rsidR="00B12D11" w:rsidRPr="00C563CF">
              <w:rPr>
                <w:rStyle w:val="Hyperlink"/>
                <w:noProof/>
              </w:rPr>
              <w:t>Die geschätzten Kosten</w:t>
            </w:r>
            <w:r w:rsidR="00B12D11">
              <w:rPr>
                <w:noProof/>
                <w:webHidden/>
              </w:rPr>
              <w:tab/>
            </w:r>
            <w:r w:rsidR="00B12D11">
              <w:rPr>
                <w:noProof/>
                <w:webHidden/>
              </w:rPr>
              <w:fldChar w:fldCharType="begin"/>
            </w:r>
            <w:r w:rsidR="00B12D11">
              <w:rPr>
                <w:noProof/>
                <w:webHidden/>
              </w:rPr>
              <w:instrText xml:space="preserve"> PAGEREF _Toc73014976 \h </w:instrText>
            </w:r>
            <w:r w:rsidR="00B12D11">
              <w:rPr>
                <w:noProof/>
                <w:webHidden/>
              </w:rPr>
            </w:r>
            <w:r w:rsidR="00B12D11">
              <w:rPr>
                <w:noProof/>
                <w:webHidden/>
              </w:rPr>
              <w:fldChar w:fldCharType="separate"/>
            </w:r>
            <w:r w:rsidR="00670350">
              <w:rPr>
                <w:noProof/>
                <w:webHidden/>
              </w:rPr>
              <w:t>28</w:t>
            </w:r>
            <w:r w:rsidR="00B12D11">
              <w:rPr>
                <w:noProof/>
                <w:webHidden/>
              </w:rPr>
              <w:fldChar w:fldCharType="end"/>
            </w:r>
          </w:hyperlink>
        </w:p>
        <w:p w14:paraId="0DADB755" w14:textId="3BB09DF8"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77" w:history="1">
            <w:r w:rsidR="00B12D11" w:rsidRPr="00C563CF">
              <w:rPr>
                <w:rStyle w:val="Hyperlink"/>
                <w:noProof/>
              </w:rPr>
              <w:t>6.6</w:t>
            </w:r>
            <w:r w:rsidR="00B12D11">
              <w:rPr>
                <w:rFonts w:asciiTheme="minorHAnsi" w:eastAsiaTheme="minorEastAsia" w:hAnsiTheme="minorHAnsi"/>
                <w:noProof/>
                <w:lang w:eastAsia="de-AT"/>
              </w:rPr>
              <w:tab/>
            </w:r>
            <w:r w:rsidR="00B12D11" w:rsidRPr="00C563CF">
              <w:rPr>
                <w:rStyle w:val="Hyperlink"/>
                <w:noProof/>
              </w:rPr>
              <w:t>Übersicht der Gebühren diverser Anbieter</w:t>
            </w:r>
            <w:r w:rsidR="00B12D11">
              <w:rPr>
                <w:noProof/>
                <w:webHidden/>
              </w:rPr>
              <w:tab/>
            </w:r>
            <w:r w:rsidR="00B12D11">
              <w:rPr>
                <w:noProof/>
                <w:webHidden/>
              </w:rPr>
              <w:fldChar w:fldCharType="begin"/>
            </w:r>
            <w:r w:rsidR="00B12D11">
              <w:rPr>
                <w:noProof/>
                <w:webHidden/>
              </w:rPr>
              <w:instrText xml:space="preserve"> PAGEREF _Toc73014977 \h </w:instrText>
            </w:r>
            <w:r w:rsidR="00B12D11">
              <w:rPr>
                <w:noProof/>
                <w:webHidden/>
              </w:rPr>
            </w:r>
            <w:r w:rsidR="00B12D11">
              <w:rPr>
                <w:noProof/>
                <w:webHidden/>
              </w:rPr>
              <w:fldChar w:fldCharType="separate"/>
            </w:r>
            <w:r w:rsidR="00670350">
              <w:rPr>
                <w:noProof/>
                <w:webHidden/>
              </w:rPr>
              <w:t>30</w:t>
            </w:r>
            <w:r w:rsidR="00B12D11">
              <w:rPr>
                <w:noProof/>
                <w:webHidden/>
              </w:rPr>
              <w:fldChar w:fldCharType="end"/>
            </w:r>
          </w:hyperlink>
        </w:p>
        <w:p w14:paraId="5C5EF8EA" w14:textId="37683D9C" w:rsidR="00B12D11" w:rsidRDefault="00623D3F">
          <w:pPr>
            <w:pStyle w:val="Verzeichnis1"/>
            <w:rPr>
              <w:rFonts w:asciiTheme="minorHAnsi" w:eastAsiaTheme="minorEastAsia" w:hAnsiTheme="minorHAnsi"/>
              <w:noProof/>
              <w:lang w:eastAsia="de-AT"/>
            </w:rPr>
          </w:pPr>
          <w:hyperlink w:anchor="_Toc73014978" w:history="1">
            <w:r w:rsidR="00B12D11" w:rsidRPr="00C563CF">
              <w:rPr>
                <w:rStyle w:val="Hyperlink"/>
                <w:noProof/>
              </w:rPr>
              <w:t>7</w:t>
            </w:r>
            <w:r w:rsidR="00B12D11">
              <w:rPr>
                <w:rFonts w:asciiTheme="minorHAnsi" w:eastAsiaTheme="minorEastAsia" w:hAnsiTheme="minorHAnsi"/>
                <w:noProof/>
                <w:lang w:eastAsia="de-AT"/>
              </w:rPr>
              <w:tab/>
            </w:r>
            <w:r w:rsidR="00B12D11" w:rsidRPr="00C563CF">
              <w:rPr>
                <w:rStyle w:val="Hyperlink"/>
                <w:noProof/>
              </w:rPr>
              <w:t>Analyse der Bankgebühren innerhalb der EU</w:t>
            </w:r>
            <w:r w:rsidR="00B12D11">
              <w:rPr>
                <w:noProof/>
                <w:webHidden/>
              </w:rPr>
              <w:tab/>
            </w:r>
            <w:r w:rsidR="00B12D11">
              <w:rPr>
                <w:noProof/>
                <w:webHidden/>
              </w:rPr>
              <w:fldChar w:fldCharType="begin"/>
            </w:r>
            <w:r w:rsidR="00B12D11">
              <w:rPr>
                <w:noProof/>
                <w:webHidden/>
              </w:rPr>
              <w:instrText xml:space="preserve"> PAGEREF _Toc73014978 \h </w:instrText>
            </w:r>
            <w:r w:rsidR="00B12D11">
              <w:rPr>
                <w:noProof/>
                <w:webHidden/>
              </w:rPr>
            </w:r>
            <w:r w:rsidR="00B12D11">
              <w:rPr>
                <w:noProof/>
                <w:webHidden/>
              </w:rPr>
              <w:fldChar w:fldCharType="separate"/>
            </w:r>
            <w:r w:rsidR="00670350">
              <w:rPr>
                <w:noProof/>
                <w:webHidden/>
              </w:rPr>
              <w:t>31</w:t>
            </w:r>
            <w:r w:rsidR="00B12D11">
              <w:rPr>
                <w:noProof/>
                <w:webHidden/>
              </w:rPr>
              <w:fldChar w:fldCharType="end"/>
            </w:r>
          </w:hyperlink>
        </w:p>
        <w:p w14:paraId="42801C53" w14:textId="416E3857"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79" w:history="1">
            <w:r w:rsidR="00B12D11" w:rsidRPr="00C563CF">
              <w:rPr>
                <w:rStyle w:val="Hyperlink"/>
                <w:noProof/>
              </w:rPr>
              <w:t>7.1</w:t>
            </w:r>
            <w:r w:rsidR="00B12D11">
              <w:rPr>
                <w:rFonts w:asciiTheme="minorHAnsi" w:eastAsiaTheme="minorEastAsia" w:hAnsiTheme="minorHAnsi"/>
                <w:noProof/>
                <w:lang w:eastAsia="de-AT"/>
              </w:rPr>
              <w:tab/>
            </w:r>
            <w:r w:rsidR="00B12D11" w:rsidRPr="00C563CF">
              <w:rPr>
                <w:rStyle w:val="Hyperlink"/>
                <w:noProof/>
              </w:rPr>
              <w:t>Durchschnittliche jährliche Bankgebühren in Europa nach Ländern</w:t>
            </w:r>
            <w:r w:rsidR="00B12D11">
              <w:rPr>
                <w:noProof/>
                <w:webHidden/>
              </w:rPr>
              <w:tab/>
            </w:r>
            <w:r w:rsidR="00B12D11">
              <w:rPr>
                <w:noProof/>
                <w:webHidden/>
              </w:rPr>
              <w:fldChar w:fldCharType="begin"/>
            </w:r>
            <w:r w:rsidR="00B12D11">
              <w:rPr>
                <w:noProof/>
                <w:webHidden/>
              </w:rPr>
              <w:instrText xml:space="preserve"> PAGEREF _Toc73014979 \h </w:instrText>
            </w:r>
            <w:r w:rsidR="00B12D11">
              <w:rPr>
                <w:noProof/>
                <w:webHidden/>
              </w:rPr>
            </w:r>
            <w:r w:rsidR="00B12D11">
              <w:rPr>
                <w:noProof/>
                <w:webHidden/>
              </w:rPr>
              <w:fldChar w:fldCharType="separate"/>
            </w:r>
            <w:r w:rsidR="00670350">
              <w:rPr>
                <w:noProof/>
                <w:webHidden/>
              </w:rPr>
              <w:t>32</w:t>
            </w:r>
            <w:r w:rsidR="00B12D11">
              <w:rPr>
                <w:noProof/>
                <w:webHidden/>
              </w:rPr>
              <w:fldChar w:fldCharType="end"/>
            </w:r>
          </w:hyperlink>
        </w:p>
        <w:p w14:paraId="47CB6488" w14:textId="31086362"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80" w:history="1">
            <w:r w:rsidR="00B12D11" w:rsidRPr="00C563CF">
              <w:rPr>
                <w:rStyle w:val="Hyperlink"/>
                <w:noProof/>
              </w:rPr>
              <w:t>7.2</w:t>
            </w:r>
            <w:r w:rsidR="00B12D11">
              <w:rPr>
                <w:rFonts w:asciiTheme="minorHAnsi" w:eastAsiaTheme="minorEastAsia" w:hAnsiTheme="minorHAnsi"/>
                <w:noProof/>
                <w:lang w:eastAsia="de-AT"/>
              </w:rPr>
              <w:tab/>
            </w:r>
            <w:r w:rsidR="00B12D11" w:rsidRPr="00C563CF">
              <w:rPr>
                <w:rStyle w:val="Hyperlink"/>
                <w:noProof/>
              </w:rPr>
              <w:t>Kontoführung – Durchschnittspreis Österreich vs. EU</w:t>
            </w:r>
            <w:r w:rsidR="00B12D11">
              <w:rPr>
                <w:noProof/>
                <w:webHidden/>
              </w:rPr>
              <w:tab/>
            </w:r>
            <w:r w:rsidR="00B12D11">
              <w:rPr>
                <w:noProof/>
                <w:webHidden/>
              </w:rPr>
              <w:fldChar w:fldCharType="begin"/>
            </w:r>
            <w:r w:rsidR="00B12D11">
              <w:rPr>
                <w:noProof/>
                <w:webHidden/>
              </w:rPr>
              <w:instrText xml:space="preserve"> PAGEREF _Toc73014980 \h </w:instrText>
            </w:r>
            <w:r w:rsidR="00B12D11">
              <w:rPr>
                <w:noProof/>
                <w:webHidden/>
              </w:rPr>
            </w:r>
            <w:r w:rsidR="00B12D11">
              <w:rPr>
                <w:noProof/>
                <w:webHidden/>
              </w:rPr>
              <w:fldChar w:fldCharType="separate"/>
            </w:r>
            <w:r w:rsidR="00670350">
              <w:rPr>
                <w:noProof/>
                <w:webHidden/>
              </w:rPr>
              <w:t>33</w:t>
            </w:r>
            <w:r w:rsidR="00B12D11">
              <w:rPr>
                <w:noProof/>
                <w:webHidden/>
              </w:rPr>
              <w:fldChar w:fldCharType="end"/>
            </w:r>
          </w:hyperlink>
        </w:p>
        <w:p w14:paraId="60DCA114" w14:textId="0A1AB58C"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81" w:history="1">
            <w:r w:rsidR="00B12D11" w:rsidRPr="00C563CF">
              <w:rPr>
                <w:rStyle w:val="Hyperlink"/>
                <w:noProof/>
              </w:rPr>
              <w:t>7.3</w:t>
            </w:r>
            <w:r w:rsidR="00B12D11">
              <w:rPr>
                <w:rFonts w:asciiTheme="minorHAnsi" w:eastAsiaTheme="minorEastAsia" w:hAnsiTheme="minorHAnsi"/>
                <w:noProof/>
                <w:lang w:eastAsia="de-AT"/>
              </w:rPr>
              <w:tab/>
            </w:r>
            <w:r w:rsidR="00B12D11" w:rsidRPr="00C563CF">
              <w:rPr>
                <w:rStyle w:val="Hyperlink"/>
                <w:noProof/>
              </w:rPr>
              <w:t>Kontoführungsgebühren sind unbeliebt</w:t>
            </w:r>
            <w:r w:rsidR="00B12D11">
              <w:rPr>
                <w:noProof/>
                <w:webHidden/>
              </w:rPr>
              <w:tab/>
            </w:r>
            <w:r w:rsidR="00B12D11">
              <w:rPr>
                <w:noProof/>
                <w:webHidden/>
              </w:rPr>
              <w:fldChar w:fldCharType="begin"/>
            </w:r>
            <w:r w:rsidR="00B12D11">
              <w:rPr>
                <w:noProof/>
                <w:webHidden/>
              </w:rPr>
              <w:instrText xml:space="preserve"> PAGEREF _Toc73014981 \h </w:instrText>
            </w:r>
            <w:r w:rsidR="00B12D11">
              <w:rPr>
                <w:noProof/>
                <w:webHidden/>
              </w:rPr>
            </w:r>
            <w:r w:rsidR="00B12D11">
              <w:rPr>
                <w:noProof/>
                <w:webHidden/>
              </w:rPr>
              <w:fldChar w:fldCharType="separate"/>
            </w:r>
            <w:r w:rsidR="00670350">
              <w:rPr>
                <w:noProof/>
                <w:webHidden/>
              </w:rPr>
              <w:t>34</w:t>
            </w:r>
            <w:r w:rsidR="00B12D11">
              <w:rPr>
                <w:noProof/>
                <w:webHidden/>
              </w:rPr>
              <w:fldChar w:fldCharType="end"/>
            </w:r>
          </w:hyperlink>
        </w:p>
        <w:p w14:paraId="0B1C56C8" w14:textId="7DEE571E" w:rsidR="00B12D11" w:rsidRDefault="00623D3F">
          <w:pPr>
            <w:pStyle w:val="Verzeichnis2"/>
            <w:tabs>
              <w:tab w:val="left" w:pos="880"/>
              <w:tab w:val="right" w:leader="dot" w:pos="8494"/>
            </w:tabs>
            <w:rPr>
              <w:rFonts w:asciiTheme="minorHAnsi" w:eastAsiaTheme="minorEastAsia" w:hAnsiTheme="minorHAnsi"/>
              <w:noProof/>
              <w:lang w:eastAsia="de-AT"/>
            </w:rPr>
          </w:pPr>
          <w:hyperlink w:anchor="_Toc73014982" w:history="1">
            <w:r w:rsidR="00B12D11" w:rsidRPr="00C563CF">
              <w:rPr>
                <w:rStyle w:val="Hyperlink"/>
                <w:noProof/>
              </w:rPr>
              <w:t>7.4</w:t>
            </w:r>
            <w:r w:rsidR="00B12D11">
              <w:rPr>
                <w:rFonts w:asciiTheme="minorHAnsi" w:eastAsiaTheme="minorEastAsia" w:hAnsiTheme="minorHAnsi"/>
                <w:noProof/>
                <w:lang w:eastAsia="de-AT"/>
              </w:rPr>
              <w:tab/>
            </w:r>
            <w:r w:rsidR="00B12D11" w:rsidRPr="00C563CF">
              <w:rPr>
                <w:rStyle w:val="Hyperlink"/>
                <w:noProof/>
              </w:rPr>
              <w:t>Bankgebühren: fair oder nicht</w:t>
            </w:r>
            <w:r w:rsidR="00B12D11">
              <w:rPr>
                <w:noProof/>
                <w:webHidden/>
              </w:rPr>
              <w:tab/>
            </w:r>
            <w:r w:rsidR="00B12D11">
              <w:rPr>
                <w:noProof/>
                <w:webHidden/>
              </w:rPr>
              <w:fldChar w:fldCharType="begin"/>
            </w:r>
            <w:r w:rsidR="00B12D11">
              <w:rPr>
                <w:noProof/>
                <w:webHidden/>
              </w:rPr>
              <w:instrText xml:space="preserve"> PAGEREF _Toc73014982 \h </w:instrText>
            </w:r>
            <w:r w:rsidR="00B12D11">
              <w:rPr>
                <w:noProof/>
                <w:webHidden/>
              </w:rPr>
            </w:r>
            <w:r w:rsidR="00B12D11">
              <w:rPr>
                <w:noProof/>
                <w:webHidden/>
              </w:rPr>
              <w:fldChar w:fldCharType="separate"/>
            </w:r>
            <w:r w:rsidR="00670350">
              <w:rPr>
                <w:noProof/>
                <w:webHidden/>
              </w:rPr>
              <w:t>35</w:t>
            </w:r>
            <w:r w:rsidR="00B12D11">
              <w:rPr>
                <w:noProof/>
                <w:webHidden/>
              </w:rPr>
              <w:fldChar w:fldCharType="end"/>
            </w:r>
          </w:hyperlink>
        </w:p>
        <w:p w14:paraId="5939FA51" w14:textId="5A438091" w:rsidR="00B12D11" w:rsidRDefault="00623D3F">
          <w:pPr>
            <w:pStyle w:val="Verzeichnis1"/>
            <w:rPr>
              <w:rFonts w:asciiTheme="minorHAnsi" w:eastAsiaTheme="minorEastAsia" w:hAnsiTheme="minorHAnsi"/>
              <w:noProof/>
              <w:lang w:eastAsia="de-AT"/>
            </w:rPr>
          </w:pPr>
          <w:hyperlink w:anchor="_Toc73014983" w:history="1">
            <w:r w:rsidR="00B12D11" w:rsidRPr="00C563CF">
              <w:rPr>
                <w:rStyle w:val="Hyperlink"/>
                <w:noProof/>
              </w:rPr>
              <w:t>8</w:t>
            </w:r>
            <w:r w:rsidR="00B12D11">
              <w:rPr>
                <w:rFonts w:asciiTheme="minorHAnsi" w:eastAsiaTheme="minorEastAsia" w:hAnsiTheme="minorHAnsi"/>
                <w:noProof/>
                <w:lang w:eastAsia="de-AT"/>
              </w:rPr>
              <w:tab/>
            </w:r>
            <w:r w:rsidR="00B12D11" w:rsidRPr="00C563CF">
              <w:rPr>
                <w:rStyle w:val="Hyperlink"/>
                <w:noProof/>
              </w:rPr>
              <w:t>Conclusio</w:t>
            </w:r>
            <w:r w:rsidR="00B12D11">
              <w:rPr>
                <w:noProof/>
                <w:webHidden/>
              </w:rPr>
              <w:tab/>
            </w:r>
            <w:r w:rsidR="00B12D11">
              <w:rPr>
                <w:noProof/>
                <w:webHidden/>
              </w:rPr>
              <w:fldChar w:fldCharType="begin"/>
            </w:r>
            <w:r w:rsidR="00B12D11">
              <w:rPr>
                <w:noProof/>
                <w:webHidden/>
              </w:rPr>
              <w:instrText xml:space="preserve"> PAGEREF _Toc73014983 \h </w:instrText>
            </w:r>
            <w:r w:rsidR="00B12D11">
              <w:rPr>
                <w:noProof/>
                <w:webHidden/>
              </w:rPr>
            </w:r>
            <w:r w:rsidR="00B12D11">
              <w:rPr>
                <w:noProof/>
                <w:webHidden/>
              </w:rPr>
              <w:fldChar w:fldCharType="separate"/>
            </w:r>
            <w:r w:rsidR="00670350">
              <w:rPr>
                <w:noProof/>
                <w:webHidden/>
              </w:rPr>
              <w:t>37</w:t>
            </w:r>
            <w:r w:rsidR="00B12D11">
              <w:rPr>
                <w:noProof/>
                <w:webHidden/>
              </w:rPr>
              <w:fldChar w:fldCharType="end"/>
            </w:r>
          </w:hyperlink>
        </w:p>
        <w:p w14:paraId="2044D017" w14:textId="4018693F" w:rsidR="00B12D11" w:rsidRDefault="00623D3F">
          <w:pPr>
            <w:pStyle w:val="Verzeichnis1"/>
            <w:rPr>
              <w:rFonts w:asciiTheme="minorHAnsi" w:eastAsiaTheme="minorEastAsia" w:hAnsiTheme="minorHAnsi"/>
              <w:noProof/>
              <w:lang w:eastAsia="de-AT"/>
            </w:rPr>
          </w:pPr>
          <w:hyperlink w:anchor="_Toc73014984" w:history="1">
            <w:r w:rsidR="00B12D11" w:rsidRPr="00C563CF">
              <w:rPr>
                <w:rStyle w:val="Hyperlink"/>
                <w:noProof/>
              </w:rPr>
              <w:t>9</w:t>
            </w:r>
            <w:r w:rsidR="00B12D11">
              <w:rPr>
                <w:rFonts w:asciiTheme="minorHAnsi" w:eastAsiaTheme="minorEastAsia" w:hAnsiTheme="minorHAnsi"/>
                <w:noProof/>
                <w:lang w:eastAsia="de-AT"/>
              </w:rPr>
              <w:tab/>
            </w:r>
            <w:r w:rsidR="00B12D11" w:rsidRPr="00C563CF">
              <w:rPr>
                <w:rStyle w:val="Hyperlink"/>
                <w:noProof/>
              </w:rPr>
              <w:t>Literaturverzeichnis</w:t>
            </w:r>
            <w:r w:rsidR="00B12D11">
              <w:rPr>
                <w:noProof/>
                <w:webHidden/>
              </w:rPr>
              <w:tab/>
            </w:r>
            <w:r w:rsidR="00B12D11">
              <w:rPr>
                <w:noProof/>
                <w:webHidden/>
              </w:rPr>
              <w:fldChar w:fldCharType="begin"/>
            </w:r>
            <w:r w:rsidR="00B12D11">
              <w:rPr>
                <w:noProof/>
                <w:webHidden/>
              </w:rPr>
              <w:instrText xml:space="preserve"> PAGEREF _Toc73014984 \h </w:instrText>
            </w:r>
            <w:r w:rsidR="00B12D11">
              <w:rPr>
                <w:noProof/>
                <w:webHidden/>
              </w:rPr>
            </w:r>
            <w:r w:rsidR="00B12D11">
              <w:rPr>
                <w:noProof/>
                <w:webHidden/>
              </w:rPr>
              <w:fldChar w:fldCharType="separate"/>
            </w:r>
            <w:r w:rsidR="00670350">
              <w:rPr>
                <w:noProof/>
                <w:webHidden/>
              </w:rPr>
              <w:t>38</w:t>
            </w:r>
            <w:r w:rsidR="00B12D11">
              <w:rPr>
                <w:noProof/>
                <w:webHidden/>
              </w:rPr>
              <w:fldChar w:fldCharType="end"/>
            </w:r>
          </w:hyperlink>
        </w:p>
        <w:p w14:paraId="38CB25EA" w14:textId="0AEFD3F5" w:rsidR="006C61B6" w:rsidRDefault="006C61B6">
          <w:r>
            <w:rPr>
              <w:b/>
              <w:bCs/>
              <w:lang w:val="de-DE"/>
            </w:rPr>
            <w:fldChar w:fldCharType="end"/>
          </w:r>
        </w:p>
      </w:sdtContent>
    </w:sdt>
    <w:p w14:paraId="0BAA351B" w14:textId="33BDA14B" w:rsidR="006734E1" w:rsidRPr="006C61B6" w:rsidRDefault="00BE7349" w:rsidP="006C61B6">
      <w:pPr>
        <w:pStyle w:val="Listenabsatz"/>
        <w:numPr>
          <w:ilvl w:val="4"/>
          <w:numId w:val="26"/>
        </w:numPr>
        <w:rPr>
          <w:lang w:val="de-DE"/>
        </w:rPr>
      </w:pPr>
      <w:r>
        <w:rPr>
          <w:lang w:eastAsia="de-AT"/>
        </w:rPr>
        <w:br w:type="page"/>
      </w:r>
    </w:p>
    <w:p w14:paraId="02A75907" w14:textId="20D03A6D" w:rsidR="00817EB9" w:rsidRPr="00FB29B6" w:rsidRDefault="00817EB9" w:rsidP="00FB29B6">
      <w:pPr>
        <w:pStyle w:val="berschrift1"/>
      </w:pPr>
      <w:bookmarkStart w:id="0" w:name="_Toc73014938"/>
      <w:bookmarkStart w:id="1" w:name="_Toc68526630"/>
      <w:bookmarkStart w:id="2" w:name="_Toc68526652"/>
      <w:bookmarkStart w:id="3" w:name="_Toc68526769"/>
      <w:bookmarkStart w:id="4" w:name="_Toc68527573"/>
      <w:r w:rsidRPr="00FB29B6">
        <w:lastRenderedPageBreak/>
        <w:t>Abkürzungsverzeichnis</w:t>
      </w:r>
      <w:bookmarkEnd w:id="0"/>
    </w:p>
    <w:p w14:paraId="6F5E202A" w14:textId="5E00BC53" w:rsidR="00E23050" w:rsidRPr="00D37F53" w:rsidRDefault="00E23050" w:rsidP="000339EA">
      <w:pPr>
        <w:spacing w:after="120"/>
        <w:rPr>
          <w:sz w:val="24"/>
          <w:szCs w:val="24"/>
        </w:rPr>
      </w:pPr>
      <w:r w:rsidRPr="00D37F53">
        <w:rPr>
          <w:sz w:val="24"/>
          <w:szCs w:val="24"/>
        </w:rPr>
        <w:t>ABGB</w:t>
      </w:r>
      <w:r w:rsidR="00B20427">
        <w:rPr>
          <w:sz w:val="24"/>
          <w:szCs w:val="24"/>
        </w:rPr>
        <w:tab/>
      </w:r>
      <w:r w:rsidR="00B20427">
        <w:rPr>
          <w:sz w:val="24"/>
          <w:szCs w:val="24"/>
        </w:rPr>
        <w:tab/>
      </w:r>
      <w:r w:rsidR="00B20427">
        <w:rPr>
          <w:sz w:val="24"/>
          <w:szCs w:val="24"/>
        </w:rPr>
        <w:tab/>
      </w:r>
      <w:r w:rsidR="00B20427">
        <w:rPr>
          <w:sz w:val="24"/>
          <w:szCs w:val="24"/>
        </w:rPr>
        <w:tab/>
        <w:t>Allgemeines Bürgerliches Gesetzbuch</w:t>
      </w:r>
    </w:p>
    <w:p w14:paraId="6A2B619D" w14:textId="0707888E" w:rsidR="0031508D" w:rsidRPr="00D37F53" w:rsidRDefault="0031508D" w:rsidP="000339EA">
      <w:pPr>
        <w:spacing w:after="120"/>
        <w:rPr>
          <w:sz w:val="24"/>
          <w:szCs w:val="24"/>
        </w:rPr>
      </w:pPr>
      <w:r w:rsidRPr="00D37F53">
        <w:rPr>
          <w:sz w:val="24"/>
          <w:szCs w:val="24"/>
        </w:rPr>
        <w:t>DB</w:t>
      </w:r>
      <w:r w:rsidR="005233DF">
        <w:rPr>
          <w:sz w:val="24"/>
          <w:szCs w:val="24"/>
        </w:rPr>
        <w:tab/>
      </w:r>
      <w:r w:rsidR="005233DF">
        <w:rPr>
          <w:sz w:val="24"/>
          <w:szCs w:val="24"/>
        </w:rPr>
        <w:tab/>
      </w:r>
      <w:r w:rsidR="005233DF">
        <w:rPr>
          <w:sz w:val="24"/>
          <w:szCs w:val="24"/>
        </w:rPr>
        <w:tab/>
      </w:r>
      <w:r w:rsidR="005233DF">
        <w:rPr>
          <w:sz w:val="24"/>
          <w:szCs w:val="24"/>
        </w:rPr>
        <w:tab/>
        <w:t>Dienstgeberbeitrag</w:t>
      </w:r>
    </w:p>
    <w:p w14:paraId="6D5D08EB" w14:textId="1FB19A65" w:rsidR="0031508D" w:rsidRDefault="0031508D" w:rsidP="000339EA">
      <w:pPr>
        <w:spacing w:after="120"/>
        <w:rPr>
          <w:sz w:val="24"/>
          <w:szCs w:val="24"/>
        </w:rPr>
      </w:pPr>
      <w:r w:rsidRPr="00D37F53">
        <w:rPr>
          <w:sz w:val="24"/>
          <w:szCs w:val="24"/>
        </w:rPr>
        <w:t>DG</w:t>
      </w:r>
      <w:r w:rsidR="0035354B">
        <w:rPr>
          <w:sz w:val="24"/>
          <w:szCs w:val="24"/>
        </w:rPr>
        <w:tab/>
      </w:r>
      <w:r w:rsidR="0035354B">
        <w:rPr>
          <w:sz w:val="24"/>
          <w:szCs w:val="24"/>
        </w:rPr>
        <w:tab/>
      </w:r>
      <w:r w:rsidR="0035354B">
        <w:rPr>
          <w:sz w:val="24"/>
          <w:szCs w:val="24"/>
        </w:rPr>
        <w:tab/>
      </w:r>
      <w:r w:rsidR="0035354B">
        <w:rPr>
          <w:sz w:val="24"/>
          <w:szCs w:val="24"/>
        </w:rPr>
        <w:tab/>
        <w:t>Dienstgeber</w:t>
      </w:r>
    </w:p>
    <w:p w14:paraId="7B7CD128" w14:textId="443FDF31" w:rsidR="0035354B" w:rsidRPr="00D37F53" w:rsidRDefault="0035354B" w:rsidP="000339EA">
      <w:pPr>
        <w:spacing w:after="120"/>
        <w:rPr>
          <w:sz w:val="24"/>
          <w:szCs w:val="24"/>
        </w:rPr>
      </w:pPr>
      <w:r>
        <w:rPr>
          <w:sz w:val="24"/>
          <w:szCs w:val="24"/>
        </w:rPr>
        <w:t>DGA</w:t>
      </w:r>
      <w:r>
        <w:rPr>
          <w:sz w:val="24"/>
          <w:szCs w:val="24"/>
        </w:rPr>
        <w:tab/>
      </w:r>
      <w:r>
        <w:rPr>
          <w:sz w:val="24"/>
          <w:szCs w:val="24"/>
        </w:rPr>
        <w:tab/>
      </w:r>
      <w:r>
        <w:rPr>
          <w:sz w:val="24"/>
          <w:szCs w:val="24"/>
        </w:rPr>
        <w:tab/>
      </w:r>
      <w:r>
        <w:rPr>
          <w:sz w:val="24"/>
          <w:szCs w:val="24"/>
        </w:rPr>
        <w:tab/>
        <w:t>Dienstgeber</w:t>
      </w:r>
      <w:r w:rsidR="00CA0575">
        <w:rPr>
          <w:sz w:val="24"/>
          <w:szCs w:val="24"/>
        </w:rPr>
        <w:t>abgabe</w:t>
      </w:r>
    </w:p>
    <w:p w14:paraId="6A940CB9" w14:textId="4C234E9F" w:rsidR="0031508D" w:rsidRDefault="0031508D" w:rsidP="000339EA">
      <w:pPr>
        <w:spacing w:after="120"/>
        <w:rPr>
          <w:sz w:val="24"/>
          <w:szCs w:val="24"/>
        </w:rPr>
      </w:pPr>
      <w:r w:rsidRPr="00D37F53">
        <w:rPr>
          <w:sz w:val="24"/>
          <w:szCs w:val="24"/>
        </w:rPr>
        <w:t>DZ</w:t>
      </w:r>
      <w:r w:rsidR="00846329">
        <w:rPr>
          <w:sz w:val="24"/>
          <w:szCs w:val="24"/>
        </w:rPr>
        <w:tab/>
      </w:r>
      <w:r w:rsidR="00846329">
        <w:rPr>
          <w:sz w:val="24"/>
          <w:szCs w:val="24"/>
        </w:rPr>
        <w:tab/>
      </w:r>
      <w:r w:rsidR="00846329">
        <w:rPr>
          <w:sz w:val="24"/>
          <w:szCs w:val="24"/>
        </w:rPr>
        <w:tab/>
      </w:r>
      <w:r w:rsidR="00846329">
        <w:rPr>
          <w:sz w:val="24"/>
          <w:szCs w:val="24"/>
        </w:rPr>
        <w:tab/>
        <w:t xml:space="preserve">Zuschlag zum Dienstgeberbeitrag </w:t>
      </w:r>
    </w:p>
    <w:p w14:paraId="018C0C4C" w14:textId="3745535A" w:rsidR="00846329" w:rsidRPr="00D37F53" w:rsidRDefault="00846329" w:rsidP="000339EA">
      <w:pPr>
        <w:spacing w:after="120"/>
        <w:rPr>
          <w:sz w:val="24"/>
          <w:szCs w:val="24"/>
        </w:rPr>
      </w:pPr>
      <w:r>
        <w:rPr>
          <w:sz w:val="24"/>
          <w:szCs w:val="24"/>
        </w:rPr>
        <w:t>EU</w:t>
      </w:r>
      <w:r>
        <w:rPr>
          <w:sz w:val="24"/>
          <w:szCs w:val="24"/>
        </w:rPr>
        <w:tab/>
      </w:r>
      <w:r>
        <w:rPr>
          <w:sz w:val="24"/>
          <w:szCs w:val="24"/>
        </w:rPr>
        <w:tab/>
      </w:r>
      <w:r>
        <w:rPr>
          <w:sz w:val="24"/>
          <w:szCs w:val="24"/>
        </w:rPr>
        <w:tab/>
      </w:r>
      <w:r>
        <w:rPr>
          <w:sz w:val="24"/>
          <w:szCs w:val="24"/>
        </w:rPr>
        <w:tab/>
        <w:t>Europäische Union</w:t>
      </w:r>
    </w:p>
    <w:p w14:paraId="6718D595" w14:textId="07F3BC26" w:rsidR="0031508D" w:rsidRPr="00D37F53" w:rsidRDefault="0031508D" w:rsidP="000339EA">
      <w:pPr>
        <w:spacing w:after="120"/>
        <w:rPr>
          <w:sz w:val="24"/>
          <w:szCs w:val="24"/>
        </w:rPr>
      </w:pPr>
      <w:proofErr w:type="spellStart"/>
      <w:r w:rsidRPr="00D37F53">
        <w:rPr>
          <w:sz w:val="24"/>
          <w:szCs w:val="24"/>
        </w:rPr>
        <w:t>KartG</w:t>
      </w:r>
      <w:proofErr w:type="spellEnd"/>
      <w:r w:rsidR="00B20427">
        <w:rPr>
          <w:sz w:val="24"/>
          <w:szCs w:val="24"/>
        </w:rPr>
        <w:tab/>
      </w:r>
      <w:r w:rsidR="00B20427">
        <w:rPr>
          <w:sz w:val="24"/>
          <w:szCs w:val="24"/>
        </w:rPr>
        <w:tab/>
      </w:r>
      <w:r w:rsidR="00B20427">
        <w:rPr>
          <w:sz w:val="24"/>
          <w:szCs w:val="24"/>
        </w:rPr>
        <w:tab/>
      </w:r>
      <w:r w:rsidR="00B20427">
        <w:rPr>
          <w:sz w:val="24"/>
          <w:szCs w:val="24"/>
        </w:rPr>
        <w:tab/>
        <w:t>Kartellgesetz</w:t>
      </w:r>
    </w:p>
    <w:p w14:paraId="2FD23D03" w14:textId="63A614E9" w:rsidR="0031508D" w:rsidRPr="00D37F53" w:rsidRDefault="0031508D" w:rsidP="000339EA">
      <w:pPr>
        <w:spacing w:after="120"/>
        <w:rPr>
          <w:sz w:val="24"/>
          <w:szCs w:val="24"/>
        </w:rPr>
      </w:pPr>
      <w:proofErr w:type="spellStart"/>
      <w:proofErr w:type="gramStart"/>
      <w:r w:rsidRPr="00D37F53">
        <w:rPr>
          <w:sz w:val="24"/>
          <w:szCs w:val="24"/>
        </w:rPr>
        <w:t>KommSt</w:t>
      </w:r>
      <w:proofErr w:type="spellEnd"/>
      <w:proofErr w:type="gramEnd"/>
      <w:r w:rsidR="00B20427">
        <w:rPr>
          <w:sz w:val="24"/>
          <w:szCs w:val="24"/>
        </w:rPr>
        <w:tab/>
      </w:r>
      <w:r w:rsidR="00B20427">
        <w:rPr>
          <w:sz w:val="24"/>
          <w:szCs w:val="24"/>
        </w:rPr>
        <w:tab/>
      </w:r>
      <w:r w:rsidR="00B20427">
        <w:rPr>
          <w:sz w:val="24"/>
          <w:szCs w:val="24"/>
        </w:rPr>
        <w:tab/>
        <w:t>Kommunalsteuer</w:t>
      </w:r>
    </w:p>
    <w:p w14:paraId="17684E24" w14:textId="43136092" w:rsidR="0031508D" w:rsidRPr="00D37F53" w:rsidRDefault="0031508D" w:rsidP="000339EA">
      <w:pPr>
        <w:spacing w:after="120"/>
        <w:rPr>
          <w:sz w:val="24"/>
          <w:szCs w:val="24"/>
        </w:rPr>
      </w:pPr>
      <w:r w:rsidRPr="00D37F53">
        <w:rPr>
          <w:sz w:val="24"/>
          <w:szCs w:val="24"/>
        </w:rPr>
        <w:t>KSchG</w:t>
      </w:r>
      <w:r w:rsidR="00B20427">
        <w:rPr>
          <w:sz w:val="24"/>
          <w:szCs w:val="24"/>
        </w:rPr>
        <w:tab/>
      </w:r>
      <w:r w:rsidR="00B20427">
        <w:rPr>
          <w:sz w:val="24"/>
          <w:szCs w:val="24"/>
        </w:rPr>
        <w:tab/>
      </w:r>
      <w:r w:rsidR="00B20427">
        <w:rPr>
          <w:sz w:val="24"/>
          <w:szCs w:val="24"/>
        </w:rPr>
        <w:tab/>
        <w:t>Konsumentenschutzgesetz</w:t>
      </w:r>
    </w:p>
    <w:p w14:paraId="75A6D657" w14:textId="384521C6" w:rsidR="00E23050" w:rsidRPr="00D37F53" w:rsidRDefault="0031508D" w:rsidP="000339EA">
      <w:pPr>
        <w:spacing w:after="120"/>
        <w:rPr>
          <w:sz w:val="24"/>
          <w:szCs w:val="24"/>
        </w:rPr>
      </w:pPr>
      <w:r w:rsidRPr="00D37F53">
        <w:rPr>
          <w:sz w:val="24"/>
          <w:szCs w:val="24"/>
        </w:rPr>
        <w:t>SB-Zone</w:t>
      </w:r>
      <w:r w:rsidR="00B20427">
        <w:rPr>
          <w:sz w:val="24"/>
          <w:szCs w:val="24"/>
        </w:rPr>
        <w:tab/>
      </w:r>
      <w:r w:rsidR="00B20427">
        <w:rPr>
          <w:sz w:val="24"/>
          <w:szCs w:val="24"/>
        </w:rPr>
        <w:tab/>
      </w:r>
      <w:r w:rsidR="00B20427">
        <w:rPr>
          <w:sz w:val="24"/>
          <w:szCs w:val="24"/>
        </w:rPr>
        <w:tab/>
        <w:t>Selbstbedienungs-Zone</w:t>
      </w:r>
    </w:p>
    <w:p w14:paraId="37A11109" w14:textId="301214C7" w:rsidR="0031508D" w:rsidRPr="00D37F53" w:rsidRDefault="0031508D" w:rsidP="000339EA">
      <w:pPr>
        <w:spacing w:after="120"/>
        <w:rPr>
          <w:sz w:val="24"/>
          <w:szCs w:val="24"/>
        </w:rPr>
      </w:pPr>
      <w:r w:rsidRPr="00D37F53">
        <w:rPr>
          <w:sz w:val="24"/>
          <w:szCs w:val="24"/>
        </w:rPr>
        <w:t>SB-Automat</w:t>
      </w:r>
      <w:r w:rsidR="00B20427">
        <w:rPr>
          <w:sz w:val="24"/>
          <w:szCs w:val="24"/>
        </w:rPr>
        <w:tab/>
      </w:r>
      <w:r w:rsidR="00B20427">
        <w:rPr>
          <w:sz w:val="24"/>
          <w:szCs w:val="24"/>
        </w:rPr>
        <w:tab/>
      </w:r>
      <w:r w:rsidR="00B20427">
        <w:rPr>
          <w:sz w:val="24"/>
          <w:szCs w:val="24"/>
        </w:rPr>
        <w:tab/>
        <w:t>Selbstbedienungs-Automat</w:t>
      </w:r>
    </w:p>
    <w:p w14:paraId="5673750E" w14:textId="799B6E65" w:rsidR="0031508D" w:rsidRDefault="0031508D" w:rsidP="000339EA">
      <w:pPr>
        <w:spacing w:after="120"/>
        <w:rPr>
          <w:sz w:val="24"/>
          <w:szCs w:val="24"/>
        </w:rPr>
      </w:pPr>
      <w:proofErr w:type="spellStart"/>
      <w:r w:rsidRPr="00D37F53">
        <w:rPr>
          <w:sz w:val="24"/>
          <w:szCs w:val="24"/>
        </w:rPr>
        <w:t>ZaDiG</w:t>
      </w:r>
      <w:proofErr w:type="spellEnd"/>
      <w:r w:rsidR="00B20427">
        <w:rPr>
          <w:sz w:val="24"/>
          <w:szCs w:val="24"/>
        </w:rPr>
        <w:tab/>
      </w:r>
      <w:r w:rsidR="00B20427">
        <w:rPr>
          <w:sz w:val="24"/>
          <w:szCs w:val="24"/>
        </w:rPr>
        <w:tab/>
      </w:r>
      <w:r w:rsidR="00B20427">
        <w:rPr>
          <w:sz w:val="24"/>
          <w:szCs w:val="24"/>
        </w:rPr>
        <w:tab/>
      </w:r>
      <w:r w:rsidR="00B20427">
        <w:rPr>
          <w:sz w:val="24"/>
          <w:szCs w:val="24"/>
        </w:rPr>
        <w:tab/>
      </w:r>
      <w:proofErr w:type="spellStart"/>
      <w:r w:rsidR="00B20427">
        <w:rPr>
          <w:sz w:val="24"/>
          <w:szCs w:val="24"/>
        </w:rPr>
        <w:t>Zahlungsdienstegesetz</w:t>
      </w:r>
      <w:proofErr w:type="spellEnd"/>
    </w:p>
    <w:p w14:paraId="5AE71C90" w14:textId="57BA4C7E" w:rsidR="00846329" w:rsidRPr="00D37F53" w:rsidRDefault="00846329" w:rsidP="000339EA">
      <w:pPr>
        <w:spacing w:after="120"/>
        <w:rPr>
          <w:sz w:val="24"/>
          <w:szCs w:val="24"/>
        </w:rPr>
      </w:pPr>
      <w:r>
        <w:rPr>
          <w:sz w:val="24"/>
          <w:szCs w:val="24"/>
        </w:rPr>
        <w:t>z.B.</w:t>
      </w:r>
      <w:r>
        <w:rPr>
          <w:sz w:val="24"/>
          <w:szCs w:val="24"/>
        </w:rPr>
        <w:tab/>
      </w:r>
      <w:r>
        <w:rPr>
          <w:sz w:val="24"/>
          <w:szCs w:val="24"/>
        </w:rPr>
        <w:tab/>
      </w:r>
      <w:r>
        <w:rPr>
          <w:sz w:val="24"/>
          <w:szCs w:val="24"/>
        </w:rPr>
        <w:tab/>
      </w:r>
      <w:r>
        <w:rPr>
          <w:sz w:val="24"/>
          <w:szCs w:val="24"/>
        </w:rPr>
        <w:tab/>
        <w:t xml:space="preserve">zum Beispiel </w:t>
      </w:r>
    </w:p>
    <w:p w14:paraId="348289DC" w14:textId="70E561B8" w:rsidR="00D37F53" w:rsidRDefault="00D37F53" w:rsidP="00E23050"/>
    <w:p w14:paraId="2AE2C7F5" w14:textId="731D3FD3" w:rsidR="00D37F53" w:rsidRDefault="00D37F53" w:rsidP="00E23050"/>
    <w:p w14:paraId="442670D9" w14:textId="77777777" w:rsidR="00D37F53" w:rsidRPr="00E23050" w:rsidRDefault="00D37F53" w:rsidP="00E23050"/>
    <w:p w14:paraId="71E75DF4" w14:textId="017FAC4C" w:rsidR="000210DB" w:rsidRPr="00FB29B6" w:rsidRDefault="0042592A" w:rsidP="00FB29B6">
      <w:pPr>
        <w:pStyle w:val="berschrift1"/>
      </w:pPr>
      <w:bookmarkStart w:id="5" w:name="_Toc73014939"/>
      <w:r w:rsidRPr="00FB29B6">
        <w:t>Abbildungsverzeichnis</w:t>
      </w:r>
      <w:bookmarkEnd w:id="1"/>
      <w:bookmarkEnd w:id="2"/>
      <w:bookmarkEnd w:id="3"/>
      <w:bookmarkEnd w:id="4"/>
      <w:bookmarkEnd w:id="5"/>
    </w:p>
    <w:p w14:paraId="73C6EDB2" w14:textId="61FEA273" w:rsidR="001A0BEF" w:rsidRPr="00B6406C" w:rsidRDefault="001A0BEF" w:rsidP="001A0BEF">
      <w:pPr>
        <w:pStyle w:val="Abbildungsverzeichnis"/>
        <w:tabs>
          <w:tab w:val="right" w:leader="dot" w:pos="8494"/>
        </w:tabs>
        <w:spacing w:line="480" w:lineRule="auto"/>
        <w:rPr>
          <w:rFonts w:ascii="Arial" w:eastAsiaTheme="minorEastAsia" w:hAnsi="Arial" w:cs="Arial"/>
          <w:i w:val="0"/>
          <w:iCs w:val="0"/>
          <w:noProof/>
          <w:sz w:val="24"/>
          <w:szCs w:val="24"/>
          <w:lang w:eastAsia="de-AT"/>
        </w:rPr>
      </w:pPr>
      <w:r w:rsidRPr="00D37F53">
        <w:rPr>
          <w:rFonts w:ascii="Arial" w:hAnsi="Arial" w:cs="Arial"/>
          <w:i w:val="0"/>
          <w:iCs w:val="0"/>
          <w:sz w:val="24"/>
          <w:szCs w:val="24"/>
        </w:rPr>
        <w:fldChar w:fldCharType="begin"/>
      </w:r>
      <w:r w:rsidRPr="00D37F53">
        <w:rPr>
          <w:rFonts w:ascii="Arial" w:hAnsi="Arial" w:cs="Arial"/>
          <w:i w:val="0"/>
          <w:iCs w:val="0"/>
          <w:sz w:val="24"/>
          <w:szCs w:val="24"/>
        </w:rPr>
        <w:instrText xml:space="preserve"> TOC \h \z \c "Abbildung" </w:instrText>
      </w:r>
      <w:r w:rsidRPr="00D37F53">
        <w:rPr>
          <w:rFonts w:ascii="Arial" w:hAnsi="Arial" w:cs="Arial"/>
          <w:i w:val="0"/>
          <w:iCs w:val="0"/>
          <w:sz w:val="24"/>
          <w:szCs w:val="24"/>
        </w:rPr>
        <w:fldChar w:fldCharType="separate"/>
      </w:r>
      <w:hyperlink r:id="rId9" w:anchor="_Toc72442211" w:history="1">
        <w:r w:rsidRPr="00B6406C">
          <w:rPr>
            <w:rStyle w:val="Hyperlink"/>
            <w:rFonts w:ascii="Arial" w:hAnsi="Arial" w:cs="Arial"/>
            <w:i w:val="0"/>
            <w:iCs w:val="0"/>
            <w:noProof/>
            <w:sz w:val="24"/>
            <w:szCs w:val="24"/>
          </w:rPr>
          <w:t>Abbildung 1: Durchschnittliche jährliche Bankgebühren in Europa nach Ländern in Euro (Statista, 2009)</w:t>
        </w:r>
        <w:r w:rsidRPr="00B6406C">
          <w:rPr>
            <w:rFonts w:ascii="Arial" w:hAnsi="Arial" w:cs="Arial"/>
            <w:i w:val="0"/>
            <w:iCs w:val="0"/>
            <w:noProof/>
            <w:webHidden/>
            <w:sz w:val="24"/>
            <w:szCs w:val="24"/>
          </w:rPr>
          <w:tab/>
        </w:r>
        <w:r w:rsidRPr="00B6406C">
          <w:rPr>
            <w:rFonts w:ascii="Arial" w:hAnsi="Arial" w:cs="Arial"/>
            <w:i w:val="0"/>
            <w:iCs w:val="0"/>
            <w:noProof/>
            <w:webHidden/>
            <w:sz w:val="24"/>
            <w:szCs w:val="24"/>
          </w:rPr>
          <w:fldChar w:fldCharType="begin"/>
        </w:r>
        <w:r w:rsidRPr="00B6406C">
          <w:rPr>
            <w:rFonts w:ascii="Arial" w:hAnsi="Arial" w:cs="Arial"/>
            <w:i w:val="0"/>
            <w:iCs w:val="0"/>
            <w:noProof/>
            <w:webHidden/>
            <w:sz w:val="24"/>
            <w:szCs w:val="24"/>
          </w:rPr>
          <w:instrText xml:space="preserve"> PAGEREF _Toc72442211 \h </w:instrText>
        </w:r>
        <w:r w:rsidRPr="00B6406C">
          <w:rPr>
            <w:rFonts w:ascii="Arial" w:hAnsi="Arial" w:cs="Arial"/>
            <w:i w:val="0"/>
            <w:iCs w:val="0"/>
            <w:noProof/>
            <w:webHidden/>
            <w:sz w:val="24"/>
            <w:szCs w:val="24"/>
          </w:rPr>
        </w:r>
        <w:r w:rsidRPr="00B6406C">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32</w:t>
        </w:r>
        <w:r w:rsidRPr="00B6406C">
          <w:rPr>
            <w:rFonts w:ascii="Arial" w:hAnsi="Arial" w:cs="Arial"/>
            <w:i w:val="0"/>
            <w:iCs w:val="0"/>
            <w:noProof/>
            <w:webHidden/>
            <w:sz w:val="24"/>
            <w:szCs w:val="24"/>
          </w:rPr>
          <w:fldChar w:fldCharType="end"/>
        </w:r>
      </w:hyperlink>
    </w:p>
    <w:p w14:paraId="3199BBE7" w14:textId="28BBC59F" w:rsidR="001A0BEF" w:rsidRPr="00B6406C" w:rsidRDefault="00623D3F" w:rsidP="001A0BEF">
      <w:pPr>
        <w:pStyle w:val="Abbildungsverzeichnis"/>
        <w:tabs>
          <w:tab w:val="right" w:leader="dot" w:pos="8494"/>
        </w:tabs>
        <w:spacing w:line="480" w:lineRule="auto"/>
        <w:rPr>
          <w:rFonts w:ascii="Arial" w:eastAsiaTheme="minorEastAsia" w:hAnsi="Arial" w:cs="Arial"/>
          <w:i w:val="0"/>
          <w:iCs w:val="0"/>
          <w:noProof/>
          <w:sz w:val="24"/>
          <w:szCs w:val="24"/>
          <w:lang w:eastAsia="de-AT"/>
        </w:rPr>
      </w:pPr>
      <w:hyperlink r:id="rId10" w:anchor="_Toc72442212" w:history="1">
        <w:r w:rsidR="001A0BEF" w:rsidRPr="00B6406C">
          <w:rPr>
            <w:rStyle w:val="Hyperlink"/>
            <w:rFonts w:ascii="Arial" w:hAnsi="Arial" w:cs="Arial"/>
            <w:i w:val="0"/>
            <w:iCs w:val="0"/>
            <w:noProof/>
            <w:sz w:val="24"/>
            <w:szCs w:val="24"/>
          </w:rPr>
          <w:t>Abbildung 2: Durchschnittliche Kontoführungsgebühren 2016 (Wirtschaftskammer Österreich, 2018)</w:t>
        </w:r>
        <w:r w:rsidR="001A0BEF" w:rsidRPr="00B6406C">
          <w:rPr>
            <w:rFonts w:ascii="Arial" w:hAnsi="Arial" w:cs="Arial"/>
            <w:i w:val="0"/>
            <w:iCs w:val="0"/>
            <w:noProof/>
            <w:webHidden/>
            <w:sz w:val="24"/>
            <w:szCs w:val="24"/>
          </w:rPr>
          <w:tab/>
        </w:r>
        <w:r w:rsidR="001A0BEF" w:rsidRPr="00B6406C">
          <w:rPr>
            <w:rFonts w:ascii="Arial" w:hAnsi="Arial" w:cs="Arial"/>
            <w:i w:val="0"/>
            <w:iCs w:val="0"/>
            <w:noProof/>
            <w:webHidden/>
            <w:sz w:val="24"/>
            <w:szCs w:val="24"/>
          </w:rPr>
          <w:fldChar w:fldCharType="begin"/>
        </w:r>
        <w:r w:rsidR="001A0BEF" w:rsidRPr="00B6406C">
          <w:rPr>
            <w:rFonts w:ascii="Arial" w:hAnsi="Arial" w:cs="Arial"/>
            <w:i w:val="0"/>
            <w:iCs w:val="0"/>
            <w:noProof/>
            <w:webHidden/>
            <w:sz w:val="24"/>
            <w:szCs w:val="24"/>
          </w:rPr>
          <w:instrText xml:space="preserve"> PAGEREF _Toc72442212 \h </w:instrText>
        </w:r>
        <w:r w:rsidR="001A0BEF" w:rsidRPr="00B6406C">
          <w:rPr>
            <w:rFonts w:ascii="Arial" w:hAnsi="Arial" w:cs="Arial"/>
            <w:i w:val="0"/>
            <w:iCs w:val="0"/>
            <w:noProof/>
            <w:webHidden/>
            <w:sz w:val="24"/>
            <w:szCs w:val="24"/>
          </w:rPr>
        </w:r>
        <w:r w:rsidR="001A0BEF" w:rsidRPr="00B6406C">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33</w:t>
        </w:r>
        <w:r w:rsidR="001A0BEF" w:rsidRPr="00B6406C">
          <w:rPr>
            <w:rFonts w:ascii="Arial" w:hAnsi="Arial" w:cs="Arial"/>
            <w:i w:val="0"/>
            <w:iCs w:val="0"/>
            <w:noProof/>
            <w:webHidden/>
            <w:sz w:val="24"/>
            <w:szCs w:val="24"/>
          </w:rPr>
          <w:fldChar w:fldCharType="end"/>
        </w:r>
      </w:hyperlink>
    </w:p>
    <w:p w14:paraId="71CA58AB" w14:textId="6568F870" w:rsidR="001A0BEF" w:rsidRPr="00B6406C" w:rsidRDefault="00623D3F" w:rsidP="001A0BEF">
      <w:pPr>
        <w:pStyle w:val="Abbildungsverzeichnis"/>
        <w:tabs>
          <w:tab w:val="right" w:leader="dot" w:pos="8494"/>
        </w:tabs>
        <w:spacing w:line="480" w:lineRule="auto"/>
        <w:rPr>
          <w:rFonts w:ascii="Arial" w:eastAsiaTheme="minorEastAsia" w:hAnsi="Arial" w:cs="Arial"/>
          <w:i w:val="0"/>
          <w:iCs w:val="0"/>
          <w:noProof/>
          <w:sz w:val="24"/>
          <w:szCs w:val="24"/>
          <w:lang w:eastAsia="de-AT"/>
        </w:rPr>
      </w:pPr>
      <w:hyperlink r:id="rId11" w:anchor="_Toc72442213" w:history="1">
        <w:r w:rsidR="001A0BEF" w:rsidRPr="00B6406C">
          <w:rPr>
            <w:rStyle w:val="Hyperlink"/>
            <w:rFonts w:ascii="Arial" w:hAnsi="Arial" w:cs="Arial"/>
            <w:i w:val="0"/>
            <w:iCs w:val="0"/>
            <w:noProof/>
            <w:sz w:val="24"/>
            <w:szCs w:val="24"/>
          </w:rPr>
          <w:t>Abbildung 3: Kontoführungsgebühren sind unbeliebt (Kostenloser-Girokonto-Vergleich, 2014)</w:t>
        </w:r>
        <w:r w:rsidR="001A0BEF" w:rsidRPr="00B6406C">
          <w:rPr>
            <w:rFonts w:ascii="Arial" w:hAnsi="Arial" w:cs="Arial"/>
            <w:i w:val="0"/>
            <w:iCs w:val="0"/>
            <w:noProof/>
            <w:webHidden/>
            <w:sz w:val="24"/>
            <w:szCs w:val="24"/>
          </w:rPr>
          <w:tab/>
        </w:r>
        <w:r w:rsidR="001A0BEF" w:rsidRPr="00B6406C">
          <w:rPr>
            <w:rFonts w:ascii="Arial" w:hAnsi="Arial" w:cs="Arial"/>
            <w:i w:val="0"/>
            <w:iCs w:val="0"/>
            <w:noProof/>
            <w:webHidden/>
            <w:sz w:val="24"/>
            <w:szCs w:val="24"/>
          </w:rPr>
          <w:fldChar w:fldCharType="begin"/>
        </w:r>
        <w:r w:rsidR="001A0BEF" w:rsidRPr="00B6406C">
          <w:rPr>
            <w:rFonts w:ascii="Arial" w:hAnsi="Arial" w:cs="Arial"/>
            <w:i w:val="0"/>
            <w:iCs w:val="0"/>
            <w:noProof/>
            <w:webHidden/>
            <w:sz w:val="24"/>
            <w:szCs w:val="24"/>
          </w:rPr>
          <w:instrText xml:space="preserve"> PAGEREF _Toc72442213 \h </w:instrText>
        </w:r>
        <w:r w:rsidR="001A0BEF" w:rsidRPr="00B6406C">
          <w:rPr>
            <w:rFonts w:ascii="Arial" w:hAnsi="Arial" w:cs="Arial"/>
            <w:i w:val="0"/>
            <w:iCs w:val="0"/>
            <w:noProof/>
            <w:webHidden/>
            <w:sz w:val="24"/>
            <w:szCs w:val="24"/>
          </w:rPr>
        </w:r>
        <w:r w:rsidR="001A0BEF" w:rsidRPr="00B6406C">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34</w:t>
        </w:r>
        <w:r w:rsidR="001A0BEF" w:rsidRPr="00B6406C">
          <w:rPr>
            <w:rFonts w:ascii="Arial" w:hAnsi="Arial" w:cs="Arial"/>
            <w:i w:val="0"/>
            <w:iCs w:val="0"/>
            <w:noProof/>
            <w:webHidden/>
            <w:sz w:val="24"/>
            <w:szCs w:val="24"/>
          </w:rPr>
          <w:fldChar w:fldCharType="end"/>
        </w:r>
      </w:hyperlink>
    </w:p>
    <w:p w14:paraId="7AB88A75" w14:textId="729F6600" w:rsidR="001A0BEF" w:rsidRPr="00B6406C" w:rsidRDefault="00623D3F" w:rsidP="001A0BEF">
      <w:pPr>
        <w:pStyle w:val="Abbildungsverzeichnis"/>
        <w:tabs>
          <w:tab w:val="right" w:leader="dot" w:pos="8494"/>
        </w:tabs>
        <w:spacing w:line="480" w:lineRule="auto"/>
        <w:rPr>
          <w:rFonts w:ascii="Arial" w:eastAsiaTheme="minorEastAsia" w:hAnsi="Arial" w:cs="Arial"/>
          <w:i w:val="0"/>
          <w:iCs w:val="0"/>
          <w:noProof/>
          <w:sz w:val="24"/>
          <w:szCs w:val="24"/>
          <w:lang w:eastAsia="de-AT"/>
        </w:rPr>
      </w:pPr>
      <w:hyperlink r:id="rId12" w:anchor="_Toc72442214" w:history="1">
        <w:r w:rsidR="001A0BEF" w:rsidRPr="00B6406C">
          <w:rPr>
            <w:rStyle w:val="Hyperlink"/>
            <w:rFonts w:ascii="Arial" w:hAnsi="Arial" w:cs="Arial"/>
            <w:i w:val="0"/>
            <w:iCs w:val="0"/>
            <w:noProof/>
            <w:sz w:val="24"/>
            <w:szCs w:val="24"/>
          </w:rPr>
          <w:t>Abbildung 4: Bankgebühren: fair oder nicht (OTS, 2017)</w:t>
        </w:r>
        <w:r w:rsidR="001A0BEF" w:rsidRPr="00B6406C">
          <w:rPr>
            <w:rFonts w:ascii="Arial" w:hAnsi="Arial" w:cs="Arial"/>
            <w:i w:val="0"/>
            <w:iCs w:val="0"/>
            <w:noProof/>
            <w:webHidden/>
            <w:sz w:val="24"/>
            <w:szCs w:val="24"/>
          </w:rPr>
          <w:tab/>
        </w:r>
        <w:r w:rsidR="001A0BEF" w:rsidRPr="00B6406C">
          <w:rPr>
            <w:rFonts w:ascii="Arial" w:hAnsi="Arial" w:cs="Arial"/>
            <w:i w:val="0"/>
            <w:iCs w:val="0"/>
            <w:noProof/>
            <w:webHidden/>
            <w:sz w:val="24"/>
            <w:szCs w:val="24"/>
          </w:rPr>
          <w:fldChar w:fldCharType="begin"/>
        </w:r>
        <w:r w:rsidR="001A0BEF" w:rsidRPr="00B6406C">
          <w:rPr>
            <w:rFonts w:ascii="Arial" w:hAnsi="Arial" w:cs="Arial"/>
            <w:i w:val="0"/>
            <w:iCs w:val="0"/>
            <w:noProof/>
            <w:webHidden/>
            <w:sz w:val="24"/>
            <w:szCs w:val="24"/>
          </w:rPr>
          <w:instrText xml:space="preserve"> PAGEREF _Toc72442214 \h </w:instrText>
        </w:r>
        <w:r w:rsidR="001A0BEF" w:rsidRPr="00B6406C">
          <w:rPr>
            <w:rFonts w:ascii="Arial" w:hAnsi="Arial" w:cs="Arial"/>
            <w:i w:val="0"/>
            <w:iCs w:val="0"/>
            <w:noProof/>
            <w:webHidden/>
            <w:sz w:val="24"/>
            <w:szCs w:val="24"/>
          </w:rPr>
        </w:r>
        <w:r w:rsidR="001A0BEF" w:rsidRPr="00B6406C">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35</w:t>
        </w:r>
        <w:r w:rsidR="001A0BEF" w:rsidRPr="00B6406C">
          <w:rPr>
            <w:rFonts w:ascii="Arial" w:hAnsi="Arial" w:cs="Arial"/>
            <w:i w:val="0"/>
            <w:iCs w:val="0"/>
            <w:noProof/>
            <w:webHidden/>
            <w:sz w:val="24"/>
            <w:szCs w:val="24"/>
          </w:rPr>
          <w:fldChar w:fldCharType="end"/>
        </w:r>
      </w:hyperlink>
    </w:p>
    <w:p w14:paraId="7D16BF64" w14:textId="4B80A3E0" w:rsidR="001A0BEF" w:rsidRPr="0054233E" w:rsidRDefault="001A0BEF" w:rsidP="0099491A">
      <w:pPr>
        <w:spacing w:line="480" w:lineRule="auto"/>
        <w:rPr>
          <w:rFonts w:cs="Arial"/>
          <w:sz w:val="24"/>
          <w:szCs w:val="24"/>
        </w:rPr>
      </w:pPr>
      <w:r w:rsidRPr="00D37F53">
        <w:rPr>
          <w:rFonts w:cs="Arial"/>
          <w:sz w:val="24"/>
          <w:szCs w:val="24"/>
        </w:rPr>
        <w:fldChar w:fldCharType="end"/>
      </w:r>
      <w:r w:rsidR="0054233E">
        <w:rPr>
          <w:rFonts w:cs="Arial"/>
          <w:sz w:val="24"/>
          <w:szCs w:val="24"/>
        </w:rPr>
        <w:br w:type="page"/>
      </w:r>
    </w:p>
    <w:p w14:paraId="5182ECF3" w14:textId="3F18B1A8" w:rsidR="000210DB" w:rsidRPr="00FB29B6" w:rsidRDefault="00A746D0" w:rsidP="00FB29B6">
      <w:pPr>
        <w:pStyle w:val="berschrift1"/>
      </w:pPr>
      <w:bookmarkStart w:id="6" w:name="_Toc68526631"/>
      <w:bookmarkStart w:id="7" w:name="_Toc68526653"/>
      <w:bookmarkStart w:id="8" w:name="_Toc68526770"/>
      <w:bookmarkStart w:id="9" w:name="_Toc68527574"/>
      <w:bookmarkStart w:id="10" w:name="_Toc73014940"/>
      <w:r w:rsidRPr="00FB29B6">
        <w:lastRenderedPageBreak/>
        <w:t>Tabellenverzeichnis</w:t>
      </w:r>
      <w:bookmarkEnd w:id="6"/>
      <w:bookmarkEnd w:id="7"/>
      <w:bookmarkEnd w:id="8"/>
      <w:bookmarkEnd w:id="9"/>
      <w:bookmarkEnd w:id="10"/>
    </w:p>
    <w:p w14:paraId="64A697A4" w14:textId="4F893C1A" w:rsidR="001A0BEF" w:rsidRPr="00D37F53" w:rsidRDefault="001A0BE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r w:rsidRPr="00D37F53">
        <w:rPr>
          <w:rFonts w:ascii="Arial" w:hAnsi="Arial" w:cs="Arial"/>
          <w:i w:val="0"/>
          <w:iCs w:val="0"/>
          <w:sz w:val="24"/>
          <w:szCs w:val="24"/>
        </w:rPr>
        <w:fldChar w:fldCharType="begin"/>
      </w:r>
      <w:r w:rsidRPr="00D37F53">
        <w:rPr>
          <w:rFonts w:ascii="Arial" w:hAnsi="Arial" w:cs="Arial"/>
          <w:i w:val="0"/>
          <w:iCs w:val="0"/>
          <w:sz w:val="24"/>
          <w:szCs w:val="24"/>
        </w:rPr>
        <w:instrText xml:space="preserve"> TOC \h \z \c "Tabelle" </w:instrText>
      </w:r>
      <w:r w:rsidRPr="00D37F53">
        <w:rPr>
          <w:rFonts w:ascii="Arial" w:hAnsi="Arial" w:cs="Arial"/>
          <w:i w:val="0"/>
          <w:iCs w:val="0"/>
          <w:sz w:val="24"/>
          <w:szCs w:val="24"/>
        </w:rPr>
        <w:fldChar w:fldCharType="separate"/>
      </w:r>
      <w:hyperlink w:anchor="_Toc72442155" w:history="1">
        <w:r w:rsidRPr="00D37F53">
          <w:rPr>
            <w:rStyle w:val="Hyperlink"/>
            <w:rFonts w:ascii="Arial" w:hAnsi="Arial" w:cs="Arial"/>
            <w:i w:val="0"/>
            <w:iCs w:val="0"/>
            <w:noProof/>
            <w:sz w:val="24"/>
            <w:szCs w:val="24"/>
          </w:rPr>
          <w:t>Tabelle 1: Kontoführungsgebühren</w:t>
        </w:r>
        <w:r w:rsidRPr="00D37F53">
          <w:rPr>
            <w:rFonts w:ascii="Arial" w:hAnsi="Arial" w:cs="Arial"/>
            <w:i w:val="0"/>
            <w:iCs w:val="0"/>
            <w:noProof/>
            <w:webHidden/>
            <w:sz w:val="24"/>
            <w:szCs w:val="24"/>
          </w:rPr>
          <w:tab/>
        </w:r>
        <w:r w:rsidRPr="00D37F53">
          <w:rPr>
            <w:rFonts w:ascii="Arial" w:hAnsi="Arial" w:cs="Arial"/>
            <w:i w:val="0"/>
            <w:iCs w:val="0"/>
            <w:noProof/>
            <w:webHidden/>
            <w:sz w:val="24"/>
            <w:szCs w:val="24"/>
          </w:rPr>
          <w:fldChar w:fldCharType="begin"/>
        </w:r>
        <w:r w:rsidRPr="00D37F53">
          <w:rPr>
            <w:rFonts w:ascii="Arial" w:hAnsi="Arial" w:cs="Arial"/>
            <w:i w:val="0"/>
            <w:iCs w:val="0"/>
            <w:noProof/>
            <w:webHidden/>
            <w:sz w:val="24"/>
            <w:szCs w:val="24"/>
          </w:rPr>
          <w:instrText xml:space="preserve"> PAGEREF _Toc72442155 \h </w:instrText>
        </w:r>
        <w:r w:rsidRPr="00D37F53">
          <w:rPr>
            <w:rFonts w:ascii="Arial" w:hAnsi="Arial" w:cs="Arial"/>
            <w:i w:val="0"/>
            <w:iCs w:val="0"/>
            <w:noProof/>
            <w:webHidden/>
            <w:sz w:val="24"/>
            <w:szCs w:val="24"/>
          </w:rPr>
        </w:r>
        <w:r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16</w:t>
        </w:r>
        <w:r w:rsidRPr="00D37F53">
          <w:rPr>
            <w:rFonts w:ascii="Arial" w:hAnsi="Arial" w:cs="Arial"/>
            <w:i w:val="0"/>
            <w:iCs w:val="0"/>
            <w:noProof/>
            <w:webHidden/>
            <w:sz w:val="24"/>
            <w:szCs w:val="24"/>
          </w:rPr>
          <w:fldChar w:fldCharType="end"/>
        </w:r>
      </w:hyperlink>
    </w:p>
    <w:p w14:paraId="66144B90" w14:textId="116A7A70"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56" w:history="1">
        <w:r w:rsidR="001A0BEF" w:rsidRPr="00D37F53">
          <w:rPr>
            <w:rStyle w:val="Hyperlink"/>
            <w:rFonts w:ascii="Arial" w:hAnsi="Arial" w:cs="Arial"/>
            <w:i w:val="0"/>
            <w:iCs w:val="0"/>
            <w:noProof/>
            <w:sz w:val="24"/>
            <w:szCs w:val="24"/>
          </w:rPr>
          <w:t>Tabelle 2: Brief-Portogebühren</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_Toc72442156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18</w:t>
        </w:r>
        <w:r w:rsidR="001A0BEF" w:rsidRPr="00D37F53">
          <w:rPr>
            <w:rFonts w:ascii="Arial" w:hAnsi="Arial" w:cs="Arial"/>
            <w:i w:val="0"/>
            <w:iCs w:val="0"/>
            <w:noProof/>
            <w:webHidden/>
            <w:sz w:val="24"/>
            <w:szCs w:val="24"/>
          </w:rPr>
          <w:fldChar w:fldCharType="end"/>
        </w:r>
      </w:hyperlink>
    </w:p>
    <w:p w14:paraId="33A3BD1D" w14:textId="77A4A7F4"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57" w:history="1">
        <w:r w:rsidR="001A0BEF" w:rsidRPr="00D37F53">
          <w:rPr>
            <w:rStyle w:val="Hyperlink"/>
            <w:rFonts w:ascii="Arial" w:hAnsi="Arial" w:cs="Arial"/>
            <w:i w:val="0"/>
            <w:iCs w:val="0"/>
            <w:noProof/>
            <w:sz w:val="24"/>
            <w:szCs w:val="24"/>
          </w:rPr>
          <w:t>Tabelle 3: Gebühren für die Zusendung eines Kontoauszuges</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_Toc72442157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18</w:t>
        </w:r>
        <w:r w:rsidR="001A0BEF" w:rsidRPr="00D37F53">
          <w:rPr>
            <w:rFonts w:ascii="Arial" w:hAnsi="Arial" w:cs="Arial"/>
            <w:i w:val="0"/>
            <w:iCs w:val="0"/>
            <w:noProof/>
            <w:webHidden/>
            <w:sz w:val="24"/>
            <w:szCs w:val="24"/>
          </w:rPr>
          <w:fldChar w:fldCharType="end"/>
        </w:r>
      </w:hyperlink>
    </w:p>
    <w:p w14:paraId="2B9AC74C" w14:textId="71C36EA0"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58" w:history="1">
        <w:r w:rsidR="001A0BEF" w:rsidRPr="00D37F53">
          <w:rPr>
            <w:rStyle w:val="Hyperlink"/>
            <w:rFonts w:ascii="Arial" w:hAnsi="Arial" w:cs="Arial"/>
            <w:i w:val="0"/>
            <w:iCs w:val="0"/>
            <w:noProof/>
            <w:sz w:val="24"/>
            <w:szCs w:val="24"/>
          </w:rPr>
          <w:t>Tabelle 4: Duplikatsgebühren</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_Toc72442158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21</w:t>
        </w:r>
        <w:r w:rsidR="001A0BEF" w:rsidRPr="00D37F53">
          <w:rPr>
            <w:rFonts w:ascii="Arial" w:hAnsi="Arial" w:cs="Arial"/>
            <w:i w:val="0"/>
            <w:iCs w:val="0"/>
            <w:noProof/>
            <w:webHidden/>
            <w:sz w:val="24"/>
            <w:szCs w:val="24"/>
          </w:rPr>
          <w:fldChar w:fldCharType="end"/>
        </w:r>
      </w:hyperlink>
    </w:p>
    <w:p w14:paraId="6BDC6634" w14:textId="4EDB172C"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59" w:history="1">
        <w:r w:rsidR="001A0BEF" w:rsidRPr="00D37F53">
          <w:rPr>
            <w:rStyle w:val="Hyperlink"/>
            <w:rFonts w:ascii="Arial" w:hAnsi="Arial" w:cs="Arial"/>
            <w:i w:val="0"/>
            <w:iCs w:val="0"/>
            <w:noProof/>
            <w:sz w:val="24"/>
            <w:szCs w:val="24"/>
          </w:rPr>
          <w:t>Tabelle 5: Gebühren für die Änderung/Löschung der Aufträge</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_Toc72442159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23</w:t>
        </w:r>
        <w:r w:rsidR="001A0BEF" w:rsidRPr="00D37F53">
          <w:rPr>
            <w:rFonts w:ascii="Arial" w:hAnsi="Arial" w:cs="Arial"/>
            <w:i w:val="0"/>
            <w:iCs w:val="0"/>
            <w:noProof/>
            <w:webHidden/>
            <w:sz w:val="24"/>
            <w:szCs w:val="24"/>
          </w:rPr>
          <w:fldChar w:fldCharType="end"/>
        </w:r>
      </w:hyperlink>
    </w:p>
    <w:p w14:paraId="0149D08E" w14:textId="48FD1660"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60" w:history="1">
        <w:r w:rsidR="001A0BEF" w:rsidRPr="00D37F53">
          <w:rPr>
            <w:rStyle w:val="Hyperlink"/>
            <w:rFonts w:ascii="Arial" w:hAnsi="Arial" w:cs="Arial"/>
            <w:i w:val="0"/>
            <w:iCs w:val="0"/>
            <w:noProof/>
            <w:sz w:val="24"/>
            <w:szCs w:val="24"/>
          </w:rPr>
          <w:t>Tabelle 6: Gebühren für Nichtdurchführung</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_Toc72442160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24</w:t>
        </w:r>
        <w:r w:rsidR="001A0BEF" w:rsidRPr="00D37F53">
          <w:rPr>
            <w:rFonts w:ascii="Arial" w:hAnsi="Arial" w:cs="Arial"/>
            <w:i w:val="0"/>
            <w:iCs w:val="0"/>
            <w:noProof/>
            <w:webHidden/>
            <w:sz w:val="24"/>
            <w:szCs w:val="24"/>
          </w:rPr>
          <w:fldChar w:fldCharType="end"/>
        </w:r>
      </w:hyperlink>
    </w:p>
    <w:p w14:paraId="07D28E36" w14:textId="362990A8"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61" w:history="1">
        <w:r w:rsidR="001A0BEF" w:rsidRPr="00D37F53">
          <w:rPr>
            <w:rStyle w:val="Hyperlink"/>
            <w:rFonts w:ascii="Arial" w:hAnsi="Arial" w:cs="Arial"/>
            <w:i w:val="0"/>
            <w:iCs w:val="0"/>
            <w:noProof/>
            <w:sz w:val="24"/>
            <w:szCs w:val="24"/>
          </w:rPr>
          <w:t>Tabelle 7: Gebühren für die Nachbestellung einer Karte</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_Toc72442161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26</w:t>
        </w:r>
        <w:r w:rsidR="001A0BEF" w:rsidRPr="00D37F53">
          <w:rPr>
            <w:rFonts w:ascii="Arial" w:hAnsi="Arial" w:cs="Arial"/>
            <w:i w:val="0"/>
            <w:iCs w:val="0"/>
            <w:noProof/>
            <w:webHidden/>
            <w:sz w:val="24"/>
            <w:szCs w:val="24"/>
          </w:rPr>
          <w:fldChar w:fldCharType="end"/>
        </w:r>
      </w:hyperlink>
    </w:p>
    <w:p w14:paraId="33A6710E" w14:textId="41458B75"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62" w:history="1">
        <w:r w:rsidR="001A0BEF" w:rsidRPr="00D37F53">
          <w:rPr>
            <w:rStyle w:val="Hyperlink"/>
            <w:rFonts w:ascii="Arial" w:hAnsi="Arial" w:cs="Arial"/>
            <w:i w:val="0"/>
            <w:iCs w:val="0"/>
            <w:noProof/>
            <w:sz w:val="24"/>
            <w:szCs w:val="24"/>
          </w:rPr>
          <w:t>Tabelle 8: Gebühren für die Sperrung einer Karte</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_Toc72442162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27</w:t>
        </w:r>
        <w:r w:rsidR="001A0BEF" w:rsidRPr="00D37F53">
          <w:rPr>
            <w:rFonts w:ascii="Arial" w:hAnsi="Arial" w:cs="Arial"/>
            <w:i w:val="0"/>
            <w:iCs w:val="0"/>
            <w:noProof/>
            <w:webHidden/>
            <w:sz w:val="24"/>
            <w:szCs w:val="24"/>
          </w:rPr>
          <w:fldChar w:fldCharType="end"/>
        </w:r>
      </w:hyperlink>
    </w:p>
    <w:p w14:paraId="134BF759" w14:textId="52C755DC"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63" w:history="1">
        <w:r w:rsidR="001A0BEF" w:rsidRPr="00D37F53">
          <w:rPr>
            <w:rStyle w:val="Hyperlink"/>
            <w:rFonts w:ascii="Arial" w:hAnsi="Arial" w:cs="Arial"/>
            <w:i w:val="0"/>
            <w:iCs w:val="0"/>
            <w:noProof/>
            <w:sz w:val="24"/>
            <w:szCs w:val="24"/>
          </w:rPr>
          <w:t>Tabelle 9: Gebühren für Bareinzahlungen zugunsten eigenes Konto</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_Toc72442163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28</w:t>
        </w:r>
        <w:r w:rsidR="001A0BEF" w:rsidRPr="00D37F53">
          <w:rPr>
            <w:rFonts w:ascii="Arial" w:hAnsi="Arial" w:cs="Arial"/>
            <w:i w:val="0"/>
            <w:iCs w:val="0"/>
            <w:noProof/>
            <w:webHidden/>
            <w:sz w:val="24"/>
            <w:szCs w:val="24"/>
          </w:rPr>
          <w:fldChar w:fldCharType="end"/>
        </w:r>
      </w:hyperlink>
    </w:p>
    <w:p w14:paraId="645CD793" w14:textId="72373064"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64" w:history="1">
        <w:r w:rsidR="001A0BEF" w:rsidRPr="00D37F53">
          <w:rPr>
            <w:rStyle w:val="Hyperlink"/>
            <w:rFonts w:ascii="Arial" w:hAnsi="Arial" w:cs="Arial"/>
            <w:i w:val="0"/>
            <w:iCs w:val="0"/>
            <w:noProof/>
            <w:sz w:val="24"/>
            <w:szCs w:val="24"/>
          </w:rPr>
          <w:t>Tabelle 10: Gebühren für Bareinzahlungen zugunsten fremdes Konto</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_Toc72442164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29</w:t>
        </w:r>
        <w:r w:rsidR="001A0BEF" w:rsidRPr="00D37F53">
          <w:rPr>
            <w:rFonts w:ascii="Arial" w:hAnsi="Arial" w:cs="Arial"/>
            <w:i w:val="0"/>
            <w:iCs w:val="0"/>
            <w:noProof/>
            <w:webHidden/>
            <w:sz w:val="24"/>
            <w:szCs w:val="24"/>
          </w:rPr>
          <w:fldChar w:fldCharType="end"/>
        </w:r>
      </w:hyperlink>
    </w:p>
    <w:p w14:paraId="58C71A79" w14:textId="09D1D55F" w:rsidR="001A0BEF" w:rsidRPr="00D37F53" w:rsidRDefault="00623D3F" w:rsidP="001A0BEF">
      <w:pPr>
        <w:pStyle w:val="Abbildungsverzeichnis"/>
        <w:tabs>
          <w:tab w:val="right" w:leader="dot" w:pos="8494"/>
        </w:tabs>
        <w:spacing w:after="120" w:line="480" w:lineRule="auto"/>
        <w:rPr>
          <w:rFonts w:ascii="Arial" w:eastAsiaTheme="minorEastAsia" w:hAnsi="Arial" w:cs="Arial"/>
          <w:i w:val="0"/>
          <w:iCs w:val="0"/>
          <w:noProof/>
          <w:sz w:val="24"/>
          <w:szCs w:val="24"/>
          <w:lang w:eastAsia="de-AT"/>
        </w:rPr>
      </w:pPr>
      <w:hyperlink w:anchor="_Toc72442165" w:history="1">
        <w:r w:rsidR="001A0BEF" w:rsidRPr="00D37F53">
          <w:rPr>
            <w:rStyle w:val="Hyperlink"/>
            <w:rFonts w:ascii="Arial" w:hAnsi="Arial" w:cs="Arial"/>
            <w:i w:val="0"/>
            <w:iCs w:val="0"/>
            <w:noProof/>
            <w:sz w:val="24"/>
            <w:szCs w:val="24"/>
          </w:rPr>
          <w:t>Tabelle 11: Übersicht der Gebühren diverser Anbieter</w:t>
        </w:r>
        <w:r w:rsidR="001A0BEF" w:rsidRPr="00D37F53">
          <w:rPr>
            <w:rFonts w:ascii="Arial" w:hAnsi="Arial" w:cs="Arial"/>
            <w:i w:val="0"/>
            <w:iCs w:val="0"/>
            <w:noProof/>
            <w:webHidden/>
            <w:sz w:val="24"/>
            <w:szCs w:val="24"/>
          </w:rPr>
          <w:tab/>
        </w:r>
        <w:r w:rsidR="001A0BEF" w:rsidRPr="00D37F53">
          <w:rPr>
            <w:rFonts w:ascii="Arial" w:hAnsi="Arial" w:cs="Arial"/>
            <w:i w:val="0"/>
            <w:iCs w:val="0"/>
            <w:noProof/>
            <w:webHidden/>
            <w:sz w:val="24"/>
            <w:szCs w:val="24"/>
          </w:rPr>
          <w:fldChar w:fldCharType="begin"/>
        </w:r>
        <w:r w:rsidR="001A0BEF" w:rsidRPr="00D37F53">
          <w:rPr>
            <w:rFonts w:ascii="Arial" w:hAnsi="Arial" w:cs="Arial"/>
            <w:i w:val="0"/>
            <w:iCs w:val="0"/>
            <w:noProof/>
            <w:webHidden/>
            <w:sz w:val="24"/>
            <w:szCs w:val="24"/>
          </w:rPr>
          <w:instrText xml:space="preserve"> PAGEREF _Toc72442165 \h </w:instrText>
        </w:r>
        <w:r w:rsidR="001A0BEF" w:rsidRPr="00D37F53">
          <w:rPr>
            <w:rFonts w:ascii="Arial" w:hAnsi="Arial" w:cs="Arial"/>
            <w:i w:val="0"/>
            <w:iCs w:val="0"/>
            <w:noProof/>
            <w:webHidden/>
            <w:sz w:val="24"/>
            <w:szCs w:val="24"/>
          </w:rPr>
        </w:r>
        <w:r w:rsidR="001A0BEF" w:rsidRPr="00D37F53">
          <w:rPr>
            <w:rFonts w:ascii="Arial" w:hAnsi="Arial" w:cs="Arial"/>
            <w:i w:val="0"/>
            <w:iCs w:val="0"/>
            <w:noProof/>
            <w:webHidden/>
            <w:sz w:val="24"/>
            <w:szCs w:val="24"/>
          </w:rPr>
          <w:fldChar w:fldCharType="separate"/>
        </w:r>
        <w:r w:rsidR="00670350">
          <w:rPr>
            <w:rFonts w:ascii="Arial" w:hAnsi="Arial" w:cs="Arial"/>
            <w:i w:val="0"/>
            <w:iCs w:val="0"/>
            <w:noProof/>
            <w:webHidden/>
            <w:sz w:val="24"/>
            <w:szCs w:val="24"/>
          </w:rPr>
          <w:t>30</w:t>
        </w:r>
        <w:r w:rsidR="001A0BEF" w:rsidRPr="00D37F53">
          <w:rPr>
            <w:rFonts w:ascii="Arial" w:hAnsi="Arial" w:cs="Arial"/>
            <w:i w:val="0"/>
            <w:iCs w:val="0"/>
            <w:noProof/>
            <w:webHidden/>
            <w:sz w:val="24"/>
            <w:szCs w:val="24"/>
          </w:rPr>
          <w:fldChar w:fldCharType="end"/>
        </w:r>
      </w:hyperlink>
    </w:p>
    <w:p w14:paraId="1C247E94" w14:textId="694F840C" w:rsidR="00C1115F" w:rsidRPr="000210DB" w:rsidRDefault="001A0BEF" w:rsidP="001A0BEF">
      <w:pPr>
        <w:spacing w:after="120" w:line="480" w:lineRule="auto"/>
        <w:jc w:val="both"/>
        <w:rPr>
          <w:rFonts w:eastAsiaTheme="majorEastAsia" w:cstheme="majorBidi"/>
          <w:b/>
          <w:bCs/>
          <w:sz w:val="24"/>
          <w:szCs w:val="28"/>
        </w:rPr>
      </w:pPr>
      <w:r w:rsidRPr="00D37F53">
        <w:rPr>
          <w:rFonts w:cs="Arial"/>
          <w:sz w:val="24"/>
          <w:szCs w:val="24"/>
        </w:rPr>
        <w:fldChar w:fldCharType="end"/>
      </w:r>
      <w:r w:rsidR="000210DB">
        <w:br w:type="page"/>
      </w:r>
    </w:p>
    <w:p w14:paraId="2D54EE8C" w14:textId="5DC965AE" w:rsidR="00311B73" w:rsidRPr="00FB29B6" w:rsidRDefault="0042592A" w:rsidP="00FB29B6">
      <w:pPr>
        <w:pStyle w:val="berschrift1"/>
      </w:pPr>
      <w:bookmarkStart w:id="11" w:name="_Toc68526632"/>
      <w:bookmarkStart w:id="12" w:name="_Toc68526654"/>
      <w:bookmarkStart w:id="13" w:name="_Toc68526771"/>
      <w:bookmarkStart w:id="14" w:name="_Toc68527575"/>
      <w:bookmarkStart w:id="15" w:name="_Toc73014941"/>
      <w:r w:rsidRPr="00FB29B6">
        <w:lastRenderedPageBreak/>
        <w:t>Einleitung</w:t>
      </w:r>
      <w:bookmarkEnd w:id="11"/>
      <w:bookmarkEnd w:id="12"/>
      <w:bookmarkEnd w:id="13"/>
      <w:bookmarkEnd w:id="14"/>
      <w:bookmarkEnd w:id="15"/>
    </w:p>
    <w:p w14:paraId="203C259E" w14:textId="6A0A6F18" w:rsidR="00311B73" w:rsidRPr="003A25BC" w:rsidRDefault="00311B73" w:rsidP="003A25BC">
      <w:pPr>
        <w:spacing w:after="120"/>
        <w:jc w:val="both"/>
        <w:rPr>
          <w:sz w:val="24"/>
          <w:szCs w:val="24"/>
        </w:rPr>
      </w:pPr>
      <w:r w:rsidRPr="003A25BC">
        <w:rPr>
          <w:sz w:val="24"/>
          <w:szCs w:val="24"/>
        </w:rPr>
        <w:t>Das Ziel dieser Seminararbeit ist es, die Bankgebühren im Zeitalter hochgradiger Automatisation und Selbstbedienung kritisch zu evaluieren. Mit Hilfe dieser Arbeit soll aufgezeigt werden, welche Gebühren im Rahmen eines Bankbesuchs anfallen können und es soll geklärt werden, ob die Tragung der Kosten gegenüber den Kunden angemessen ist oder nicht.</w:t>
      </w:r>
    </w:p>
    <w:p w14:paraId="54637F58" w14:textId="77777777" w:rsidR="00311B73" w:rsidRPr="003A25BC" w:rsidRDefault="00311B73" w:rsidP="003A25BC">
      <w:pPr>
        <w:spacing w:after="120"/>
        <w:jc w:val="both"/>
        <w:rPr>
          <w:sz w:val="24"/>
          <w:szCs w:val="24"/>
        </w:rPr>
      </w:pPr>
    </w:p>
    <w:p w14:paraId="3E7BD5C5" w14:textId="2E5029E2" w:rsidR="00311B73" w:rsidRPr="003A25BC" w:rsidRDefault="00311B73" w:rsidP="003A25BC">
      <w:pPr>
        <w:spacing w:after="120"/>
        <w:jc w:val="both"/>
        <w:rPr>
          <w:sz w:val="24"/>
          <w:szCs w:val="24"/>
        </w:rPr>
      </w:pPr>
      <w:r w:rsidRPr="003A25BC">
        <w:rPr>
          <w:sz w:val="24"/>
          <w:szCs w:val="24"/>
        </w:rPr>
        <w:t>Einleitend wird auf die rechtlichen Grundlagen in Bezug auf Gebühren eingegangen, wo die wesentlichen Gesetze kurz und übersichtlich erläutert werden. Dieses Kapitel gibt einen guten Überblick darüber, welche Rechte Banknutzer haben, wenn sie z.B. eine Online-Überweisung tätigen wollen.</w:t>
      </w:r>
    </w:p>
    <w:p w14:paraId="49125049" w14:textId="77777777" w:rsidR="00311B73" w:rsidRPr="003A25BC" w:rsidRDefault="00311B73" w:rsidP="003A25BC">
      <w:pPr>
        <w:spacing w:after="120"/>
        <w:jc w:val="both"/>
        <w:rPr>
          <w:sz w:val="24"/>
          <w:szCs w:val="24"/>
        </w:rPr>
      </w:pPr>
    </w:p>
    <w:p w14:paraId="2FC4C953" w14:textId="08192E4F" w:rsidR="00311B73" w:rsidRPr="003A25BC" w:rsidRDefault="00311B73" w:rsidP="003A25BC">
      <w:pPr>
        <w:spacing w:after="120"/>
        <w:jc w:val="both"/>
        <w:rPr>
          <w:sz w:val="24"/>
          <w:szCs w:val="24"/>
        </w:rPr>
      </w:pPr>
      <w:r w:rsidRPr="003A25BC">
        <w:rPr>
          <w:sz w:val="24"/>
          <w:szCs w:val="24"/>
        </w:rPr>
        <w:t>Im nächsten Schritt werden die verschiedenen Bankgebühren vorgestellt. Für jede Bankgebühr werden zunächst die dahinterstehenden Schritte festgehalten und daraufhin wird eine Kosteneinschätzung durchgeführt. Im Anschluss gibt es eine Tabelle mit den Gebühren der verschiedenen Anbieter.</w:t>
      </w:r>
    </w:p>
    <w:p w14:paraId="0E4017B4" w14:textId="77777777" w:rsidR="00311B73" w:rsidRPr="003A25BC" w:rsidRDefault="00311B73" w:rsidP="003A25BC">
      <w:pPr>
        <w:spacing w:after="120"/>
        <w:jc w:val="both"/>
        <w:rPr>
          <w:sz w:val="24"/>
          <w:szCs w:val="24"/>
        </w:rPr>
      </w:pPr>
    </w:p>
    <w:p w14:paraId="2B6C3811" w14:textId="4E949519" w:rsidR="00311B73" w:rsidRPr="003A25BC" w:rsidRDefault="00311B73" w:rsidP="003A25BC">
      <w:pPr>
        <w:spacing w:after="120"/>
        <w:jc w:val="both"/>
        <w:rPr>
          <w:sz w:val="24"/>
          <w:szCs w:val="24"/>
        </w:rPr>
      </w:pPr>
      <w:r w:rsidRPr="003A25BC">
        <w:rPr>
          <w:sz w:val="24"/>
          <w:szCs w:val="24"/>
        </w:rPr>
        <w:t xml:space="preserve">Das letzte Kapitel befasst sich mit der Analyse der Bankgebühren innerhalb der Europäischen Union. Hier werden </w:t>
      </w:r>
      <w:r w:rsidR="00BE2058">
        <w:rPr>
          <w:sz w:val="24"/>
          <w:szCs w:val="24"/>
        </w:rPr>
        <w:t>vier</w:t>
      </w:r>
      <w:r w:rsidRPr="003A25BC">
        <w:rPr>
          <w:sz w:val="24"/>
          <w:szCs w:val="24"/>
        </w:rPr>
        <w:t xml:space="preserve"> interessante Grafiken beschrieben, die verdeutlichen, wie die Gebühren in den verschiedenen Ländern sich verhalten und welche Meinung die Banknutzer dazu haben.  </w:t>
      </w:r>
    </w:p>
    <w:p w14:paraId="0541AEC6" w14:textId="77777777" w:rsidR="00311B73" w:rsidRPr="003A25BC" w:rsidRDefault="00311B73" w:rsidP="003A25BC">
      <w:pPr>
        <w:spacing w:after="120"/>
        <w:jc w:val="both"/>
        <w:rPr>
          <w:sz w:val="24"/>
          <w:szCs w:val="24"/>
        </w:rPr>
      </w:pPr>
    </w:p>
    <w:p w14:paraId="71AF9F84" w14:textId="4BDA0013" w:rsidR="00311B73" w:rsidRPr="003A25BC" w:rsidRDefault="00311B73" w:rsidP="003A25BC">
      <w:pPr>
        <w:spacing w:after="120"/>
        <w:jc w:val="both"/>
        <w:rPr>
          <w:sz w:val="24"/>
          <w:szCs w:val="24"/>
        </w:rPr>
      </w:pPr>
      <w:r w:rsidRPr="003A25BC">
        <w:rPr>
          <w:sz w:val="24"/>
          <w:szCs w:val="24"/>
        </w:rPr>
        <w:t xml:space="preserve">Abschließend werden die Hauptaussagen dieser Seminararbeit zusammengefasst und wiedergegeben. </w:t>
      </w:r>
    </w:p>
    <w:p w14:paraId="7466FBBF" w14:textId="0B8DBBB9" w:rsidR="006C61B6" w:rsidRPr="000210DB" w:rsidRDefault="000210DB" w:rsidP="003A25BC">
      <w:pPr>
        <w:spacing w:after="120"/>
        <w:jc w:val="both"/>
        <w:rPr>
          <w:rFonts w:eastAsiaTheme="majorEastAsia" w:cstheme="majorBidi"/>
          <w:b/>
          <w:bCs/>
          <w:sz w:val="24"/>
          <w:szCs w:val="28"/>
        </w:rPr>
      </w:pPr>
      <w:r>
        <w:br w:type="page"/>
      </w:r>
    </w:p>
    <w:p w14:paraId="6188ED3E" w14:textId="13E277D3" w:rsidR="004B0023" w:rsidRPr="004B0023" w:rsidRDefault="0042592A" w:rsidP="004B0023">
      <w:pPr>
        <w:pStyle w:val="berschrift1"/>
      </w:pPr>
      <w:bookmarkStart w:id="16" w:name="_Toc68526634"/>
      <w:bookmarkStart w:id="17" w:name="_Toc68526656"/>
      <w:bookmarkStart w:id="18" w:name="_Toc68526773"/>
      <w:bookmarkStart w:id="19" w:name="_Toc68527577"/>
      <w:bookmarkStart w:id="20" w:name="_Toc73014942"/>
      <w:r w:rsidRPr="00333527">
        <w:lastRenderedPageBreak/>
        <w:t>Gesetzliche Grundlagen im Kontext Gebühren</w:t>
      </w:r>
      <w:bookmarkEnd w:id="16"/>
      <w:bookmarkEnd w:id="17"/>
      <w:bookmarkEnd w:id="18"/>
      <w:bookmarkEnd w:id="19"/>
      <w:bookmarkEnd w:id="20"/>
      <w:r w:rsidRPr="00333527">
        <w:t xml:space="preserve"> </w:t>
      </w:r>
    </w:p>
    <w:p w14:paraId="75AF8400" w14:textId="49939B7B" w:rsidR="0042592A" w:rsidRPr="00FB29B6" w:rsidRDefault="0042592A" w:rsidP="00FB29B6">
      <w:pPr>
        <w:pStyle w:val="berschrift2"/>
      </w:pPr>
      <w:bookmarkStart w:id="21" w:name="_Toc68526635"/>
      <w:bookmarkStart w:id="22" w:name="_Toc68526657"/>
      <w:bookmarkStart w:id="23" w:name="_Toc68526774"/>
      <w:bookmarkStart w:id="24" w:name="_Toc68527578"/>
      <w:bookmarkStart w:id="25" w:name="_Toc73014943"/>
      <w:r w:rsidRPr="00FB29B6">
        <w:t>Allgemeines</w:t>
      </w:r>
      <w:bookmarkEnd w:id="21"/>
      <w:bookmarkEnd w:id="22"/>
      <w:bookmarkEnd w:id="23"/>
      <w:bookmarkEnd w:id="24"/>
      <w:bookmarkEnd w:id="25"/>
      <w:r w:rsidRPr="00FB29B6">
        <w:t xml:space="preserve"> </w:t>
      </w:r>
    </w:p>
    <w:p w14:paraId="0645CD29" w14:textId="4A19E234" w:rsidR="00F7012B" w:rsidRDefault="008454F0" w:rsidP="00AA1B7A">
      <w:pPr>
        <w:spacing w:after="120"/>
        <w:jc w:val="both"/>
        <w:rPr>
          <w:sz w:val="24"/>
          <w:szCs w:val="24"/>
        </w:rPr>
      </w:pPr>
      <w:r w:rsidRPr="000B5C9E">
        <w:rPr>
          <w:sz w:val="24"/>
          <w:szCs w:val="24"/>
        </w:rPr>
        <w:t>In Österreich gibt es im Grunde keinen Eingriff in die Gestaltung der Preise</w:t>
      </w:r>
      <w:r>
        <w:rPr>
          <w:sz w:val="24"/>
          <w:szCs w:val="24"/>
        </w:rPr>
        <w:t xml:space="preserve">. Da Österreich eine soziale Marktwirtschaft anstrebt, wird jedem Verkäufer und Käufer ein großer Handlungsspielraum zugesichert. Im </w:t>
      </w:r>
      <w:proofErr w:type="gramStart"/>
      <w:r>
        <w:rPr>
          <w:sz w:val="24"/>
          <w:szCs w:val="24"/>
        </w:rPr>
        <w:t>Paragraph</w:t>
      </w:r>
      <w:proofErr w:type="gramEnd"/>
      <w:r>
        <w:rPr>
          <w:sz w:val="24"/>
          <w:szCs w:val="24"/>
        </w:rPr>
        <w:t xml:space="preserve"> 1053 </w:t>
      </w:r>
      <w:r w:rsidRPr="006D6A8A">
        <w:rPr>
          <w:sz w:val="24"/>
          <w:szCs w:val="24"/>
        </w:rPr>
        <w:t>des Kaufvertrags wird erklärt, dass die Übergabe einer Sache an jemand anderen zu einem bestimmten Preis erfolgt.</w:t>
      </w:r>
      <w:r w:rsidR="00F64F9B">
        <w:rPr>
          <w:rStyle w:val="Funotenzeichen"/>
          <w:sz w:val="24"/>
          <w:szCs w:val="24"/>
        </w:rPr>
        <w:footnoteReference w:id="1"/>
      </w:r>
    </w:p>
    <w:p w14:paraId="64371B8F" w14:textId="75BECA29" w:rsidR="008454F0" w:rsidRDefault="008454F0" w:rsidP="00AA1B7A">
      <w:pPr>
        <w:spacing w:after="120"/>
        <w:jc w:val="both"/>
        <w:rPr>
          <w:sz w:val="24"/>
          <w:szCs w:val="24"/>
        </w:rPr>
      </w:pPr>
      <w:r w:rsidRPr="006D6A8A">
        <w:rPr>
          <w:sz w:val="24"/>
          <w:szCs w:val="24"/>
        </w:rPr>
        <w:t xml:space="preserve">Im Allgemeinen Bürgerlichen Gesetzbuch (ABGB) ist auch vermerkt, dass der Kaufpreis aus einem Geldbetrag bestehen muss, der bestimmt sein muss und nicht rechtswidrig sein darf. Es findet sich jedoch keine Information darüber, ob der Preis verhältnismäßig sein muss oder nicht. </w:t>
      </w:r>
      <w:r w:rsidRPr="00A119B4">
        <w:rPr>
          <w:sz w:val="24"/>
          <w:szCs w:val="24"/>
        </w:rPr>
        <w:t xml:space="preserve">In den </w:t>
      </w:r>
      <w:proofErr w:type="gramStart"/>
      <w:r w:rsidRPr="00A119B4">
        <w:rPr>
          <w:sz w:val="24"/>
          <w:szCs w:val="24"/>
        </w:rPr>
        <w:t>Paragraphen</w:t>
      </w:r>
      <w:proofErr w:type="gramEnd"/>
      <w:r w:rsidRPr="00A119B4">
        <w:rPr>
          <w:sz w:val="24"/>
          <w:szCs w:val="24"/>
        </w:rPr>
        <w:t xml:space="preserve"> 934 und 935 des </w:t>
      </w:r>
      <w:r w:rsidRPr="00C81889">
        <w:rPr>
          <w:sz w:val="24"/>
          <w:szCs w:val="24"/>
        </w:rPr>
        <w:t>ABGB</w:t>
      </w:r>
      <w:r w:rsidRPr="00A119B4">
        <w:rPr>
          <w:sz w:val="24"/>
          <w:szCs w:val="24"/>
        </w:rPr>
        <w:t xml:space="preserve"> findet sich die Entschädigung für Verkürzung über die Hälfte. Dies besagt, dass der Kaufpreis nur dann beanstandet werden kann, wenn eine Verkürzung über die Hälfte stattgefunden hat.</w:t>
      </w:r>
      <w:r>
        <w:rPr>
          <w:rStyle w:val="Funotenzeichen"/>
          <w:sz w:val="24"/>
          <w:szCs w:val="24"/>
        </w:rPr>
        <w:footnoteReference w:id="2"/>
      </w:r>
    </w:p>
    <w:p w14:paraId="3EC0A037" w14:textId="77777777" w:rsidR="00E52122" w:rsidRPr="00E52122" w:rsidRDefault="00E52122" w:rsidP="003A25BC">
      <w:pPr>
        <w:spacing w:after="120"/>
        <w:jc w:val="both"/>
      </w:pPr>
    </w:p>
    <w:p w14:paraId="093D135D" w14:textId="7ECF3259" w:rsidR="0042592A" w:rsidRDefault="0042592A" w:rsidP="003A25BC">
      <w:pPr>
        <w:pStyle w:val="berschrift2"/>
        <w:spacing w:after="120"/>
        <w:jc w:val="both"/>
      </w:pPr>
      <w:bookmarkStart w:id="26" w:name="_Toc68526636"/>
      <w:bookmarkStart w:id="27" w:name="_Toc68526658"/>
      <w:bookmarkStart w:id="28" w:name="_Toc68526775"/>
      <w:bookmarkStart w:id="29" w:name="_Toc68527579"/>
      <w:bookmarkStart w:id="30" w:name="_Toc73014944"/>
      <w:proofErr w:type="spellStart"/>
      <w:r w:rsidRPr="00333527">
        <w:t>Laesio</w:t>
      </w:r>
      <w:proofErr w:type="spellEnd"/>
      <w:r w:rsidRPr="00333527">
        <w:t xml:space="preserve"> </w:t>
      </w:r>
      <w:proofErr w:type="spellStart"/>
      <w:r w:rsidRPr="00333527">
        <w:t>enormis</w:t>
      </w:r>
      <w:bookmarkEnd w:id="26"/>
      <w:bookmarkEnd w:id="27"/>
      <w:bookmarkEnd w:id="28"/>
      <w:bookmarkEnd w:id="29"/>
      <w:bookmarkEnd w:id="30"/>
      <w:proofErr w:type="spellEnd"/>
    </w:p>
    <w:p w14:paraId="3F7B2614" w14:textId="3EDC6035" w:rsidR="00F7012B" w:rsidRPr="000053C8" w:rsidRDefault="00F7012B" w:rsidP="003A25BC">
      <w:pPr>
        <w:spacing w:after="120"/>
        <w:jc w:val="both"/>
        <w:rPr>
          <w:sz w:val="24"/>
          <w:szCs w:val="24"/>
        </w:rPr>
      </w:pPr>
      <w:r w:rsidRPr="000053C8">
        <w:rPr>
          <w:sz w:val="24"/>
          <w:szCs w:val="24"/>
        </w:rPr>
        <w:t xml:space="preserve">Die </w:t>
      </w:r>
      <w:proofErr w:type="spellStart"/>
      <w:r w:rsidRPr="000053C8">
        <w:rPr>
          <w:sz w:val="24"/>
          <w:szCs w:val="24"/>
        </w:rPr>
        <w:t>laesio</w:t>
      </w:r>
      <w:proofErr w:type="spellEnd"/>
      <w:r w:rsidRPr="000053C8">
        <w:rPr>
          <w:sz w:val="24"/>
          <w:szCs w:val="24"/>
        </w:rPr>
        <w:t xml:space="preserve"> </w:t>
      </w:r>
      <w:proofErr w:type="spellStart"/>
      <w:r w:rsidRPr="000053C8">
        <w:rPr>
          <w:sz w:val="24"/>
          <w:szCs w:val="24"/>
        </w:rPr>
        <w:t>enormis</w:t>
      </w:r>
      <w:proofErr w:type="spellEnd"/>
      <w:r w:rsidRPr="000053C8">
        <w:rPr>
          <w:sz w:val="24"/>
          <w:szCs w:val="24"/>
        </w:rPr>
        <w:t xml:space="preserve"> ist im </w:t>
      </w:r>
      <w:proofErr w:type="gramStart"/>
      <w:r w:rsidRPr="000053C8">
        <w:rPr>
          <w:sz w:val="24"/>
          <w:szCs w:val="24"/>
        </w:rPr>
        <w:t>Paragraph</w:t>
      </w:r>
      <w:proofErr w:type="gramEnd"/>
      <w:r w:rsidRPr="000053C8">
        <w:rPr>
          <w:sz w:val="24"/>
          <w:szCs w:val="24"/>
        </w:rPr>
        <w:t xml:space="preserve"> 934 zu finden. Dieser Abschnitt besagt, dass eine der Vertragspartner den Kaufvertrag auflösen kann, wenn er weniger als die Hälfte des gesamten Sachwertes der Leistung bekommt. Diese Leistung kann eine Ware oder Geld sein. Die Gegenpartei müsste bis zum gesamten Wert aufzahlen, damit der Vertragspartner sich umentscheidet und vom Vertrag nicht zurücktritt. Die Kaufpreise gelten bis zu 200% der Gegenleistung als straffrei.</w:t>
      </w:r>
      <w:r>
        <w:rPr>
          <w:rStyle w:val="Funotenzeichen"/>
          <w:sz w:val="24"/>
          <w:szCs w:val="24"/>
        </w:rPr>
        <w:footnoteReference w:id="3"/>
      </w:r>
      <w:r w:rsidRPr="000053C8">
        <w:rPr>
          <w:sz w:val="24"/>
          <w:szCs w:val="24"/>
        </w:rPr>
        <w:t xml:space="preserve"> </w:t>
      </w:r>
    </w:p>
    <w:p w14:paraId="54FC449B" w14:textId="77777777" w:rsidR="00F7012B" w:rsidRDefault="00F7012B" w:rsidP="003A25BC">
      <w:pPr>
        <w:spacing w:after="120"/>
        <w:jc w:val="both"/>
        <w:rPr>
          <w:sz w:val="24"/>
          <w:szCs w:val="24"/>
        </w:rPr>
      </w:pPr>
    </w:p>
    <w:p w14:paraId="7270B4E4" w14:textId="334ABB32" w:rsidR="00F7012B" w:rsidRDefault="00F7012B" w:rsidP="003A25BC">
      <w:pPr>
        <w:spacing w:after="120"/>
        <w:jc w:val="both"/>
      </w:pPr>
      <w:r w:rsidRPr="000053C8">
        <w:rPr>
          <w:sz w:val="24"/>
          <w:szCs w:val="24"/>
        </w:rPr>
        <w:t xml:space="preserve">Allerdings kann die </w:t>
      </w:r>
      <w:proofErr w:type="spellStart"/>
      <w:r w:rsidRPr="000053C8">
        <w:rPr>
          <w:sz w:val="24"/>
          <w:szCs w:val="24"/>
        </w:rPr>
        <w:t>laesio</w:t>
      </w:r>
      <w:proofErr w:type="spellEnd"/>
      <w:r w:rsidRPr="000053C8">
        <w:rPr>
          <w:sz w:val="24"/>
          <w:szCs w:val="24"/>
        </w:rPr>
        <w:t xml:space="preserve"> </w:t>
      </w:r>
      <w:proofErr w:type="spellStart"/>
      <w:r w:rsidRPr="000053C8">
        <w:rPr>
          <w:sz w:val="24"/>
          <w:szCs w:val="24"/>
        </w:rPr>
        <w:t>enormis</w:t>
      </w:r>
      <w:proofErr w:type="spellEnd"/>
      <w:r w:rsidRPr="000053C8">
        <w:rPr>
          <w:sz w:val="24"/>
          <w:szCs w:val="24"/>
        </w:rPr>
        <w:t xml:space="preserve"> nicht herangezogen werden, wenn</w:t>
      </w:r>
      <w:r w:rsidRPr="00EF0BC2">
        <w:t xml:space="preserve"> </w:t>
      </w:r>
      <w:r>
        <w:t xml:space="preserve"> </w:t>
      </w:r>
    </w:p>
    <w:p w14:paraId="68D870AF" w14:textId="77777777" w:rsidR="00F7012B" w:rsidRPr="000053C8" w:rsidRDefault="00F7012B" w:rsidP="003A25BC">
      <w:pPr>
        <w:pStyle w:val="Listenabsatz"/>
        <w:numPr>
          <w:ilvl w:val="0"/>
          <w:numId w:val="28"/>
        </w:numPr>
        <w:spacing w:after="120"/>
        <w:contextualSpacing w:val="0"/>
        <w:jc w:val="both"/>
        <w:rPr>
          <w:sz w:val="24"/>
          <w:szCs w:val="24"/>
        </w:rPr>
      </w:pPr>
      <w:r w:rsidRPr="000053C8">
        <w:rPr>
          <w:sz w:val="24"/>
          <w:szCs w:val="24"/>
        </w:rPr>
        <w:t xml:space="preserve">der Kauf der Ware aufgrund einer Besonderheit gekauft wird, </w:t>
      </w:r>
    </w:p>
    <w:p w14:paraId="5267CC1B" w14:textId="77777777" w:rsidR="00F7012B" w:rsidRPr="000053C8" w:rsidRDefault="00F7012B" w:rsidP="003A25BC">
      <w:pPr>
        <w:pStyle w:val="Listenabsatz"/>
        <w:numPr>
          <w:ilvl w:val="0"/>
          <w:numId w:val="28"/>
        </w:numPr>
        <w:spacing w:after="120"/>
        <w:contextualSpacing w:val="0"/>
        <w:jc w:val="both"/>
        <w:rPr>
          <w:sz w:val="24"/>
          <w:szCs w:val="24"/>
        </w:rPr>
      </w:pPr>
      <w:r w:rsidRPr="000053C8">
        <w:rPr>
          <w:sz w:val="24"/>
          <w:szCs w:val="24"/>
        </w:rPr>
        <w:t>der Gegenstand zum tatsächlichen Preis gekauft wird,</w:t>
      </w:r>
    </w:p>
    <w:p w14:paraId="730DFC2D" w14:textId="77777777" w:rsidR="00F7012B" w:rsidRPr="000053C8" w:rsidRDefault="00F7012B" w:rsidP="003A25BC">
      <w:pPr>
        <w:pStyle w:val="Listenabsatz"/>
        <w:numPr>
          <w:ilvl w:val="0"/>
          <w:numId w:val="28"/>
        </w:numPr>
        <w:spacing w:after="120"/>
        <w:contextualSpacing w:val="0"/>
        <w:jc w:val="both"/>
        <w:rPr>
          <w:sz w:val="24"/>
          <w:szCs w:val="24"/>
        </w:rPr>
      </w:pPr>
      <w:r w:rsidRPr="000053C8">
        <w:rPr>
          <w:sz w:val="24"/>
          <w:szCs w:val="24"/>
        </w:rPr>
        <w:t>die Beteiligten einen Schenkungsvertrag vereinbart hatten oder</w:t>
      </w:r>
    </w:p>
    <w:p w14:paraId="7A90386A" w14:textId="7AB68950" w:rsidR="00F7012B" w:rsidRPr="000053C8" w:rsidRDefault="00F7012B" w:rsidP="003A25BC">
      <w:pPr>
        <w:pStyle w:val="Listenabsatz"/>
        <w:numPr>
          <w:ilvl w:val="0"/>
          <w:numId w:val="28"/>
        </w:numPr>
        <w:spacing w:after="120"/>
        <w:contextualSpacing w:val="0"/>
        <w:jc w:val="both"/>
        <w:rPr>
          <w:sz w:val="24"/>
          <w:szCs w:val="24"/>
        </w:rPr>
      </w:pPr>
      <w:r w:rsidRPr="000053C8">
        <w:rPr>
          <w:sz w:val="24"/>
          <w:szCs w:val="24"/>
        </w:rPr>
        <w:lastRenderedPageBreak/>
        <w:t>der Gegenstand im Rahmen einer gerichtlichen Auktion erworben wurde.</w:t>
      </w:r>
      <w:r>
        <w:rPr>
          <w:rStyle w:val="Funotenzeichen"/>
          <w:sz w:val="24"/>
          <w:szCs w:val="24"/>
        </w:rPr>
        <w:footnoteReference w:id="4"/>
      </w:r>
    </w:p>
    <w:p w14:paraId="6DCB6E66" w14:textId="77777777" w:rsidR="00E52122" w:rsidRPr="00E52122" w:rsidRDefault="00E52122" w:rsidP="003A25BC">
      <w:pPr>
        <w:spacing w:after="120"/>
        <w:jc w:val="both"/>
      </w:pPr>
    </w:p>
    <w:p w14:paraId="6B2D369B" w14:textId="305738D0" w:rsidR="00C1115F" w:rsidRDefault="0042592A" w:rsidP="003A25BC">
      <w:pPr>
        <w:pStyle w:val="berschrift2"/>
        <w:spacing w:after="120"/>
        <w:jc w:val="both"/>
      </w:pPr>
      <w:bookmarkStart w:id="31" w:name="_Toc68526637"/>
      <w:bookmarkStart w:id="32" w:name="_Toc68526659"/>
      <w:bookmarkStart w:id="33" w:name="_Toc68526776"/>
      <w:bookmarkStart w:id="34" w:name="_Toc68527580"/>
      <w:bookmarkStart w:id="35" w:name="_Toc73014945"/>
      <w:r w:rsidRPr="00333527">
        <w:t>Wucher</w:t>
      </w:r>
      <w:bookmarkEnd w:id="31"/>
      <w:bookmarkEnd w:id="32"/>
      <w:bookmarkEnd w:id="33"/>
      <w:bookmarkEnd w:id="34"/>
      <w:bookmarkEnd w:id="35"/>
    </w:p>
    <w:p w14:paraId="09029291" w14:textId="376B0CA9" w:rsidR="00C656A1" w:rsidRDefault="00C656A1" w:rsidP="003A25BC">
      <w:pPr>
        <w:spacing w:after="120"/>
        <w:jc w:val="both"/>
        <w:rPr>
          <w:sz w:val="24"/>
          <w:szCs w:val="24"/>
        </w:rPr>
      </w:pPr>
      <w:r>
        <w:rPr>
          <w:sz w:val="24"/>
          <w:szCs w:val="24"/>
        </w:rPr>
        <w:t xml:space="preserve">Das Allgemeine Bürgerliche Gesetzbuch im </w:t>
      </w:r>
      <w:proofErr w:type="gramStart"/>
      <w:r>
        <w:rPr>
          <w:sz w:val="24"/>
          <w:szCs w:val="24"/>
        </w:rPr>
        <w:t>Paragraph</w:t>
      </w:r>
      <w:proofErr w:type="gramEnd"/>
      <w:r>
        <w:rPr>
          <w:sz w:val="24"/>
          <w:szCs w:val="24"/>
        </w:rPr>
        <w:t xml:space="preserve"> 879 enthält die Regelung zum Wucher. Wird der Zwangszustand, Gemütsaufregung, Unerfahrenheit, Geistesschwäche oder der Leichtsinn einer Person missbraucht oder wird ein Gegenwert zugesagt, die in einem unübersehbaren Missverhältnis zum Wert der Leistung steht, liegt kein Vertrag vor, weil er nichtig ist.</w:t>
      </w:r>
      <w:r>
        <w:rPr>
          <w:rStyle w:val="Funotenzeichen"/>
          <w:sz w:val="24"/>
          <w:szCs w:val="24"/>
        </w:rPr>
        <w:footnoteReference w:id="5"/>
      </w:r>
      <w:r>
        <w:rPr>
          <w:sz w:val="24"/>
          <w:szCs w:val="24"/>
        </w:rPr>
        <w:t xml:space="preserve"> Wenn man in einem solchen Fall einer Person Schaden zufügt, ist mit einer Freiheitsstrafe von drei bis fünf Jahren zu rechnen.</w:t>
      </w:r>
      <w:r>
        <w:rPr>
          <w:rStyle w:val="Funotenzeichen"/>
          <w:sz w:val="24"/>
          <w:szCs w:val="24"/>
        </w:rPr>
        <w:footnoteReference w:id="6"/>
      </w:r>
    </w:p>
    <w:p w14:paraId="1D2B63D9" w14:textId="77777777" w:rsidR="00E52122" w:rsidRPr="00E52122" w:rsidRDefault="00E52122" w:rsidP="003A25BC">
      <w:pPr>
        <w:spacing w:after="120"/>
        <w:jc w:val="both"/>
      </w:pPr>
    </w:p>
    <w:p w14:paraId="76228DE4" w14:textId="33792961" w:rsidR="0042592A" w:rsidRDefault="0042592A" w:rsidP="003A25BC">
      <w:pPr>
        <w:pStyle w:val="berschrift2"/>
        <w:spacing w:after="120"/>
        <w:jc w:val="both"/>
      </w:pPr>
      <w:bookmarkStart w:id="36" w:name="_Toc68526638"/>
      <w:bookmarkStart w:id="37" w:name="_Toc68526660"/>
      <w:bookmarkStart w:id="38" w:name="_Toc68526777"/>
      <w:bookmarkStart w:id="39" w:name="_Toc68527581"/>
      <w:bookmarkStart w:id="40" w:name="_Toc73014946"/>
      <w:r w:rsidRPr="00333527">
        <w:t>Kartellgesetz</w:t>
      </w:r>
      <w:bookmarkEnd w:id="36"/>
      <w:bookmarkEnd w:id="37"/>
      <w:bookmarkEnd w:id="38"/>
      <w:bookmarkEnd w:id="39"/>
      <w:r w:rsidR="00C656A1">
        <w:t xml:space="preserve"> (</w:t>
      </w:r>
      <w:proofErr w:type="spellStart"/>
      <w:r w:rsidR="00C656A1">
        <w:t>KartG</w:t>
      </w:r>
      <w:proofErr w:type="spellEnd"/>
      <w:r w:rsidR="00C656A1">
        <w:t>)</w:t>
      </w:r>
      <w:bookmarkEnd w:id="40"/>
    </w:p>
    <w:p w14:paraId="433D9EC4" w14:textId="566BA7D6" w:rsidR="00C656A1" w:rsidRDefault="00C656A1" w:rsidP="0078226C">
      <w:pPr>
        <w:spacing w:after="120"/>
        <w:jc w:val="both"/>
        <w:rPr>
          <w:sz w:val="24"/>
          <w:szCs w:val="24"/>
        </w:rPr>
      </w:pPr>
      <w:r>
        <w:rPr>
          <w:sz w:val="24"/>
          <w:szCs w:val="24"/>
        </w:rPr>
        <w:t>Das Kartellrecht, welches vor allem die Firmen und Organisationen in Österreich betrifft, ist im Kartellgesetz enthalten. Das Kartellgesetz der Europäischen Union wurde durch die österreichischen Regeln ergänzt.</w:t>
      </w:r>
      <w:r>
        <w:rPr>
          <w:rStyle w:val="Funotenzeichen"/>
          <w:sz w:val="24"/>
          <w:szCs w:val="24"/>
        </w:rPr>
        <w:footnoteReference w:id="7"/>
      </w:r>
    </w:p>
    <w:p w14:paraId="7B129814" w14:textId="77777777" w:rsidR="0078226C" w:rsidRDefault="0078226C" w:rsidP="0078226C">
      <w:pPr>
        <w:spacing w:after="120"/>
        <w:jc w:val="both"/>
        <w:rPr>
          <w:sz w:val="24"/>
          <w:szCs w:val="24"/>
        </w:rPr>
      </w:pPr>
    </w:p>
    <w:p w14:paraId="2335D451" w14:textId="65C77CF6" w:rsidR="00C656A1" w:rsidRDefault="00C656A1" w:rsidP="0078226C">
      <w:pPr>
        <w:spacing w:after="120"/>
        <w:jc w:val="both"/>
        <w:rPr>
          <w:sz w:val="24"/>
          <w:szCs w:val="24"/>
        </w:rPr>
      </w:pPr>
      <w:r w:rsidRPr="007E7B60">
        <w:rPr>
          <w:sz w:val="24"/>
          <w:szCs w:val="24"/>
        </w:rPr>
        <w:t xml:space="preserve">Laut </w:t>
      </w:r>
      <w:r w:rsidR="000B3B1B">
        <w:rPr>
          <w:sz w:val="24"/>
          <w:szCs w:val="24"/>
        </w:rPr>
        <w:t>dem ersten Absatz</w:t>
      </w:r>
      <w:r w:rsidRPr="007E7B60">
        <w:rPr>
          <w:sz w:val="24"/>
          <w:szCs w:val="24"/>
        </w:rPr>
        <w:t xml:space="preserve"> des Kartellgesetzes ist es untersagt, dass sich zwei oder mehrere Unternehmen zusammenschließen und ohne Rücksicht auf die anderen Wettbewerber eine Absprache untereinander treffen. In einem solchen Fall wird versucht, die Wettbewerber auszuschalten</w:t>
      </w:r>
      <w:r>
        <w:rPr>
          <w:sz w:val="24"/>
          <w:szCs w:val="24"/>
        </w:rPr>
        <w:t xml:space="preserve"> oder </w:t>
      </w:r>
      <w:r w:rsidRPr="007E7B60">
        <w:rPr>
          <w:sz w:val="24"/>
          <w:szCs w:val="24"/>
        </w:rPr>
        <w:t>einzuschränken.</w:t>
      </w:r>
      <w:r w:rsidR="00DF0B23">
        <w:rPr>
          <w:rStyle w:val="Funotenzeichen"/>
          <w:sz w:val="24"/>
          <w:szCs w:val="24"/>
        </w:rPr>
        <w:footnoteReference w:id="8"/>
      </w:r>
      <w:r>
        <w:rPr>
          <w:sz w:val="24"/>
          <w:szCs w:val="24"/>
        </w:rPr>
        <w:t xml:space="preserve"> </w:t>
      </w:r>
    </w:p>
    <w:p w14:paraId="631EE624" w14:textId="0FE7F888" w:rsidR="00C656A1" w:rsidRDefault="00C656A1" w:rsidP="0078226C">
      <w:pPr>
        <w:spacing w:after="120"/>
        <w:jc w:val="both"/>
        <w:rPr>
          <w:sz w:val="24"/>
          <w:szCs w:val="24"/>
        </w:rPr>
      </w:pPr>
      <w:r w:rsidRPr="00ED7F73">
        <w:rPr>
          <w:sz w:val="24"/>
          <w:szCs w:val="24"/>
        </w:rPr>
        <w:t>Zwischen den Unternehmen ist es nicht erlaubt, mit den von ihnen festgesetzten Preisen oder im Voraus festgelegten Geschäftsbedingungen zu handeln.  Außerdem ist es den Unternehmen nicht gestattet, sich den Absatzmarkt oder die Bezugsquellen mit anderen zu teilen.</w:t>
      </w:r>
      <w:r>
        <w:rPr>
          <w:rStyle w:val="Funotenzeichen"/>
          <w:sz w:val="24"/>
          <w:szCs w:val="24"/>
        </w:rPr>
        <w:footnoteReference w:id="9"/>
      </w:r>
    </w:p>
    <w:p w14:paraId="3AF01F56" w14:textId="28EEF67E" w:rsidR="004B0023" w:rsidRDefault="00C656A1" w:rsidP="003A25BC">
      <w:pPr>
        <w:spacing w:after="120"/>
        <w:jc w:val="both"/>
        <w:rPr>
          <w:sz w:val="24"/>
          <w:szCs w:val="24"/>
        </w:rPr>
      </w:pPr>
      <w:r>
        <w:rPr>
          <w:sz w:val="24"/>
          <w:szCs w:val="24"/>
        </w:rPr>
        <w:t xml:space="preserve">Im Kartellgesetz ist zwischen zwei wichtigen Vereinbarungen zu unterscheiden. </w:t>
      </w:r>
    </w:p>
    <w:p w14:paraId="5D022602" w14:textId="77777777" w:rsidR="00C656A1" w:rsidRPr="00F47F39" w:rsidRDefault="00C656A1" w:rsidP="003A25BC">
      <w:pPr>
        <w:pStyle w:val="Listenabsatz"/>
        <w:numPr>
          <w:ilvl w:val="0"/>
          <w:numId w:val="29"/>
        </w:numPr>
        <w:spacing w:after="120"/>
        <w:contextualSpacing w:val="0"/>
        <w:jc w:val="both"/>
        <w:rPr>
          <w:sz w:val="24"/>
          <w:szCs w:val="24"/>
          <w:u w:val="single"/>
        </w:rPr>
      </w:pPr>
      <w:r>
        <w:rPr>
          <w:sz w:val="24"/>
          <w:szCs w:val="24"/>
        </w:rPr>
        <w:lastRenderedPageBreak/>
        <w:t>Vertikale Vereinbarung und</w:t>
      </w:r>
    </w:p>
    <w:p w14:paraId="3FDB5C2E" w14:textId="65305FB8" w:rsidR="002B1CCC" w:rsidRDefault="00C656A1" w:rsidP="002B1CCC">
      <w:pPr>
        <w:pStyle w:val="Listenabsatz"/>
        <w:numPr>
          <w:ilvl w:val="0"/>
          <w:numId w:val="29"/>
        </w:numPr>
        <w:spacing w:after="120"/>
        <w:contextualSpacing w:val="0"/>
        <w:jc w:val="both"/>
        <w:rPr>
          <w:sz w:val="24"/>
          <w:szCs w:val="24"/>
        </w:rPr>
      </w:pPr>
      <w:r>
        <w:rPr>
          <w:sz w:val="24"/>
          <w:szCs w:val="24"/>
        </w:rPr>
        <w:t>Horizontale</w:t>
      </w:r>
      <w:r w:rsidRPr="00F47F39">
        <w:rPr>
          <w:sz w:val="24"/>
          <w:szCs w:val="24"/>
        </w:rPr>
        <w:t xml:space="preserve"> Vereinbarung</w:t>
      </w:r>
      <w:r w:rsidR="002B1CCC">
        <w:rPr>
          <w:rStyle w:val="Funotenzeichen"/>
          <w:sz w:val="24"/>
          <w:szCs w:val="24"/>
        </w:rPr>
        <w:footnoteReference w:id="10"/>
      </w:r>
      <w:r w:rsidRPr="00F47F39">
        <w:rPr>
          <w:sz w:val="24"/>
          <w:szCs w:val="24"/>
        </w:rPr>
        <w:t xml:space="preserve"> </w:t>
      </w:r>
    </w:p>
    <w:p w14:paraId="47959FD1" w14:textId="77777777" w:rsidR="002B1CCC" w:rsidRPr="002B1CCC" w:rsidRDefault="002B1CCC" w:rsidP="002B1CCC">
      <w:pPr>
        <w:pStyle w:val="Listenabsatz"/>
        <w:spacing w:after="120"/>
        <w:ind w:left="1080"/>
        <w:contextualSpacing w:val="0"/>
        <w:jc w:val="both"/>
        <w:rPr>
          <w:sz w:val="24"/>
          <w:szCs w:val="24"/>
        </w:rPr>
      </w:pPr>
    </w:p>
    <w:p w14:paraId="3ADF80D7" w14:textId="2BF7148E" w:rsidR="00C656A1" w:rsidRDefault="00C656A1" w:rsidP="003A25BC">
      <w:pPr>
        <w:spacing w:after="120"/>
        <w:jc w:val="both"/>
        <w:rPr>
          <w:sz w:val="24"/>
          <w:szCs w:val="24"/>
        </w:rPr>
      </w:pPr>
      <w:r w:rsidRPr="001330EC">
        <w:rPr>
          <w:sz w:val="24"/>
          <w:szCs w:val="24"/>
        </w:rPr>
        <w:t xml:space="preserve">Eine vertikale </w:t>
      </w:r>
      <w:r>
        <w:rPr>
          <w:sz w:val="24"/>
          <w:szCs w:val="24"/>
        </w:rPr>
        <w:t>Absprache</w:t>
      </w:r>
      <w:r w:rsidRPr="001330EC">
        <w:rPr>
          <w:sz w:val="24"/>
          <w:szCs w:val="24"/>
        </w:rPr>
        <w:t xml:space="preserve"> findet zwischen den Unternehmen statt, indem die Verkaufspreise im Vorfeld bekannt gegeben und beschlossen werden oder der Markt so aufgeteilt wird, dass beide Parteien davon profitieren können. Eine horizontale Vereinbarung liegt vor, wenn Wettbewerber versuchen, Einzelhandelsketten zu behindern, indem sie ihre eigenen Festpreise vorgeben und sogar passiv ihre Produkte oder Dienstleistungen an die Endk</w:t>
      </w:r>
      <w:r>
        <w:rPr>
          <w:sz w:val="24"/>
          <w:szCs w:val="24"/>
        </w:rPr>
        <w:t>onsumenten</w:t>
      </w:r>
      <w:r w:rsidRPr="001330EC">
        <w:rPr>
          <w:sz w:val="24"/>
          <w:szCs w:val="24"/>
        </w:rPr>
        <w:t xml:space="preserve"> vertreiben.</w:t>
      </w:r>
      <w:r>
        <w:rPr>
          <w:rStyle w:val="Funotenzeichen"/>
          <w:sz w:val="24"/>
          <w:szCs w:val="24"/>
        </w:rPr>
        <w:footnoteReference w:id="11"/>
      </w:r>
    </w:p>
    <w:p w14:paraId="0A723B79" w14:textId="5C0D2FE3" w:rsidR="00C656A1" w:rsidRDefault="00C656A1" w:rsidP="003A25BC">
      <w:pPr>
        <w:spacing w:after="120"/>
        <w:jc w:val="both"/>
        <w:rPr>
          <w:sz w:val="24"/>
          <w:szCs w:val="24"/>
        </w:rPr>
      </w:pPr>
      <w:r>
        <w:rPr>
          <w:sz w:val="24"/>
          <w:szCs w:val="24"/>
        </w:rPr>
        <w:t xml:space="preserve">Das Kartellgesetz erklärt im </w:t>
      </w:r>
      <w:proofErr w:type="gramStart"/>
      <w:r>
        <w:rPr>
          <w:sz w:val="24"/>
          <w:szCs w:val="24"/>
        </w:rPr>
        <w:t>Paragraph</w:t>
      </w:r>
      <w:proofErr w:type="gramEnd"/>
      <w:r>
        <w:rPr>
          <w:sz w:val="24"/>
          <w:szCs w:val="24"/>
        </w:rPr>
        <w:t xml:space="preserve"> 24, dass es auch Kartelle gibt, die nicht gegen dem Gesetz verstoßen. Diese Sonderregel ist nur dann zulässig, wenn die Verbraucher in keiner Weise benachteiligt werden. Weitere Ausnahmen und Regeln sind im </w:t>
      </w:r>
      <w:proofErr w:type="gramStart"/>
      <w:r>
        <w:rPr>
          <w:sz w:val="24"/>
          <w:szCs w:val="24"/>
        </w:rPr>
        <w:t>Paragraph</w:t>
      </w:r>
      <w:proofErr w:type="gramEnd"/>
      <w:r>
        <w:rPr>
          <w:sz w:val="24"/>
          <w:szCs w:val="24"/>
        </w:rPr>
        <w:t xml:space="preserve"> 24 und 34 zu finden.</w:t>
      </w:r>
      <w:r>
        <w:rPr>
          <w:rStyle w:val="Funotenzeichen"/>
          <w:sz w:val="24"/>
          <w:szCs w:val="24"/>
        </w:rPr>
        <w:footnoteReference w:id="12"/>
      </w:r>
    </w:p>
    <w:p w14:paraId="6445294C" w14:textId="77777777" w:rsidR="00C656A1" w:rsidRPr="00E52122" w:rsidRDefault="00C656A1" w:rsidP="003A25BC">
      <w:pPr>
        <w:spacing w:after="120"/>
        <w:jc w:val="both"/>
      </w:pPr>
    </w:p>
    <w:p w14:paraId="6250B2C2" w14:textId="750734B3" w:rsidR="0042592A" w:rsidRDefault="0042592A" w:rsidP="003A25BC">
      <w:pPr>
        <w:pStyle w:val="berschrift2"/>
        <w:spacing w:after="120"/>
        <w:jc w:val="both"/>
      </w:pPr>
      <w:bookmarkStart w:id="41" w:name="_Toc68526639"/>
      <w:bookmarkStart w:id="42" w:name="_Toc68526661"/>
      <w:bookmarkStart w:id="43" w:name="_Toc68526778"/>
      <w:bookmarkStart w:id="44" w:name="_Toc68527582"/>
      <w:bookmarkStart w:id="45" w:name="_Toc73014947"/>
      <w:r w:rsidRPr="00333527">
        <w:t>Konsumentenschutzgesetz</w:t>
      </w:r>
      <w:bookmarkEnd w:id="41"/>
      <w:bookmarkEnd w:id="42"/>
      <w:bookmarkEnd w:id="43"/>
      <w:bookmarkEnd w:id="44"/>
      <w:r w:rsidR="00C656A1">
        <w:t xml:space="preserve"> (K</w:t>
      </w:r>
      <w:r w:rsidR="00BE2058">
        <w:t>S</w:t>
      </w:r>
      <w:r w:rsidR="00C656A1">
        <w:t>chG)</w:t>
      </w:r>
      <w:bookmarkEnd w:id="45"/>
    </w:p>
    <w:p w14:paraId="654C8226" w14:textId="6CE2B221" w:rsidR="0072235B" w:rsidRDefault="0072235B" w:rsidP="003A25BC">
      <w:pPr>
        <w:spacing w:after="120"/>
        <w:jc w:val="both"/>
        <w:rPr>
          <w:sz w:val="24"/>
          <w:szCs w:val="24"/>
        </w:rPr>
      </w:pPr>
      <w:r>
        <w:rPr>
          <w:sz w:val="24"/>
          <w:szCs w:val="24"/>
        </w:rPr>
        <w:t xml:space="preserve">Das Konsumentenschutzgesetz wird nur dann verwendet, wenn ein Vertrag zwischen einem Unternehmen und einem Kunden, der keine unternehmerische Tätigkeit ausübt, abgeschlossen wird. </w:t>
      </w:r>
      <w:r>
        <w:rPr>
          <w:rStyle w:val="Funotenzeichen"/>
          <w:sz w:val="24"/>
          <w:szCs w:val="24"/>
        </w:rPr>
        <w:footnoteReference w:id="13"/>
      </w:r>
      <w:r>
        <w:rPr>
          <w:sz w:val="24"/>
          <w:szCs w:val="24"/>
        </w:rPr>
        <w:t xml:space="preserve"> </w:t>
      </w:r>
    </w:p>
    <w:p w14:paraId="13A43946" w14:textId="77777777" w:rsidR="0072235B" w:rsidRDefault="0072235B" w:rsidP="003A25BC">
      <w:pPr>
        <w:spacing w:after="120"/>
        <w:jc w:val="both"/>
        <w:rPr>
          <w:sz w:val="24"/>
          <w:szCs w:val="24"/>
        </w:rPr>
      </w:pPr>
    </w:p>
    <w:p w14:paraId="7AD1B2FD" w14:textId="0BF36632" w:rsidR="0072235B" w:rsidRDefault="0072235B" w:rsidP="003A25BC">
      <w:pPr>
        <w:spacing w:after="120"/>
        <w:jc w:val="both"/>
        <w:rPr>
          <w:sz w:val="24"/>
          <w:szCs w:val="24"/>
        </w:rPr>
      </w:pPr>
      <w:r w:rsidRPr="0045636B">
        <w:rPr>
          <w:sz w:val="24"/>
          <w:szCs w:val="24"/>
        </w:rPr>
        <w:t>Diese Bestimmungen wurden erlassen, um Verbraucher vor jeglicher Art von Nachteilen zu schützen und für ihre Rechte einzutreten.</w:t>
      </w:r>
    </w:p>
    <w:p w14:paraId="59CC881F" w14:textId="4AD5C5ED" w:rsidR="0072235B" w:rsidRDefault="0072235B" w:rsidP="003A25BC">
      <w:pPr>
        <w:spacing w:after="120"/>
        <w:jc w:val="both"/>
        <w:rPr>
          <w:sz w:val="24"/>
          <w:szCs w:val="24"/>
        </w:rPr>
      </w:pPr>
      <w:r w:rsidRPr="00E26FA8">
        <w:rPr>
          <w:sz w:val="24"/>
          <w:szCs w:val="24"/>
        </w:rPr>
        <w:t xml:space="preserve">Im </w:t>
      </w:r>
      <w:proofErr w:type="gramStart"/>
      <w:r>
        <w:rPr>
          <w:sz w:val="24"/>
          <w:szCs w:val="24"/>
        </w:rPr>
        <w:t>Paragraph</w:t>
      </w:r>
      <w:proofErr w:type="gramEnd"/>
      <w:r w:rsidRPr="00E26FA8">
        <w:rPr>
          <w:sz w:val="24"/>
          <w:szCs w:val="24"/>
        </w:rPr>
        <w:t xml:space="preserve"> 6 ist festgelegt, dass Unternehmen die Preise später nicht ändern dürfen. Dieser Vorgang kann mit einem Wort auch als "Preisgleitklausel" bezeichnet werden.  Wenn die Preisgleitklausel sachlich gerechtfertigt ist und die </w:t>
      </w:r>
      <w:r w:rsidRPr="00E26FA8">
        <w:rPr>
          <w:sz w:val="24"/>
          <w:szCs w:val="24"/>
        </w:rPr>
        <w:lastRenderedPageBreak/>
        <w:t>für die Preiserhöhung relevanten Umstände konkret beschrieben werden, darf der Preis auch nur dann angehoben werden.</w:t>
      </w:r>
      <w:r w:rsidR="002D375A">
        <w:rPr>
          <w:rStyle w:val="Funotenzeichen"/>
          <w:sz w:val="24"/>
          <w:szCs w:val="24"/>
        </w:rPr>
        <w:footnoteReference w:id="14"/>
      </w:r>
    </w:p>
    <w:p w14:paraId="25B85AAC" w14:textId="2C0EC462" w:rsidR="00E52122" w:rsidRDefault="0072235B" w:rsidP="003A25BC">
      <w:pPr>
        <w:spacing w:after="120"/>
        <w:jc w:val="both"/>
        <w:rPr>
          <w:sz w:val="24"/>
          <w:szCs w:val="24"/>
        </w:rPr>
      </w:pPr>
      <w:r>
        <w:rPr>
          <w:sz w:val="24"/>
          <w:szCs w:val="24"/>
        </w:rPr>
        <w:t xml:space="preserve">Eine weitere Regel, die im </w:t>
      </w:r>
      <w:proofErr w:type="gramStart"/>
      <w:r>
        <w:rPr>
          <w:sz w:val="24"/>
          <w:szCs w:val="24"/>
        </w:rPr>
        <w:t>Paragraph</w:t>
      </w:r>
      <w:proofErr w:type="gramEnd"/>
      <w:r>
        <w:rPr>
          <w:sz w:val="24"/>
          <w:szCs w:val="24"/>
        </w:rPr>
        <w:t xml:space="preserve"> 6 genannt wird, ist, dass die Erhöhungen der Preise für Leistungen nicht erlaubt sind, </w:t>
      </w:r>
      <w:r w:rsidRPr="0065280E">
        <w:rPr>
          <w:sz w:val="24"/>
          <w:szCs w:val="24"/>
        </w:rPr>
        <w:t>wenn sie nicht mit dem Kunden besprochen wurden.</w:t>
      </w:r>
      <w:r>
        <w:rPr>
          <w:sz w:val="24"/>
          <w:szCs w:val="24"/>
        </w:rPr>
        <w:t xml:space="preserve"> Darüber hinaus muss dem Kunden bewusst sein, wenn er bei Zahlungsverzug die anfallenden Betreibungs- oder Einbringungskosten zu tragen hat. </w:t>
      </w:r>
      <w:r w:rsidRPr="00A75C24">
        <w:rPr>
          <w:sz w:val="24"/>
          <w:szCs w:val="24"/>
        </w:rPr>
        <w:t>Dies gilt nur, sofern die Kosten im Vertrag nicht ausdrücklich und einzeln aufgeführt sind oder die Kosten nicht zur zweckentsprechenden Einziehung oder Beitreibung der Forderung erforderlich waren.</w:t>
      </w:r>
      <w:r w:rsidR="000A282A">
        <w:rPr>
          <w:rStyle w:val="Funotenzeichen"/>
          <w:sz w:val="24"/>
          <w:szCs w:val="24"/>
        </w:rPr>
        <w:footnoteReference w:id="15"/>
      </w:r>
    </w:p>
    <w:p w14:paraId="5712C3A7" w14:textId="77777777" w:rsidR="000A282A" w:rsidRPr="0072235B" w:rsidRDefault="000A282A" w:rsidP="003A25BC">
      <w:pPr>
        <w:spacing w:after="120"/>
        <w:jc w:val="both"/>
        <w:rPr>
          <w:sz w:val="24"/>
          <w:szCs w:val="24"/>
        </w:rPr>
      </w:pPr>
    </w:p>
    <w:p w14:paraId="1AE49D20" w14:textId="38278FC1" w:rsidR="000210DB" w:rsidRDefault="0042592A" w:rsidP="003A25BC">
      <w:pPr>
        <w:pStyle w:val="berschrift2"/>
        <w:spacing w:after="120"/>
        <w:jc w:val="both"/>
      </w:pPr>
      <w:bookmarkStart w:id="46" w:name="_Toc68526640"/>
      <w:bookmarkStart w:id="47" w:name="_Toc68526662"/>
      <w:bookmarkStart w:id="48" w:name="_Toc68526779"/>
      <w:bookmarkStart w:id="49" w:name="_Toc68527583"/>
      <w:bookmarkStart w:id="50" w:name="_Toc73014948"/>
      <w:r w:rsidRPr="00333527">
        <w:t>Zahlungsdienstgesetz</w:t>
      </w:r>
      <w:bookmarkEnd w:id="46"/>
      <w:bookmarkEnd w:id="47"/>
      <w:bookmarkEnd w:id="48"/>
      <w:bookmarkEnd w:id="49"/>
      <w:r w:rsidRPr="00333527">
        <w:t xml:space="preserve"> </w:t>
      </w:r>
      <w:r w:rsidR="00F23BA4">
        <w:t>(</w:t>
      </w:r>
      <w:proofErr w:type="spellStart"/>
      <w:r w:rsidR="00F23BA4">
        <w:t>ZaDiG</w:t>
      </w:r>
      <w:proofErr w:type="spellEnd"/>
      <w:r w:rsidR="00F23BA4">
        <w:t>)</w:t>
      </w:r>
      <w:bookmarkEnd w:id="50"/>
    </w:p>
    <w:p w14:paraId="677087BF" w14:textId="1FE6622A" w:rsidR="000A282A" w:rsidRDefault="000A282A" w:rsidP="003A25BC">
      <w:pPr>
        <w:spacing w:after="120"/>
        <w:jc w:val="both"/>
        <w:rPr>
          <w:sz w:val="24"/>
          <w:szCs w:val="24"/>
        </w:rPr>
      </w:pPr>
      <w:r w:rsidRPr="005D3448">
        <w:rPr>
          <w:sz w:val="24"/>
          <w:szCs w:val="24"/>
        </w:rPr>
        <w:t xml:space="preserve">Die Bestimmungen für Zahlungsdienste befinden sich im </w:t>
      </w:r>
      <w:proofErr w:type="spellStart"/>
      <w:r w:rsidRPr="005D3448">
        <w:rPr>
          <w:sz w:val="24"/>
          <w:szCs w:val="24"/>
        </w:rPr>
        <w:t>Zahlungsdienst</w:t>
      </w:r>
      <w:r w:rsidR="00D92E2F">
        <w:rPr>
          <w:sz w:val="24"/>
          <w:szCs w:val="24"/>
        </w:rPr>
        <w:t>e</w:t>
      </w:r>
      <w:r w:rsidRPr="005D3448">
        <w:rPr>
          <w:sz w:val="24"/>
          <w:szCs w:val="24"/>
        </w:rPr>
        <w:t>gesetz</w:t>
      </w:r>
      <w:proofErr w:type="spellEnd"/>
      <w:r w:rsidRPr="005D3448">
        <w:rPr>
          <w:sz w:val="24"/>
          <w:szCs w:val="24"/>
        </w:rPr>
        <w:t>, das im Jahr 2018 überarbeitet wurde. Dieses Gesetz wurde aus der europäischen Richtlinie 2007/64 zum Schutz der österreichischen Bevölkerung und zur Regulierung des österreichischen Zahlungsverkehrs eingeführt.</w:t>
      </w:r>
      <w:r>
        <w:rPr>
          <w:sz w:val="24"/>
          <w:szCs w:val="24"/>
        </w:rPr>
        <w:t xml:space="preserve"> </w:t>
      </w:r>
      <w:r w:rsidRPr="009919A1">
        <w:rPr>
          <w:sz w:val="24"/>
          <w:szCs w:val="24"/>
        </w:rPr>
        <w:t>Im Zeitalter der hohen Automatisierung und Selbstbedienung kommt dieser Richtlinie eine große Bedeutung zu, indem sie den Kunden eine größere Sicherheit hinsichtlich der Abwicklung elektronischer Zahlungen bietet.</w:t>
      </w:r>
      <w:r>
        <w:rPr>
          <w:rStyle w:val="Funotenzeichen"/>
          <w:sz w:val="24"/>
          <w:szCs w:val="24"/>
        </w:rPr>
        <w:footnoteReference w:id="16"/>
      </w:r>
    </w:p>
    <w:p w14:paraId="10FB385F" w14:textId="574D7583" w:rsidR="00E52122" w:rsidRDefault="00E52122" w:rsidP="003A25BC">
      <w:pPr>
        <w:spacing w:after="120"/>
        <w:jc w:val="both"/>
      </w:pPr>
    </w:p>
    <w:p w14:paraId="4E079D83" w14:textId="6450A65E" w:rsidR="000A282A" w:rsidRDefault="000A282A" w:rsidP="003A25BC">
      <w:pPr>
        <w:spacing w:after="120"/>
        <w:jc w:val="both"/>
        <w:rPr>
          <w:sz w:val="24"/>
          <w:szCs w:val="24"/>
        </w:rPr>
      </w:pPr>
      <w:r>
        <w:rPr>
          <w:sz w:val="24"/>
          <w:szCs w:val="24"/>
        </w:rPr>
        <w:t xml:space="preserve">Die im </w:t>
      </w:r>
      <w:proofErr w:type="gramStart"/>
      <w:r>
        <w:rPr>
          <w:sz w:val="24"/>
          <w:szCs w:val="24"/>
        </w:rPr>
        <w:t>Paragraph</w:t>
      </w:r>
      <w:proofErr w:type="gramEnd"/>
      <w:r>
        <w:rPr>
          <w:sz w:val="24"/>
          <w:szCs w:val="24"/>
        </w:rPr>
        <w:t xml:space="preserve"> 1 des </w:t>
      </w:r>
      <w:proofErr w:type="spellStart"/>
      <w:r>
        <w:rPr>
          <w:sz w:val="24"/>
          <w:szCs w:val="24"/>
        </w:rPr>
        <w:t>Zahlungsdienst</w:t>
      </w:r>
      <w:r w:rsidR="00D92E2F">
        <w:rPr>
          <w:sz w:val="24"/>
          <w:szCs w:val="24"/>
        </w:rPr>
        <w:t>e</w:t>
      </w:r>
      <w:r>
        <w:rPr>
          <w:sz w:val="24"/>
          <w:szCs w:val="24"/>
        </w:rPr>
        <w:t>gesetzes</w:t>
      </w:r>
      <w:proofErr w:type="spellEnd"/>
      <w:r>
        <w:rPr>
          <w:sz w:val="24"/>
          <w:szCs w:val="24"/>
        </w:rPr>
        <w:t xml:space="preserve"> genannten Zahlungsdienstleistungen, umfassen die folgenden Bereiche: </w:t>
      </w:r>
    </w:p>
    <w:p w14:paraId="15328C86" w14:textId="77777777" w:rsidR="000A282A" w:rsidRDefault="000A282A" w:rsidP="003A25BC">
      <w:pPr>
        <w:pStyle w:val="Listenabsatz"/>
        <w:numPr>
          <w:ilvl w:val="0"/>
          <w:numId w:val="30"/>
        </w:numPr>
        <w:spacing w:after="120"/>
        <w:contextualSpacing w:val="0"/>
        <w:jc w:val="both"/>
        <w:rPr>
          <w:sz w:val="24"/>
          <w:szCs w:val="24"/>
        </w:rPr>
      </w:pPr>
      <w:r>
        <w:rPr>
          <w:sz w:val="24"/>
          <w:szCs w:val="24"/>
        </w:rPr>
        <w:t>Einzahlungsgeschäft</w:t>
      </w:r>
    </w:p>
    <w:p w14:paraId="4F45B3AA" w14:textId="77777777" w:rsidR="000A282A" w:rsidRDefault="000A282A" w:rsidP="003A25BC">
      <w:pPr>
        <w:pStyle w:val="Listenabsatz"/>
        <w:numPr>
          <w:ilvl w:val="0"/>
          <w:numId w:val="30"/>
        </w:numPr>
        <w:spacing w:after="120"/>
        <w:contextualSpacing w:val="0"/>
        <w:jc w:val="both"/>
        <w:rPr>
          <w:sz w:val="24"/>
          <w:szCs w:val="24"/>
        </w:rPr>
      </w:pPr>
      <w:r>
        <w:rPr>
          <w:sz w:val="24"/>
          <w:szCs w:val="24"/>
        </w:rPr>
        <w:t>Auszahlungsgeschäft</w:t>
      </w:r>
    </w:p>
    <w:p w14:paraId="400A696F" w14:textId="77777777" w:rsidR="000A282A" w:rsidRDefault="000A282A" w:rsidP="003A25BC">
      <w:pPr>
        <w:pStyle w:val="Listenabsatz"/>
        <w:numPr>
          <w:ilvl w:val="0"/>
          <w:numId w:val="30"/>
        </w:numPr>
        <w:spacing w:after="120"/>
        <w:contextualSpacing w:val="0"/>
        <w:jc w:val="both"/>
        <w:rPr>
          <w:sz w:val="24"/>
          <w:szCs w:val="24"/>
        </w:rPr>
      </w:pPr>
      <w:r>
        <w:rPr>
          <w:sz w:val="24"/>
          <w:szCs w:val="24"/>
        </w:rPr>
        <w:t>Zahlungsgeschäft</w:t>
      </w:r>
    </w:p>
    <w:p w14:paraId="6A7B97A5" w14:textId="77777777" w:rsidR="000A282A" w:rsidRDefault="000A282A" w:rsidP="003A25BC">
      <w:pPr>
        <w:pStyle w:val="Listenabsatz"/>
        <w:numPr>
          <w:ilvl w:val="0"/>
          <w:numId w:val="30"/>
        </w:numPr>
        <w:spacing w:after="120"/>
        <w:contextualSpacing w:val="0"/>
        <w:jc w:val="both"/>
        <w:rPr>
          <w:sz w:val="24"/>
          <w:szCs w:val="24"/>
        </w:rPr>
      </w:pPr>
      <w:r>
        <w:rPr>
          <w:sz w:val="24"/>
          <w:szCs w:val="24"/>
        </w:rPr>
        <w:t>Lastschriftgeschäft</w:t>
      </w:r>
    </w:p>
    <w:p w14:paraId="22758A5B" w14:textId="77777777" w:rsidR="000A282A" w:rsidRDefault="000A282A" w:rsidP="003A25BC">
      <w:pPr>
        <w:pStyle w:val="Listenabsatz"/>
        <w:numPr>
          <w:ilvl w:val="0"/>
          <w:numId w:val="30"/>
        </w:numPr>
        <w:spacing w:after="120"/>
        <w:contextualSpacing w:val="0"/>
        <w:jc w:val="both"/>
        <w:rPr>
          <w:sz w:val="24"/>
          <w:szCs w:val="24"/>
        </w:rPr>
      </w:pPr>
      <w:r>
        <w:rPr>
          <w:sz w:val="24"/>
          <w:szCs w:val="24"/>
        </w:rPr>
        <w:t>Zahlungskartengeschäft</w:t>
      </w:r>
    </w:p>
    <w:p w14:paraId="124990BD" w14:textId="77777777" w:rsidR="000A282A" w:rsidRDefault="000A282A" w:rsidP="003A25BC">
      <w:pPr>
        <w:pStyle w:val="Listenabsatz"/>
        <w:numPr>
          <w:ilvl w:val="0"/>
          <w:numId w:val="30"/>
        </w:numPr>
        <w:spacing w:after="120"/>
        <w:contextualSpacing w:val="0"/>
        <w:jc w:val="both"/>
        <w:rPr>
          <w:sz w:val="24"/>
          <w:szCs w:val="24"/>
        </w:rPr>
      </w:pPr>
      <w:r>
        <w:rPr>
          <w:sz w:val="24"/>
          <w:szCs w:val="24"/>
        </w:rPr>
        <w:t>Überweisungsgeschäft</w:t>
      </w:r>
    </w:p>
    <w:p w14:paraId="2B4267AC" w14:textId="77777777" w:rsidR="000A282A" w:rsidRDefault="000A282A" w:rsidP="003A25BC">
      <w:pPr>
        <w:pStyle w:val="Listenabsatz"/>
        <w:numPr>
          <w:ilvl w:val="0"/>
          <w:numId w:val="30"/>
        </w:numPr>
        <w:spacing w:after="120"/>
        <w:contextualSpacing w:val="0"/>
        <w:jc w:val="both"/>
        <w:rPr>
          <w:sz w:val="24"/>
          <w:szCs w:val="24"/>
        </w:rPr>
      </w:pPr>
      <w:r>
        <w:rPr>
          <w:sz w:val="24"/>
          <w:szCs w:val="24"/>
        </w:rPr>
        <w:lastRenderedPageBreak/>
        <w:t>Zahlungsgeschäft mit Kreditgewährung</w:t>
      </w:r>
    </w:p>
    <w:p w14:paraId="2D8FF020" w14:textId="77777777" w:rsidR="000A282A" w:rsidRDefault="000A282A" w:rsidP="003A25BC">
      <w:pPr>
        <w:pStyle w:val="Listenabsatz"/>
        <w:numPr>
          <w:ilvl w:val="0"/>
          <w:numId w:val="30"/>
        </w:numPr>
        <w:spacing w:after="120"/>
        <w:contextualSpacing w:val="0"/>
        <w:jc w:val="both"/>
        <w:rPr>
          <w:sz w:val="24"/>
          <w:szCs w:val="24"/>
        </w:rPr>
      </w:pPr>
      <w:r>
        <w:rPr>
          <w:sz w:val="24"/>
          <w:szCs w:val="24"/>
        </w:rPr>
        <w:t>Issuing (</w:t>
      </w:r>
      <w:proofErr w:type="spellStart"/>
      <w:r>
        <w:rPr>
          <w:sz w:val="24"/>
          <w:szCs w:val="24"/>
        </w:rPr>
        <w:t>Acquiring</w:t>
      </w:r>
      <w:proofErr w:type="spellEnd"/>
      <w:r>
        <w:rPr>
          <w:sz w:val="24"/>
          <w:szCs w:val="24"/>
        </w:rPr>
        <w:t>)</w:t>
      </w:r>
    </w:p>
    <w:p w14:paraId="05FBCFC6" w14:textId="77777777" w:rsidR="000A282A" w:rsidRDefault="000A282A" w:rsidP="003A25BC">
      <w:pPr>
        <w:pStyle w:val="Listenabsatz"/>
        <w:numPr>
          <w:ilvl w:val="0"/>
          <w:numId w:val="30"/>
        </w:numPr>
        <w:spacing w:after="120"/>
        <w:contextualSpacing w:val="0"/>
        <w:jc w:val="both"/>
        <w:rPr>
          <w:sz w:val="24"/>
          <w:szCs w:val="24"/>
        </w:rPr>
      </w:pPr>
      <w:r>
        <w:rPr>
          <w:sz w:val="24"/>
          <w:szCs w:val="24"/>
        </w:rPr>
        <w:t>Finanztransfergeschäft</w:t>
      </w:r>
    </w:p>
    <w:p w14:paraId="5E314577" w14:textId="77777777" w:rsidR="000A282A" w:rsidRDefault="000A282A" w:rsidP="003A25BC">
      <w:pPr>
        <w:pStyle w:val="Listenabsatz"/>
        <w:numPr>
          <w:ilvl w:val="0"/>
          <w:numId w:val="30"/>
        </w:numPr>
        <w:spacing w:after="120"/>
        <w:contextualSpacing w:val="0"/>
        <w:jc w:val="both"/>
        <w:rPr>
          <w:sz w:val="24"/>
          <w:szCs w:val="24"/>
        </w:rPr>
      </w:pPr>
      <w:r>
        <w:rPr>
          <w:sz w:val="24"/>
          <w:szCs w:val="24"/>
        </w:rPr>
        <w:t xml:space="preserve">Zahlungsauslösedienste </w:t>
      </w:r>
    </w:p>
    <w:p w14:paraId="51A1FA2E" w14:textId="5507FBEA" w:rsidR="000A282A" w:rsidRDefault="000A282A" w:rsidP="003A25BC">
      <w:pPr>
        <w:pStyle w:val="Listenabsatz"/>
        <w:numPr>
          <w:ilvl w:val="0"/>
          <w:numId w:val="30"/>
        </w:numPr>
        <w:spacing w:after="120"/>
        <w:contextualSpacing w:val="0"/>
        <w:jc w:val="both"/>
        <w:rPr>
          <w:sz w:val="24"/>
          <w:szCs w:val="24"/>
        </w:rPr>
      </w:pPr>
      <w:r w:rsidRPr="000A282A">
        <w:rPr>
          <w:sz w:val="24"/>
          <w:szCs w:val="24"/>
        </w:rPr>
        <w:t>Kontoinformationsdienste</w:t>
      </w:r>
      <w:r>
        <w:rPr>
          <w:rStyle w:val="Funotenzeichen"/>
          <w:sz w:val="24"/>
          <w:szCs w:val="24"/>
        </w:rPr>
        <w:footnoteReference w:id="17"/>
      </w:r>
    </w:p>
    <w:p w14:paraId="2E5823E3" w14:textId="77777777" w:rsidR="00AA1B7A" w:rsidRPr="000A282A" w:rsidRDefault="00AA1B7A" w:rsidP="00AA1B7A">
      <w:pPr>
        <w:pStyle w:val="Listenabsatz"/>
        <w:spacing w:after="120"/>
        <w:contextualSpacing w:val="0"/>
        <w:jc w:val="both"/>
        <w:rPr>
          <w:sz w:val="24"/>
          <w:szCs w:val="24"/>
        </w:rPr>
      </w:pPr>
    </w:p>
    <w:p w14:paraId="67E72B56" w14:textId="77777777" w:rsidR="00760E1E" w:rsidRDefault="00760E1E" w:rsidP="003A25BC">
      <w:pPr>
        <w:spacing w:after="120"/>
        <w:jc w:val="both"/>
      </w:pPr>
      <w:r w:rsidRPr="00760E1E">
        <w:rPr>
          <w:sz w:val="24"/>
          <w:szCs w:val="24"/>
        </w:rPr>
        <w:t>Die Zahlungsauslöse- und Kontoinformationsdienste wurden im Jahr 2018 neu in das Gesetz aufgenommen.</w:t>
      </w:r>
      <w:r w:rsidRPr="00760E1E">
        <w:t xml:space="preserve"> </w:t>
      </w:r>
      <w:r w:rsidRPr="00AA1B7A">
        <w:rPr>
          <w:rStyle w:val="Funotenzeichen"/>
          <w:sz w:val="24"/>
          <w:szCs w:val="24"/>
        </w:rPr>
        <w:footnoteReference w:id="18"/>
      </w:r>
    </w:p>
    <w:p w14:paraId="1C666465" w14:textId="77777777" w:rsidR="00760E1E" w:rsidRDefault="00760E1E" w:rsidP="003A25BC">
      <w:pPr>
        <w:spacing w:after="120"/>
        <w:jc w:val="both"/>
      </w:pPr>
    </w:p>
    <w:p w14:paraId="79DB2226" w14:textId="20328C96" w:rsidR="00E83B32" w:rsidRDefault="00E83B32" w:rsidP="003A25BC">
      <w:pPr>
        <w:spacing w:after="120"/>
        <w:jc w:val="both"/>
        <w:rPr>
          <w:sz w:val="24"/>
          <w:szCs w:val="24"/>
        </w:rPr>
      </w:pPr>
      <w:r w:rsidRPr="00BC5891">
        <w:rPr>
          <w:sz w:val="24"/>
          <w:szCs w:val="24"/>
        </w:rPr>
        <w:t xml:space="preserve">Gemäß dem </w:t>
      </w:r>
      <w:proofErr w:type="spellStart"/>
      <w:r w:rsidRPr="00BC5891">
        <w:rPr>
          <w:sz w:val="24"/>
          <w:szCs w:val="24"/>
        </w:rPr>
        <w:t>Zahlungsdienst</w:t>
      </w:r>
      <w:r w:rsidR="00D92E2F">
        <w:rPr>
          <w:sz w:val="24"/>
          <w:szCs w:val="24"/>
        </w:rPr>
        <w:t>e</w:t>
      </w:r>
      <w:r w:rsidRPr="00BC5891">
        <w:rPr>
          <w:sz w:val="24"/>
          <w:szCs w:val="24"/>
        </w:rPr>
        <w:t>gesetz</w:t>
      </w:r>
      <w:proofErr w:type="spellEnd"/>
      <w:r w:rsidRPr="00BC5891">
        <w:rPr>
          <w:sz w:val="24"/>
          <w:szCs w:val="24"/>
        </w:rPr>
        <w:t xml:space="preserve"> sind die Vorschriften gleichermaßen für Unternehmen und Privatpersonen einzusetzen. Es existieren jedoch ein paar Richtlinien, die sich speziell an Verbraucher richten und diese keineswegs einschränken dürfen. Diese Regelungen finden sich </w:t>
      </w:r>
      <w:r>
        <w:rPr>
          <w:sz w:val="24"/>
          <w:szCs w:val="24"/>
        </w:rPr>
        <w:t xml:space="preserve">im </w:t>
      </w:r>
      <w:proofErr w:type="gramStart"/>
      <w:r>
        <w:rPr>
          <w:sz w:val="24"/>
          <w:szCs w:val="24"/>
        </w:rPr>
        <w:t>Paragraph</w:t>
      </w:r>
      <w:proofErr w:type="gramEnd"/>
      <w:r w:rsidRPr="00BC5891">
        <w:rPr>
          <w:sz w:val="24"/>
          <w:szCs w:val="24"/>
        </w:rPr>
        <w:t xml:space="preserve"> 55 und beinhalten Sorgfaltspflichten, Informationspflichten, Autorisierung, Ausführung von Zahlungsvorgängen und Haftungsbestimmungen. Darüber hinaus sind Verbraucher natürliche Personen, die kein Unternehmen betreiben. Alle anderen Parteien, die keine natürlichen Personen sind, fallen unter den Begriff Unternehmer, wobei auch juristische Personen dazu gezählt werden.</w:t>
      </w:r>
      <w:r>
        <w:rPr>
          <w:rStyle w:val="Funotenzeichen"/>
          <w:sz w:val="24"/>
          <w:szCs w:val="24"/>
        </w:rPr>
        <w:footnoteReference w:id="19"/>
      </w:r>
    </w:p>
    <w:p w14:paraId="0B9DDAAD" w14:textId="397FDFBF" w:rsidR="00E83B32" w:rsidRDefault="00E83B32" w:rsidP="003A25BC">
      <w:pPr>
        <w:spacing w:after="120"/>
        <w:jc w:val="both"/>
        <w:rPr>
          <w:sz w:val="24"/>
          <w:szCs w:val="24"/>
        </w:rPr>
      </w:pPr>
    </w:p>
    <w:p w14:paraId="15ABDF4F" w14:textId="74A35B32" w:rsidR="00E83B32" w:rsidRDefault="00E83B32" w:rsidP="003A25BC">
      <w:pPr>
        <w:spacing w:after="120"/>
        <w:jc w:val="both"/>
        <w:rPr>
          <w:sz w:val="24"/>
          <w:szCs w:val="24"/>
        </w:rPr>
      </w:pPr>
      <w:r w:rsidRPr="00D459E1">
        <w:rPr>
          <w:sz w:val="24"/>
          <w:szCs w:val="24"/>
        </w:rPr>
        <w:t>Die vertragsbezogenen Informationen müssen dem Kunden jederzeit zugänglich sein, ohne dass vom Nutzer ein Entgelt zu entrichten ist.</w:t>
      </w:r>
      <w:r>
        <w:rPr>
          <w:sz w:val="24"/>
          <w:szCs w:val="24"/>
        </w:rPr>
        <w:t xml:space="preserve"> </w:t>
      </w:r>
      <w:r w:rsidRPr="00D459E1">
        <w:rPr>
          <w:sz w:val="24"/>
          <w:szCs w:val="24"/>
        </w:rPr>
        <w:t xml:space="preserve">Jedoch hat der </w:t>
      </w:r>
      <w:r>
        <w:rPr>
          <w:sz w:val="24"/>
          <w:szCs w:val="24"/>
        </w:rPr>
        <w:t>Dienstleister</w:t>
      </w:r>
      <w:r w:rsidRPr="00D459E1">
        <w:rPr>
          <w:sz w:val="24"/>
          <w:szCs w:val="24"/>
        </w:rPr>
        <w:t xml:space="preserve"> gemäß </w:t>
      </w:r>
      <w:proofErr w:type="gramStart"/>
      <w:r w:rsidRPr="00D459E1">
        <w:rPr>
          <w:sz w:val="24"/>
          <w:szCs w:val="24"/>
        </w:rPr>
        <w:t>Paragraph</w:t>
      </w:r>
      <w:proofErr w:type="gramEnd"/>
      <w:r w:rsidRPr="00D459E1">
        <w:rPr>
          <w:sz w:val="24"/>
          <w:szCs w:val="24"/>
        </w:rPr>
        <w:t xml:space="preserve"> 56 das Recht, vom Nutzer nur dann Gebühren zu verlangen, wenn diese zwischen dem Dienst</w:t>
      </w:r>
      <w:r>
        <w:rPr>
          <w:sz w:val="24"/>
          <w:szCs w:val="24"/>
        </w:rPr>
        <w:t>leister</w:t>
      </w:r>
      <w:r w:rsidRPr="00D459E1">
        <w:rPr>
          <w:sz w:val="24"/>
          <w:szCs w:val="24"/>
        </w:rPr>
        <w:t xml:space="preserve"> und dem Nutzer rechtskräftig zustande gekommen sind. Gebühren dürfen nur in den Fällen verlangt werden, wenn</w:t>
      </w:r>
    </w:p>
    <w:p w14:paraId="7DA28E4C" w14:textId="77777777" w:rsidR="00E83B32" w:rsidRDefault="00E83B32" w:rsidP="003A25BC">
      <w:pPr>
        <w:pStyle w:val="Listenabsatz"/>
        <w:numPr>
          <w:ilvl w:val="0"/>
          <w:numId w:val="31"/>
        </w:numPr>
        <w:spacing w:after="120"/>
        <w:contextualSpacing w:val="0"/>
        <w:jc w:val="both"/>
        <w:rPr>
          <w:sz w:val="24"/>
          <w:szCs w:val="24"/>
        </w:rPr>
      </w:pPr>
      <w:r>
        <w:rPr>
          <w:sz w:val="24"/>
          <w:szCs w:val="24"/>
        </w:rPr>
        <w:t xml:space="preserve">über den abgelehnten Zahlungsauftrag informiert, </w:t>
      </w:r>
    </w:p>
    <w:p w14:paraId="6039E714" w14:textId="77777777" w:rsidR="00E83B32" w:rsidRDefault="00E83B32" w:rsidP="003A25BC">
      <w:pPr>
        <w:pStyle w:val="Listenabsatz"/>
        <w:numPr>
          <w:ilvl w:val="0"/>
          <w:numId w:val="31"/>
        </w:numPr>
        <w:spacing w:after="120"/>
        <w:contextualSpacing w:val="0"/>
        <w:jc w:val="both"/>
        <w:rPr>
          <w:sz w:val="24"/>
          <w:szCs w:val="24"/>
        </w:rPr>
      </w:pPr>
      <w:r>
        <w:rPr>
          <w:sz w:val="24"/>
          <w:szCs w:val="24"/>
        </w:rPr>
        <w:t xml:space="preserve">ein Geldbetrag </w:t>
      </w:r>
      <w:proofErr w:type="gramStart"/>
      <w:r>
        <w:rPr>
          <w:sz w:val="24"/>
          <w:szCs w:val="24"/>
        </w:rPr>
        <w:t>wiederbeschaffen</w:t>
      </w:r>
      <w:proofErr w:type="gramEnd"/>
      <w:r>
        <w:rPr>
          <w:sz w:val="24"/>
          <w:szCs w:val="24"/>
        </w:rPr>
        <w:t xml:space="preserve"> und </w:t>
      </w:r>
    </w:p>
    <w:p w14:paraId="2862D2A4" w14:textId="593A557E" w:rsidR="00E83B32" w:rsidRPr="002075A5" w:rsidRDefault="00E83B32" w:rsidP="003A25BC">
      <w:pPr>
        <w:pStyle w:val="Listenabsatz"/>
        <w:numPr>
          <w:ilvl w:val="0"/>
          <w:numId w:val="31"/>
        </w:numPr>
        <w:spacing w:after="120"/>
        <w:contextualSpacing w:val="0"/>
        <w:jc w:val="both"/>
        <w:rPr>
          <w:sz w:val="24"/>
          <w:szCs w:val="24"/>
        </w:rPr>
      </w:pPr>
      <w:r>
        <w:rPr>
          <w:sz w:val="24"/>
          <w:szCs w:val="24"/>
        </w:rPr>
        <w:lastRenderedPageBreak/>
        <w:t xml:space="preserve">ein Zahlungsauftrag aufgrund von Unwiderruflichkeit rückgängig gemacht wird. </w:t>
      </w:r>
      <w:r w:rsidR="003452CD">
        <w:rPr>
          <w:rStyle w:val="Funotenzeichen"/>
          <w:sz w:val="24"/>
          <w:szCs w:val="24"/>
        </w:rPr>
        <w:footnoteReference w:id="20"/>
      </w:r>
    </w:p>
    <w:p w14:paraId="79B76CA3" w14:textId="601FEE19" w:rsidR="00E83B32" w:rsidRDefault="00E83B32" w:rsidP="003A25BC">
      <w:pPr>
        <w:spacing w:after="120"/>
        <w:jc w:val="both"/>
        <w:rPr>
          <w:sz w:val="24"/>
          <w:szCs w:val="24"/>
        </w:rPr>
      </w:pPr>
    </w:p>
    <w:p w14:paraId="081B9C8B" w14:textId="4F8DDCEC" w:rsidR="003452CD" w:rsidRDefault="003452CD" w:rsidP="003A25BC">
      <w:pPr>
        <w:spacing w:after="120"/>
        <w:jc w:val="both"/>
        <w:rPr>
          <w:sz w:val="24"/>
          <w:szCs w:val="24"/>
        </w:rPr>
      </w:pPr>
      <w:r>
        <w:rPr>
          <w:sz w:val="24"/>
          <w:szCs w:val="24"/>
        </w:rPr>
        <w:t>Außerdem dürfen die Banken keine Gebühren verlangen, wenn die Kunden ihre Einkäufe mit einer Kredit- oder Bankomatkarte oder Bargeld tätigen.</w:t>
      </w:r>
      <w:r w:rsidR="005D45C7">
        <w:rPr>
          <w:rStyle w:val="Funotenzeichen"/>
          <w:sz w:val="24"/>
          <w:szCs w:val="24"/>
        </w:rPr>
        <w:footnoteReference w:id="21"/>
      </w:r>
      <w:r>
        <w:rPr>
          <w:sz w:val="24"/>
          <w:szCs w:val="24"/>
        </w:rPr>
        <w:t xml:space="preserve"> Bei der Bezahlung von Rechnungen sowohl in einer Bankfiliale per Zahlschein als auch im E-Banking dürfen ebenfalls keine Gebühren erhoben werden. </w:t>
      </w:r>
      <w:r>
        <w:rPr>
          <w:rStyle w:val="Funotenzeichen"/>
          <w:sz w:val="24"/>
          <w:szCs w:val="24"/>
        </w:rPr>
        <w:footnoteReference w:id="22"/>
      </w:r>
    </w:p>
    <w:p w14:paraId="43FE2699" w14:textId="40ADC2E4" w:rsidR="003452CD" w:rsidRDefault="003452CD" w:rsidP="003A25BC">
      <w:pPr>
        <w:spacing w:after="120"/>
        <w:jc w:val="both"/>
        <w:rPr>
          <w:sz w:val="24"/>
          <w:szCs w:val="24"/>
        </w:rPr>
      </w:pPr>
    </w:p>
    <w:p w14:paraId="651A8449" w14:textId="335E90B0" w:rsidR="003452CD" w:rsidRDefault="00FE5C66" w:rsidP="004B0023">
      <w:pPr>
        <w:spacing w:after="120"/>
        <w:jc w:val="both"/>
        <w:rPr>
          <w:sz w:val="24"/>
          <w:szCs w:val="24"/>
        </w:rPr>
      </w:pPr>
      <w:r>
        <w:rPr>
          <w:sz w:val="24"/>
          <w:szCs w:val="24"/>
        </w:rPr>
        <w:t xml:space="preserve">Das </w:t>
      </w:r>
      <w:proofErr w:type="gramStart"/>
      <w:r>
        <w:rPr>
          <w:sz w:val="24"/>
          <w:szCs w:val="24"/>
        </w:rPr>
        <w:t>Paragraph</w:t>
      </w:r>
      <w:proofErr w:type="gramEnd"/>
      <w:r>
        <w:rPr>
          <w:sz w:val="24"/>
          <w:szCs w:val="24"/>
        </w:rPr>
        <w:t xml:space="preserve"> 50 des </w:t>
      </w:r>
      <w:proofErr w:type="spellStart"/>
      <w:r w:rsidRPr="00C81889">
        <w:rPr>
          <w:sz w:val="24"/>
          <w:szCs w:val="24"/>
        </w:rPr>
        <w:t>ZaDiG</w:t>
      </w:r>
      <w:proofErr w:type="spellEnd"/>
      <w:r>
        <w:rPr>
          <w:sz w:val="24"/>
          <w:szCs w:val="24"/>
        </w:rPr>
        <w:t xml:space="preserve"> </w:t>
      </w:r>
      <w:r w:rsidRPr="00825C38">
        <w:rPr>
          <w:sz w:val="24"/>
          <w:szCs w:val="24"/>
        </w:rPr>
        <w:t>befasst sich mit den Änderungen der Vertragsbedingungen. Im Falle von Vertragsänderungen ist der Dienstleister verpflichtet, den Nutzer spätestens zwei Monate vor der Einführung der Änderung zu kontaktieren.</w:t>
      </w:r>
      <w:r>
        <w:rPr>
          <w:sz w:val="24"/>
          <w:szCs w:val="24"/>
        </w:rPr>
        <w:t xml:space="preserve"> </w:t>
      </w:r>
      <w:r w:rsidRPr="00825C38">
        <w:rPr>
          <w:sz w:val="24"/>
          <w:szCs w:val="24"/>
        </w:rPr>
        <w:t>Nachdem der Zahlungsdienstnutzer die Änderungen durchgesehen hat, hat er das Recht, vom Vertrag zurückzutreten, wenn er mit einzelnen Teilen der Änderung nicht einverstanden ist. Dieses Verfahren muss jedoch vor Abschluss der Vertragsänderung erfolgen. Die Zinssätze und Wechselkurse sind ebenfalls im gleichen Absatz beschrieben.</w:t>
      </w:r>
      <w:r>
        <w:rPr>
          <w:sz w:val="24"/>
          <w:szCs w:val="24"/>
        </w:rPr>
        <w:t xml:space="preserve"> </w:t>
      </w:r>
      <w:r w:rsidRPr="00825C38">
        <w:rPr>
          <w:sz w:val="24"/>
          <w:szCs w:val="24"/>
        </w:rPr>
        <w:t>Diese Regelung kann in Kraft treten, ohne dass die Nutzer vorher in Kenntnis gesetzt werden, jedoch nur, wenn die Änderung der Zinssätze und Wechselkurse im Vertrag angegeben ist und diese auf den Referenzzinssätzen oder Referenzwechselkursen basieren.</w:t>
      </w:r>
      <w:r>
        <w:rPr>
          <w:rStyle w:val="Funotenzeichen"/>
          <w:sz w:val="24"/>
          <w:szCs w:val="24"/>
        </w:rPr>
        <w:footnoteReference w:id="23"/>
      </w:r>
    </w:p>
    <w:p w14:paraId="42012C5C" w14:textId="77777777" w:rsidR="004B0023" w:rsidRDefault="004B0023" w:rsidP="003A25BC">
      <w:pPr>
        <w:spacing w:after="120"/>
        <w:jc w:val="both"/>
        <w:rPr>
          <w:sz w:val="24"/>
          <w:szCs w:val="24"/>
        </w:rPr>
      </w:pPr>
    </w:p>
    <w:p w14:paraId="34B3CB84" w14:textId="17345BCB" w:rsidR="00FE5C66" w:rsidRPr="008C6CE1" w:rsidRDefault="008C6CE1" w:rsidP="003A25BC">
      <w:pPr>
        <w:spacing w:after="120"/>
        <w:jc w:val="both"/>
        <w:rPr>
          <w:sz w:val="24"/>
          <w:szCs w:val="24"/>
        </w:rPr>
      </w:pPr>
      <w:r>
        <w:rPr>
          <w:sz w:val="24"/>
          <w:szCs w:val="24"/>
        </w:rPr>
        <w:t xml:space="preserve">Das </w:t>
      </w:r>
      <w:proofErr w:type="gramStart"/>
      <w:r>
        <w:rPr>
          <w:sz w:val="24"/>
          <w:szCs w:val="24"/>
        </w:rPr>
        <w:t>Paragraph</w:t>
      </w:r>
      <w:proofErr w:type="gramEnd"/>
      <w:r>
        <w:rPr>
          <w:sz w:val="24"/>
          <w:szCs w:val="24"/>
        </w:rPr>
        <w:t xml:space="preserve"> 51 bezieht sich auf die Auflösung eines Vertrags. Die Kunden </w:t>
      </w:r>
      <w:r w:rsidRPr="00294249">
        <w:rPr>
          <w:sz w:val="24"/>
          <w:szCs w:val="24"/>
        </w:rPr>
        <w:t>haben die Möglichkeit, zu einem beliebigen Zeitpunkt und unentgeltlich vom Vertrag zurückzutreten, wenn im Vertrag keine Kündigungsfrist angegeben ist. In der Regel beträgt die Kündigungsfrist einen Monat. Der Zahlungsdienstleister kann dem Nutzer Gebühren berechnen, wenn der Vertrag auf unbestimmte Zeit geschlossen wird. Gebühren sind anteilig zu tragen und müssen gegebenenfalls erstattet werden, wenn sie im Voraus in Rechnung gestellt wurden</w:t>
      </w:r>
      <w:r>
        <w:rPr>
          <w:sz w:val="24"/>
          <w:szCs w:val="24"/>
        </w:rPr>
        <w:t>.</w:t>
      </w:r>
      <w:r>
        <w:rPr>
          <w:rStyle w:val="Funotenzeichen"/>
          <w:sz w:val="24"/>
          <w:szCs w:val="24"/>
        </w:rPr>
        <w:footnoteReference w:id="24"/>
      </w:r>
    </w:p>
    <w:p w14:paraId="65543DE1" w14:textId="420F8A22" w:rsidR="00FB406F" w:rsidRDefault="00FB406F" w:rsidP="003A25BC">
      <w:pPr>
        <w:spacing w:after="120"/>
        <w:jc w:val="both"/>
        <w:rPr>
          <w:sz w:val="24"/>
          <w:szCs w:val="24"/>
        </w:rPr>
      </w:pPr>
      <w:r>
        <w:rPr>
          <w:sz w:val="24"/>
          <w:szCs w:val="24"/>
        </w:rPr>
        <w:lastRenderedPageBreak/>
        <w:t xml:space="preserve">Im </w:t>
      </w:r>
      <w:proofErr w:type="gramStart"/>
      <w:r>
        <w:rPr>
          <w:sz w:val="24"/>
          <w:szCs w:val="24"/>
        </w:rPr>
        <w:t>Paragraph</w:t>
      </w:r>
      <w:proofErr w:type="gramEnd"/>
      <w:r>
        <w:rPr>
          <w:sz w:val="24"/>
          <w:szCs w:val="24"/>
        </w:rPr>
        <w:t xml:space="preserve"> 65 geht es um die Anzeige und Korrektur der unautorisierten oder fehlerhaft ausgeführten Zahlungstransaktionen. Der Zahlungsdienstnutzer muss bei Eintritt eines solchen Ereignisses sofort informiert werden, dies wird auch als Rügeobliegenheit bezeichnet. </w:t>
      </w:r>
      <w:r w:rsidRPr="00D12A7A">
        <w:rPr>
          <w:sz w:val="24"/>
          <w:szCs w:val="24"/>
        </w:rPr>
        <w:t>Hat der Dienstleister die Informationen offengelegt, wird die Frist für den Nutzer, sich eine Korrektur beim Dienstleister zu holen, ausgesetzt.</w:t>
      </w:r>
      <w:r>
        <w:rPr>
          <w:rStyle w:val="Funotenzeichen"/>
          <w:sz w:val="24"/>
          <w:szCs w:val="24"/>
        </w:rPr>
        <w:footnoteReference w:id="25"/>
      </w:r>
    </w:p>
    <w:p w14:paraId="6933037B" w14:textId="77777777" w:rsidR="004B0023" w:rsidRDefault="004B0023" w:rsidP="003A25BC">
      <w:pPr>
        <w:spacing w:after="120"/>
        <w:jc w:val="both"/>
        <w:rPr>
          <w:sz w:val="24"/>
          <w:szCs w:val="24"/>
        </w:rPr>
      </w:pPr>
    </w:p>
    <w:p w14:paraId="6BD6DF24" w14:textId="2E6971B5" w:rsidR="00FB406F" w:rsidRDefault="00FB406F" w:rsidP="003A25BC">
      <w:pPr>
        <w:spacing w:after="120"/>
        <w:jc w:val="both"/>
        <w:rPr>
          <w:sz w:val="24"/>
          <w:szCs w:val="24"/>
        </w:rPr>
      </w:pPr>
      <w:r>
        <w:rPr>
          <w:sz w:val="24"/>
          <w:szCs w:val="24"/>
        </w:rPr>
        <w:t xml:space="preserve">Gemäß dem </w:t>
      </w:r>
      <w:proofErr w:type="gramStart"/>
      <w:r>
        <w:rPr>
          <w:sz w:val="24"/>
          <w:szCs w:val="24"/>
        </w:rPr>
        <w:t>Paragraph</w:t>
      </w:r>
      <w:proofErr w:type="gramEnd"/>
      <w:r>
        <w:rPr>
          <w:sz w:val="24"/>
          <w:szCs w:val="24"/>
        </w:rPr>
        <w:t xml:space="preserve"> 68 kann der Zahlungsdienstleister von dem Nutzer einen Wert in Höhe von 50€ geltend machen, wenn die von ihm bereitgestellte Kredit- oder Bankomatkarte in Verlust geraten ist oder diese gestohlen wurde. </w:t>
      </w:r>
      <w:r w:rsidRPr="004722F7">
        <w:rPr>
          <w:sz w:val="24"/>
          <w:szCs w:val="24"/>
        </w:rPr>
        <w:t>Dem Dienstleister wird der volle Betrag zurückgezahlt, wenn der Nutzer den Betrug vortäuscht oder dieser auf einer grob fahrlässigen Pflichtverletzung beruhte.</w:t>
      </w:r>
      <w:r>
        <w:rPr>
          <w:sz w:val="24"/>
          <w:szCs w:val="24"/>
        </w:rPr>
        <w:t xml:space="preserve"> </w:t>
      </w:r>
      <w:r w:rsidRPr="004722F7">
        <w:rPr>
          <w:sz w:val="24"/>
          <w:szCs w:val="24"/>
        </w:rPr>
        <w:t xml:space="preserve">Ist die Zahlung aus Sicht des Nutzers nicht autorisiert, hat der Diensteanbieter den Betrag unverzüglich, maximal jedoch bis zum Ende des </w:t>
      </w:r>
      <w:r>
        <w:rPr>
          <w:sz w:val="24"/>
          <w:szCs w:val="24"/>
        </w:rPr>
        <w:t>Folgetags</w:t>
      </w:r>
      <w:r w:rsidRPr="004722F7">
        <w:rPr>
          <w:sz w:val="24"/>
          <w:szCs w:val="24"/>
        </w:rPr>
        <w:t xml:space="preserve">, zu erstatten. </w:t>
      </w:r>
      <w:r>
        <w:rPr>
          <w:sz w:val="24"/>
          <w:szCs w:val="24"/>
        </w:rPr>
        <w:t>Das Nutzerkonto muss wieder in den früheren Status zurückgesetzt werden, den es ohne die unautorisierte Zahlung innehätte.</w:t>
      </w:r>
      <w:r>
        <w:rPr>
          <w:rStyle w:val="Funotenzeichen"/>
          <w:sz w:val="24"/>
          <w:szCs w:val="24"/>
        </w:rPr>
        <w:footnoteReference w:id="26"/>
      </w:r>
    </w:p>
    <w:p w14:paraId="32FB9CD5" w14:textId="63483CE0" w:rsidR="00D80824" w:rsidRPr="00760E1E" w:rsidRDefault="000210DB" w:rsidP="003A25BC">
      <w:pPr>
        <w:spacing w:after="120"/>
        <w:jc w:val="both"/>
      </w:pPr>
      <w:r>
        <w:br w:type="page"/>
      </w:r>
    </w:p>
    <w:p w14:paraId="27546F01" w14:textId="00020958" w:rsidR="00442633" w:rsidRPr="00442633" w:rsidRDefault="00BD3925" w:rsidP="00FB29B6">
      <w:pPr>
        <w:pStyle w:val="berschrift1"/>
      </w:pPr>
      <w:bookmarkStart w:id="51" w:name="_Toc68526641"/>
      <w:bookmarkStart w:id="52" w:name="_Toc68526663"/>
      <w:bookmarkStart w:id="53" w:name="_Toc68526780"/>
      <w:bookmarkStart w:id="54" w:name="_Toc68527584"/>
      <w:bookmarkStart w:id="55" w:name="_Toc73014949"/>
      <w:r w:rsidRPr="00333527">
        <w:lastRenderedPageBreak/>
        <w:t>Bankgebühren</w:t>
      </w:r>
      <w:r w:rsidR="000851C1" w:rsidRPr="00333527">
        <w:t xml:space="preserve"> im Zeitalter von Hochautomatisierung und Selbstbedienung</w:t>
      </w:r>
      <w:bookmarkEnd w:id="51"/>
      <w:bookmarkEnd w:id="52"/>
      <w:bookmarkEnd w:id="53"/>
      <w:bookmarkEnd w:id="54"/>
      <w:bookmarkEnd w:id="55"/>
    </w:p>
    <w:p w14:paraId="438816BA" w14:textId="20F49FCB" w:rsidR="0053053D" w:rsidRPr="000D1E68" w:rsidRDefault="000D1E68" w:rsidP="003A25BC">
      <w:pPr>
        <w:spacing w:after="120"/>
        <w:jc w:val="both"/>
        <w:rPr>
          <w:sz w:val="24"/>
          <w:szCs w:val="24"/>
        </w:rPr>
      </w:pPr>
      <w:r w:rsidRPr="000D1E68">
        <w:rPr>
          <w:sz w:val="24"/>
          <w:szCs w:val="24"/>
        </w:rPr>
        <w:t xml:space="preserve">Durch die zunehmende Automatisierung und Selbstbedienung im Bankwesen, wie zum Beispiel die Überweisung des offenen Betrages mithilfe der Applikation der jeweiligen Bank, kommt es immer wieder zu Veränderungen bei den Gebühren der Bankgeschäfte. </w:t>
      </w:r>
    </w:p>
    <w:p w14:paraId="63A854CC" w14:textId="77777777" w:rsidR="000D1E68" w:rsidRPr="000D1E68" w:rsidRDefault="000D1E68" w:rsidP="003A25BC">
      <w:pPr>
        <w:spacing w:after="120"/>
        <w:jc w:val="both"/>
        <w:rPr>
          <w:sz w:val="24"/>
          <w:szCs w:val="24"/>
        </w:rPr>
      </w:pPr>
      <w:r w:rsidRPr="000D1E68">
        <w:rPr>
          <w:sz w:val="24"/>
          <w:szCs w:val="24"/>
        </w:rPr>
        <w:t>Den meisten Menschen ist nicht bewusst, welche Gebühren anfallen und wie hoch diese sind. Der Grund dafür ist entweder, dass sich die Leute keine Gedanken über die Gebühren machen, die sie zahlen müssen, weil sie für sie z.B. nicht hoch sind, oder sie informieren sich nicht richtig im Internet oder in den Filialen.</w:t>
      </w:r>
    </w:p>
    <w:p w14:paraId="75C7A250" w14:textId="44C7FA87" w:rsidR="000D1E68" w:rsidRDefault="000D1E68" w:rsidP="003A25BC">
      <w:pPr>
        <w:spacing w:after="120"/>
        <w:jc w:val="both"/>
        <w:rPr>
          <w:sz w:val="24"/>
          <w:szCs w:val="24"/>
        </w:rPr>
      </w:pPr>
      <w:r w:rsidRPr="000D1E68">
        <w:rPr>
          <w:sz w:val="24"/>
          <w:szCs w:val="24"/>
        </w:rPr>
        <w:t>Um sich über die einzelnen Gebühren zu erkundigen, muss man in die jeweilige Filiale gehen und sich in einem persönlichen Gespräch über die Höhe der Gebühren aufklären lassen. Denn viele Banken stellen die Informationen bezüglich ihrer Gebühren nicht online, weder für die Neukunden noch für die Stammkunden. In den Allgemeinen Geschäftsbedingungen werden keine detaillierten Angaben zu den Gebühren aufgeführt, sondern die Kunden werden lediglich auf den jeweiligen Absatz verwiesen, wo eine oberflächliche und nicht preisdefinierte Beschreibung zu finden ist.</w:t>
      </w:r>
      <w:r>
        <w:rPr>
          <w:rStyle w:val="Funotenzeichen"/>
          <w:sz w:val="24"/>
          <w:szCs w:val="24"/>
        </w:rPr>
        <w:footnoteReference w:id="27"/>
      </w:r>
    </w:p>
    <w:p w14:paraId="0C19368F" w14:textId="7D5E7B26" w:rsidR="000D1E68" w:rsidRDefault="000D1E68" w:rsidP="003A25BC">
      <w:pPr>
        <w:spacing w:after="120"/>
        <w:jc w:val="both"/>
        <w:rPr>
          <w:rFonts w:cstheme="minorHAnsi"/>
          <w:sz w:val="24"/>
          <w:szCs w:val="24"/>
        </w:rPr>
      </w:pPr>
      <w:r w:rsidRPr="00D5677C">
        <w:rPr>
          <w:rFonts w:cstheme="minorHAnsi"/>
          <w:sz w:val="24"/>
          <w:szCs w:val="24"/>
        </w:rPr>
        <w:t xml:space="preserve">Daraus lässt sich interpretieren, dass die Banken versuchen, ihre Gebühren so geheim wie möglich zu halten. Die von der Bank zur Verfügung gestellte Liste sorgt nur für Verwirrung, weil sie ein unübersichtliches Dokument ist. Die in der Liste aufgeführten Gebühren haben keine Hauptbezeichnungen, sondern sind auch unter anderen Gebühren zu finden, was oft nicht einfach zu </w:t>
      </w:r>
      <w:r>
        <w:rPr>
          <w:rFonts w:cstheme="minorHAnsi"/>
          <w:sz w:val="24"/>
          <w:szCs w:val="24"/>
        </w:rPr>
        <w:t>finden, lesen und vergleichen</w:t>
      </w:r>
      <w:r w:rsidRPr="00D5677C">
        <w:rPr>
          <w:rFonts w:cstheme="minorHAnsi"/>
          <w:sz w:val="24"/>
          <w:szCs w:val="24"/>
        </w:rPr>
        <w:t xml:space="preserve"> ist.</w:t>
      </w:r>
      <w:r>
        <w:rPr>
          <w:rStyle w:val="Funotenzeichen"/>
          <w:rFonts w:cstheme="minorHAnsi"/>
          <w:sz w:val="24"/>
          <w:szCs w:val="24"/>
        </w:rPr>
        <w:footnoteReference w:id="28"/>
      </w:r>
      <w:r w:rsidR="006D38C4">
        <w:rPr>
          <w:rFonts w:cstheme="minorHAnsi"/>
          <w:sz w:val="24"/>
          <w:szCs w:val="24"/>
        </w:rPr>
        <w:t xml:space="preserve"> </w:t>
      </w:r>
    </w:p>
    <w:p w14:paraId="12FACCAF" w14:textId="1E41B681" w:rsidR="0053053D" w:rsidRPr="00571D4B" w:rsidRDefault="000D1E68" w:rsidP="003A25BC">
      <w:pPr>
        <w:spacing w:after="120"/>
        <w:jc w:val="both"/>
        <w:rPr>
          <w:rFonts w:cstheme="minorHAnsi"/>
          <w:sz w:val="24"/>
          <w:szCs w:val="24"/>
        </w:rPr>
      </w:pPr>
      <w:r w:rsidRPr="00D619D0">
        <w:rPr>
          <w:rFonts w:cstheme="minorHAnsi"/>
          <w:sz w:val="24"/>
          <w:szCs w:val="24"/>
        </w:rPr>
        <w:t>Auf den nächsten Seiten werden einige ausgewählte Bankgebühren betrachtet, um in erster Linie zu klären, welche Gebühren in welcher Höhe zu entrichten sind</w:t>
      </w:r>
      <w:r>
        <w:rPr>
          <w:rFonts w:cstheme="minorHAnsi"/>
          <w:sz w:val="24"/>
          <w:szCs w:val="24"/>
        </w:rPr>
        <w:t>, und ob sie wirklich erhoben werden dürfen.</w:t>
      </w:r>
      <w:r w:rsidR="00C419D2">
        <w:rPr>
          <w:rFonts w:cstheme="minorHAnsi"/>
          <w:sz w:val="24"/>
          <w:szCs w:val="24"/>
        </w:rPr>
        <w:t xml:space="preserve"> </w:t>
      </w:r>
      <w:r w:rsidR="00D50400" w:rsidRPr="00D50400">
        <w:rPr>
          <w:rFonts w:cstheme="minorHAnsi"/>
          <w:sz w:val="24"/>
          <w:szCs w:val="24"/>
        </w:rPr>
        <w:t>Zu diesem Zweck werden die Gebühren von jeweils fünf bekannten Banken verglichen.</w:t>
      </w:r>
    </w:p>
    <w:p w14:paraId="3932CDF6" w14:textId="0BC86D92" w:rsidR="004B0023" w:rsidRPr="004B0023" w:rsidRDefault="00003802" w:rsidP="004B0023">
      <w:pPr>
        <w:pStyle w:val="berschrift2"/>
        <w:spacing w:after="120"/>
        <w:jc w:val="both"/>
        <w:rPr>
          <w:sz w:val="32"/>
          <w:szCs w:val="28"/>
        </w:rPr>
      </w:pPr>
      <w:bookmarkStart w:id="56" w:name="_Toc73014950"/>
      <w:bookmarkStart w:id="57" w:name="_Hlk68527709"/>
      <w:r w:rsidRPr="00FB29B6">
        <w:rPr>
          <w:sz w:val="32"/>
          <w:szCs w:val="28"/>
        </w:rPr>
        <w:lastRenderedPageBreak/>
        <w:t>Kontoführungsgebühren</w:t>
      </w:r>
      <w:bookmarkEnd w:id="56"/>
      <w:r w:rsidRPr="00FB29B6">
        <w:rPr>
          <w:sz w:val="32"/>
          <w:szCs w:val="28"/>
        </w:rPr>
        <w:t xml:space="preserve"> </w:t>
      </w:r>
    </w:p>
    <w:p w14:paraId="361B3DC9" w14:textId="5CDC897B" w:rsidR="00641A43" w:rsidRPr="00FB29B6" w:rsidRDefault="00641A43" w:rsidP="003A25BC">
      <w:pPr>
        <w:pStyle w:val="berschrift3"/>
        <w:spacing w:after="120"/>
        <w:jc w:val="both"/>
        <w:rPr>
          <w:sz w:val="28"/>
          <w:szCs w:val="24"/>
        </w:rPr>
      </w:pPr>
      <w:bookmarkStart w:id="58" w:name="_Toc73014951"/>
      <w:r w:rsidRPr="00FB29B6">
        <w:rPr>
          <w:sz w:val="28"/>
          <w:szCs w:val="24"/>
        </w:rPr>
        <w:t>Überblick</w:t>
      </w:r>
      <w:bookmarkEnd w:id="58"/>
      <w:r w:rsidRPr="00FB29B6">
        <w:rPr>
          <w:sz w:val="28"/>
          <w:szCs w:val="24"/>
        </w:rPr>
        <w:t xml:space="preserve"> </w:t>
      </w:r>
    </w:p>
    <w:p w14:paraId="3821C4E2" w14:textId="21A18C9C" w:rsidR="00F476E0" w:rsidRPr="00A560C8" w:rsidRDefault="00F476E0" w:rsidP="003A25BC">
      <w:pPr>
        <w:spacing w:after="120"/>
        <w:jc w:val="both"/>
        <w:rPr>
          <w:sz w:val="24"/>
          <w:szCs w:val="24"/>
        </w:rPr>
      </w:pPr>
      <w:r w:rsidRPr="00A560C8">
        <w:rPr>
          <w:sz w:val="24"/>
          <w:szCs w:val="24"/>
        </w:rPr>
        <w:t>Die Kontoführungsgebühren werden fällig, wenn der Bankkunde mit der Bank einen Vertrag zur Eröffnung eines Girokontos abschließt. Im Rahmen eines Girokontos können verschiedene Aktivitäten wie Überweisungen, Daueraufträge oder Belegabschriften durchgeführt werden. Um jederzeit und von zu Hause aus auf das Konto zugreifen zu können, werden dem Bankkunden die Online-Daten des Kontos zur Verfügung gestellt. Für das Internet-Banking fallen in der Regel keine Gebühren an.</w:t>
      </w:r>
      <w:r w:rsidR="0091043E">
        <w:rPr>
          <w:rStyle w:val="Funotenzeichen"/>
          <w:sz w:val="24"/>
          <w:szCs w:val="24"/>
        </w:rPr>
        <w:footnoteReference w:id="29"/>
      </w:r>
    </w:p>
    <w:p w14:paraId="2F5DAD66" w14:textId="7ADD8D0B" w:rsidR="00F476E0" w:rsidRPr="00A560C8" w:rsidRDefault="00F476E0" w:rsidP="003A25BC">
      <w:pPr>
        <w:spacing w:after="120"/>
        <w:jc w:val="both"/>
        <w:rPr>
          <w:sz w:val="24"/>
          <w:szCs w:val="24"/>
        </w:rPr>
      </w:pPr>
      <w:r w:rsidRPr="00A560C8">
        <w:rPr>
          <w:sz w:val="24"/>
          <w:szCs w:val="24"/>
        </w:rPr>
        <w:t>Die Bank ist berechtigt eine individuelle Gebühr für ein Konto zu erheben. Einen bestimmten festen Preisrahmen, an den sich die Kreditinstitute halten müssen, gibt es nicht.</w:t>
      </w:r>
      <w:r w:rsidR="0091043E">
        <w:rPr>
          <w:rStyle w:val="Funotenzeichen"/>
          <w:sz w:val="24"/>
          <w:szCs w:val="24"/>
        </w:rPr>
        <w:footnoteReference w:id="30"/>
      </w:r>
      <w:r w:rsidRPr="00A560C8">
        <w:rPr>
          <w:sz w:val="24"/>
          <w:szCs w:val="24"/>
        </w:rPr>
        <w:t xml:space="preserve"> </w:t>
      </w:r>
    </w:p>
    <w:p w14:paraId="24E0E15D" w14:textId="4C2A28B4" w:rsidR="00F476E0" w:rsidRDefault="00F476E0" w:rsidP="003A25BC">
      <w:pPr>
        <w:spacing w:after="120"/>
        <w:jc w:val="both"/>
        <w:rPr>
          <w:sz w:val="24"/>
          <w:szCs w:val="24"/>
        </w:rPr>
      </w:pPr>
      <w:r w:rsidRPr="00A560C8">
        <w:rPr>
          <w:sz w:val="24"/>
          <w:szCs w:val="24"/>
        </w:rPr>
        <w:t>Die Kontoführungsgebühren werden jeden Monat vom Konto des Kunden abgebucht. Es gibt jedoch einige Banken, die ein kostenloses Konto für Studenten, Schüler, Zivildienstleistende und Lehrlinge anbieten. Wenn Studenten ihr Studium beenden, werden sie zur Zahlung der Kontoführungsgebühren verpflichtet</w:t>
      </w:r>
      <w:r>
        <w:rPr>
          <w:sz w:val="24"/>
          <w:szCs w:val="24"/>
        </w:rPr>
        <w:t>.</w:t>
      </w:r>
      <w:r>
        <w:rPr>
          <w:rStyle w:val="Funotenzeichen"/>
          <w:sz w:val="24"/>
          <w:szCs w:val="24"/>
        </w:rPr>
        <w:footnoteReference w:id="31"/>
      </w:r>
    </w:p>
    <w:p w14:paraId="564161A5" w14:textId="254BD07C" w:rsidR="001D6495" w:rsidRDefault="001D6495" w:rsidP="003A25BC">
      <w:pPr>
        <w:spacing w:after="120"/>
        <w:jc w:val="both"/>
        <w:rPr>
          <w:sz w:val="24"/>
          <w:szCs w:val="24"/>
        </w:rPr>
      </w:pPr>
    </w:p>
    <w:p w14:paraId="6F42D46E" w14:textId="77777777" w:rsidR="001D6495" w:rsidRDefault="001D6495" w:rsidP="003A25BC">
      <w:pPr>
        <w:spacing w:after="120"/>
        <w:jc w:val="both"/>
        <w:rPr>
          <w:sz w:val="24"/>
          <w:szCs w:val="24"/>
        </w:rPr>
      </w:pPr>
      <w:r w:rsidRPr="00A560C8">
        <w:rPr>
          <w:sz w:val="24"/>
          <w:szCs w:val="24"/>
        </w:rPr>
        <w:t xml:space="preserve">Zu den Kontoführungsgebühren gehören die folgenden </w:t>
      </w:r>
      <w:r>
        <w:rPr>
          <w:sz w:val="24"/>
          <w:szCs w:val="24"/>
        </w:rPr>
        <w:t>Kosten</w:t>
      </w:r>
      <w:r w:rsidRPr="00A560C8">
        <w:rPr>
          <w:sz w:val="24"/>
          <w:szCs w:val="24"/>
        </w:rPr>
        <w:t>:</w:t>
      </w:r>
    </w:p>
    <w:p w14:paraId="71DC60D7" w14:textId="77777777" w:rsidR="001D6495" w:rsidRPr="00A560C8" w:rsidRDefault="001D6495" w:rsidP="003A25BC">
      <w:pPr>
        <w:pStyle w:val="Listenabsatz"/>
        <w:numPr>
          <w:ilvl w:val="0"/>
          <w:numId w:val="33"/>
        </w:numPr>
        <w:spacing w:after="120"/>
        <w:contextualSpacing w:val="0"/>
        <w:jc w:val="both"/>
        <w:rPr>
          <w:sz w:val="24"/>
          <w:szCs w:val="24"/>
        </w:rPr>
      </w:pPr>
      <w:r w:rsidRPr="00A560C8">
        <w:rPr>
          <w:sz w:val="24"/>
          <w:szCs w:val="24"/>
        </w:rPr>
        <w:t xml:space="preserve">Transaktionskosten, </w:t>
      </w:r>
    </w:p>
    <w:p w14:paraId="2E7C1310" w14:textId="77777777" w:rsidR="001D6495" w:rsidRDefault="001D6495" w:rsidP="003A25BC">
      <w:pPr>
        <w:pStyle w:val="Listenabsatz"/>
        <w:numPr>
          <w:ilvl w:val="0"/>
          <w:numId w:val="32"/>
        </w:numPr>
        <w:spacing w:after="120"/>
        <w:contextualSpacing w:val="0"/>
        <w:jc w:val="both"/>
        <w:rPr>
          <w:sz w:val="24"/>
          <w:szCs w:val="24"/>
        </w:rPr>
      </w:pPr>
      <w:r w:rsidRPr="00D458EE">
        <w:rPr>
          <w:sz w:val="24"/>
          <w:szCs w:val="24"/>
        </w:rPr>
        <w:t xml:space="preserve">Bankomatkartegebühren, </w:t>
      </w:r>
    </w:p>
    <w:p w14:paraId="68F4297F" w14:textId="77777777" w:rsidR="001D6495" w:rsidRDefault="001D6495" w:rsidP="003A25BC">
      <w:pPr>
        <w:pStyle w:val="Listenabsatz"/>
        <w:numPr>
          <w:ilvl w:val="0"/>
          <w:numId w:val="32"/>
        </w:numPr>
        <w:spacing w:after="120"/>
        <w:contextualSpacing w:val="0"/>
        <w:jc w:val="both"/>
        <w:rPr>
          <w:sz w:val="24"/>
          <w:szCs w:val="24"/>
        </w:rPr>
      </w:pPr>
      <w:r w:rsidRPr="00D458EE">
        <w:rPr>
          <w:sz w:val="24"/>
          <w:szCs w:val="24"/>
        </w:rPr>
        <w:t xml:space="preserve">Überziehungszinsen und </w:t>
      </w:r>
    </w:p>
    <w:p w14:paraId="79E8E16C" w14:textId="23204100" w:rsidR="001D6495" w:rsidRDefault="001D6495" w:rsidP="003A25BC">
      <w:pPr>
        <w:pStyle w:val="Listenabsatz"/>
        <w:numPr>
          <w:ilvl w:val="0"/>
          <w:numId w:val="32"/>
        </w:numPr>
        <w:spacing w:after="120"/>
        <w:contextualSpacing w:val="0"/>
        <w:jc w:val="both"/>
        <w:rPr>
          <w:sz w:val="24"/>
          <w:szCs w:val="24"/>
        </w:rPr>
      </w:pPr>
      <w:r w:rsidRPr="00D458EE">
        <w:rPr>
          <w:sz w:val="24"/>
          <w:szCs w:val="24"/>
        </w:rPr>
        <w:t>Guthabenzinsen.</w:t>
      </w:r>
      <w:r w:rsidR="0091043E">
        <w:rPr>
          <w:rStyle w:val="Funotenzeichen"/>
          <w:sz w:val="24"/>
          <w:szCs w:val="24"/>
        </w:rPr>
        <w:footnoteReference w:id="32"/>
      </w:r>
    </w:p>
    <w:p w14:paraId="276A5101" w14:textId="77777777" w:rsidR="004B0023" w:rsidRDefault="004B0023" w:rsidP="004B0023">
      <w:pPr>
        <w:pStyle w:val="Listenabsatz"/>
        <w:spacing w:after="120"/>
        <w:ind w:left="770"/>
        <w:contextualSpacing w:val="0"/>
        <w:jc w:val="both"/>
        <w:rPr>
          <w:sz w:val="24"/>
          <w:szCs w:val="24"/>
        </w:rPr>
      </w:pPr>
    </w:p>
    <w:p w14:paraId="0614FCA8" w14:textId="77777777" w:rsidR="0091043E" w:rsidRDefault="001D6495" w:rsidP="003A25BC">
      <w:pPr>
        <w:spacing w:after="120"/>
        <w:jc w:val="both"/>
        <w:rPr>
          <w:sz w:val="24"/>
          <w:szCs w:val="24"/>
        </w:rPr>
      </w:pPr>
      <w:r>
        <w:rPr>
          <w:sz w:val="24"/>
          <w:szCs w:val="24"/>
        </w:rPr>
        <w:t xml:space="preserve">Man spricht von Transaktionskosten, wenn man zum Beispiel eine Überweisung tätigt. Diese Gebühren können entweder monatlich oder individuell pro getätigte </w:t>
      </w:r>
      <w:r>
        <w:rPr>
          <w:sz w:val="24"/>
          <w:szCs w:val="24"/>
        </w:rPr>
        <w:lastRenderedPageBreak/>
        <w:t xml:space="preserve">Überweisung anfallen. Die Höhe der Transaktionskosten können je nach Bank sehr unterschiedlich variieren. Wenn in den Allgemeinen Geschäftsbedingungen die Gebühren für Bankomat- oder Kreditkarte angesprochen werden, kann es vorkommen, dass Banken in verschiedenen Situationen, wie zum Beispiel bei der Nachbestellung einer Karte, zusätzliche Gebühren verlangen können. </w:t>
      </w:r>
      <w:r w:rsidRPr="00811025">
        <w:rPr>
          <w:sz w:val="24"/>
          <w:szCs w:val="24"/>
        </w:rPr>
        <w:t>Wird der Kredit oder das Konto überzogen, kann die Bank eine zusätzliche Gebühr, die sogenannten Überziehungszinsen, von den Bankkunden fordern.</w:t>
      </w:r>
      <w:r>
        <w:rPr>
          <w:rStyle w:val="Funotenzeichen"/>
          <w:sz w:val="24"/>
          <w:szCs w:val="24"/>
        </w:rPr>
        <w:footnoteReference w:id="33"/>
      </w:r>
      <w:r w:rsidR="0028506E">
        <w:rPr>
          <w:sz w:val="24"/>
          <w:szCs w:val="24"/>
        </w:rPr>
        <w:t xml:space="preserve"> </w:t>
      </w:r>
    </w:p>
    <w:p w14:paraId="6889DAD8" w14:textId="05C8DEB8" w:rsidR="001D6495" w:rsidRDefault="0028506E" w:rsidP="003A25BC">
      <w:pPr>
        <w:spacing w:after="120"/>
        <w:jc w:val="both"/>
        <w:rPr>
          <w:sz w:val="24"/>
          <w:szCs w:val="24"/>
        </w:rPr>
      </w:pPr>
      <w:r w:rsidRPr="0028506E">
        <w:rPr>
          <w:sz w:val="24"/>
          <w:szCs w:val="24"/>
        </w:rPr>
        <w:t>Darüber hinaus fallen im Rahmen der Kontoführungsgebühren auch Guthabenzinsen an. Wenn Bankkunden Geld auf ihrem Konto deponieren, erhalten sie von der Bank einen bestimmten Prozentsatz gutgeschrieben. Wenn Banken einen hohen Zinssatz für Guthaben anbieten, ist es für sie einfacher, Kunden dazu zu bewegen, mehr Geld auf ihren Konten zu lagern.</w:t>
      </w:r>
      <w:r>
        <w:rPr>
          <w:rStyle w:val="Funotenzeichen"/>
          <w:sz w:val="24"/>
          <w:szCs w:val="24"/>
        </w:rPr>
        <w:footnoteReference w:id="34"/>
      </w:r>
    </w:p>
    <w:p w14:paraId="6F98F48C" w14:textId="6197CC9C" w:rsidR="0028506E" w:rsidRDefault="0028506E" w:rsidP="003A25BC">
      <w:pPr>
        <w:spacing w:after="120"/>
        <w:jc w:val="both"/>
        <w:rPr>
          <w:sz w:val="24"/>
          <w:szCs w:val="24"/>
        </w:rPr>
      </w:pPr>
      <w:r>
        <w:rPr>
          <w:sz w:val="24"/>
          <w:szCs w:val="24"/>
        </w:rPr>
        <w:t xml:space="preserve">Auf die unterschiedlichen Transaktionskosten und Bankomatkartenkosten werden im nächsten Abschnitt näher eingegangen. </w:t>
      </w:r>
    </w:p>
    <w:p w14:paraId="13930CED" w14:textId="77777777" w:rsidR="008C3113" w:rsidRPr="008C3113" w:rsidRDefault="008C3113" w:rsidP="003A25BC">
      <w:pPr>
        <w:spacing w:after="120"/>
        <w:jc w:val="both"/>
      </w:pPr>
    </w:p>
    <w:p w14:paraId="74CEA19F" w14:textId="7DF74ED8" w:rsidR="006B0C57" w:rsidRPr="00FB29B6" w:rsidRDefault="00641A43" w:rsidP="003A25BC">
      <w:pPr>
        <w:pStyle w:val="berschrift3"/>
        <w:spacing w:after="120"/>
        <w:jc w:val="both"/>
        <w:rPr>
          <w:sz w:val="28"/>
          <w:szCs w:val="24"/>
        </w:rPr>
      </w:pPr>
      <w:bookmarkStart w:id="59" w:name="_Toc73014952"/>
      <w:r w:rsidRPr="00FB29B6">
        <w:rPr>
          <w:sz w:val="28"/>
          <w:szCs w:val="24"/>
        </w:rPr>
        <w:t>Die geschätzten Kosten</w:t>
      </w:r>
      <w:bookmarkEnd w:id="59"/>
    </w:p>
    <w:p w14:paraId="65E1CA70" w14:textId="6FE9BDA4" w:rsidR="001359A9" w:rsidRDefault="001359A9" w:rsidP="003A25BC">
      <w:pPr>
        <w:spacing w:after="120"/>
        <w:jc w:val="both"/>
        <w:rPr>
          <w:sz w:val="24"/>
          <w:szCs w:val="24"/>
        </w:rPr>
      </w:pPr>
      <w:r>
        <w:rPr>
          <w:sz w:val="24"/>
          <w:szCs w:val="24"/>
        </w:rPr>
        <w:t>Die Kontoführungsentgelte für die folgende Banken lauten:</w:t>
      </w:r>
    </w:p>
    <w:tbl>
      <w:tblPr>
        <w:tblStyle w:val="Tabellenraster"/>
        <w:tblW w:w="0" w:type="auto"/>
        <w:tblLook w:val="04A0" w:firstRow="1" w:lastRow="0" w:firstColumn="1" w:lastColumn="0" w:noHBand="0" w:noVBand="1"/>
      </w:tblPr>
      <w:tblGrid>
        <w:gridCol w:w="4247"/>
        <w:gridCol w:w="4247"/>
      </w:tblGrid>
      <w:tr w:rsidR="001359A9" w14:paraId="284444AD" w14:textId="77777777" w:rsidTr="00943F4B">
        <w:tc>
          <w:tcPr>
            <w:tcW w:w="4247" w:type="dxa"/>
            <w:shd w:val="clear" w:color="auto" w:fill="B8CCE4" w:themeFill="accent1" w:themeFillTint="66"/>
            <w:vAlign w:val="center"/>
          </w:tcPr>
          <w:p w14:paraId="22200EF2" w14:textId="77777777" w:rsidR="001359A9" w:rsidRPr="00FB3B3D" w:rsidRDefault="001359A9" w:rsidP="00943F4B">
            <w:pPr>
              <w:spacing w:after="120"/>
              <w:jc w:val="center"/>
              <w:rPr>
                <w:b/>
                <w:bCs/>
                <w:sz w:val="24"/>
                <w:szCs w:val="24"/>
              </w:rPr>
            </w:pPr>
            <w:r w:rsidRPr="00FB3B3D">
              <w:rPr>
                <w:b/>
                <w:bCs/>
                <w:sz w:val="24"/>
                <w:szCs w:val="24"/>
              </w:rPr>
              <w:t>Name der Bank</w:t>
            </w:r>
          </w:p>
        </w:tc>
        <w:tc>
          <w:tcPr>
            <w:tcW w:w="4247" w:type="dxa"/>
            <w:shd w:val="clear" w:color="auto" w:fill="B8CCE4" w:themeFill="accent1" w:themeFillTint="66"/>
            <w:vAlign w:val="center"/>
          </w:tcPr>
          <w:p w14:paraId="42EA0EBD" w14:textId="77777777" w:rsidR="001359A9" w:rsidRPr="00FB3B3D" w:rsidRDefault="001359A9" w:rsidP="00943F4B">
            <w:pPr>
              <w:spacing w:after="120"/>
              <w:jc w:val="center"/>
              <w:rPr>
                <w:b/>
                <w:bCs/>
                <w:sz w:val="24"/>
                <w:szCs w:val="24"/>
              </w:rPr>
            </w:pPr>
            <w:r w:rsidRPr="00FB3B3D">
              <w:rPr>
                <w:b/>
                <w:bCs/>
                <w:sz w:val="24"/>
                <w:szCs w:val="24"/>
              </w:rPr>
              <w:t xml:space="preserve">Höhe der </w:t>
            </w:r>
            <w:r>
              <w:rPr>
                <w:b/>
                <w:bCs/>
                <w:sz w:val="24"/>
                <w:szCs w:val="24"/>
              </w:rPr>
              <w:t>Kontoführungsg</w:t>
            </w:r>
            <w:r w:rsidRPr="00FB3B3D">
              <w:rPr>
                <w:b/>
                <w:bCs/>
                <w:sz w:val="24"/>
                <w:szCs w:val="24"/>
              </w:rPr>
              <w:t>ebühren</w:t>
            </w:r>
          </w:p>
        </w:tc>
      </w:tr>
      <w:tr w:rsidR="001359A9" w14:paraId="229B9DFC" w14:textId="77777777" w:rsidTr="00943F4B">
        <w:tc>
          <w:tcPr>
            <w:tcW w:w="4247" w:type="dxa"/>
            <w:vAlign w:val="center"/>
          </w:tcPr>
          <w:p w14:paraId="5E0B566B" w14:textId="1C3500F9" w:rsidR="001359A9" w:rsidRDefault="004C2CD9" w:rsidP="00943F4B">
            <w:pPr>
              <w:spacing w:after="120"/>
              <w:jc w:val="center"/>
              <w:rPr>
                <w:sz w:val="24"/>
                <w:szCs w:val="24"/>
              </w:rPr>
            </w:pPr>
            <w:r>
              <w:rPr>
                <w:sz w:val="24"/>
                <w:szCs w:val="24"/>
              </w:rPr>
              <w:t>UniCredit</w:t>
            </w:r>
            <w:r w:rsidR="00007D0D">
              <w:rPr>
                <w:sz w:val="24"/>
                <w:szCs w:val="24"/>
              </w:rPr>
              <w:t xml:space="preserve"> Bank Austria</w:t>
            </w:r>
          </w:p>
        </w:tc>
        <w:tc>
          <w:tcPr>
            <w:tcW w:w="4247" w:type="dxa"/>
            <w:vAlign w:val="center"/>
          </w:tcPr>
          <w:p w14:paraId="73FF4233" w14:textId="751D245A" w:rsidR="001359A9" w:rsidRDefault="00943F4B" w:rsidP="00943F4B">
            <w:pPr>
              <w:spacing w:after="120"/>
              <w:jc w:val="center"/>
              <w:rPr>
                <w:sz w:val="24"/>
                <w:szCs w:val="24"/>
              </w:rPr>
            </w:pPr>
            <w:r>
              <w:rPr>
                <w:sz w:val="24"/>
                <w:szCs w:val="24"/>
              </w:rPr>
              <w:t>0,03% von der größeren Umsatzseite, min. 18,75€</w:t>
            </w:r>
            <w:r w:rsidR="00F1583B">
              <w:rPr>
                <w:rStyle w:val="Funotenzeichen"/>
                <w:sz w:val="24"/>
                <w:szCs w:val="24"/>
              </w:rPr>
              <w:footnoteReference w:id="35"/>
            </w:r>
          </w:p>
        </w:tc>
      </w:tr>
      <w:tr w:rsidR="001359A9" w14:paraId="7CA5B51D" w14:textId="77777777" w:rsidTr="00943F4B">
        <w:tc>
          <w:tcPr>
            <w:tcW w:w="4247" w:type="dxa"/>
            <w:vAlign w:val="center"/>
          </w:tcPr>
          <w:p w14:paraId="47087EF9" w14:textId="77777777" w:rsidR="001359A9" w:rsidRDefault="001359A9" w:rsidP="00943F4B">
            <w:pPr>
              <w:spacing w:after="120"/>
              <w:jc w:val="center"/>
              <w:rPr>
                <w:sz w:val="24"/>
                <w:szCs w:val="24"/>
              </w:rPr>
            </w:pPr>
            <w:r>
              <w:rPr>
                <w:sz w:val="24"/>
                <w:szCs w:val="24"/>
              </w:rPr>
              <w:t>BAWAG PSK</w:t>
            </w:r>
          </w:p>
        </w:tc>
        <w:tc>
          <w:tcPr>
            <w:tcW w:w="4247" w:type="dxa"/>
            <w:vAlign w:val="center"/>
          </w:tcPr>
          <w:p w14:paraId="2BFBF9AA" w14:textId="3E6ABDA7" w:rsidR="001359A9" w:rsidRDefault="00943F4B" w:rsidP="00943F4B">
            <w:pPr>
              <w:spacing w:after="120"/>
              <w:jc w:val="center"/>
              <w:rPr>
                <w:sz w:val="24"/>
                <w:szCs w:val="24"/>
              </w:rPr>
            </w:pPr>
            <w:r>
              <w:rPr>
                <w:sz w:val="24"/>
                <w:szCs w:val="24"/>
              </w:rPr>
              <w:t>13,50€</w:t>
            </w:r>
            <w:r w:rsidR="00F1583B">
              <w:rPr>
                <w:rStyle w:val="Funotenzeichen"/>
                <w:sz w:val="24"/>
                <w:szCs w:val="24"/>
              </w:rPr>
              <w:footnoteReference w:id="36"/>
            </w:r>
          </w:p>
        </w:tc>
      </w:tr>
      <w:tr w:rsidR="001359A9" w14:paraId="72C0F9AF" w14:textId="77777777" w:rsidTr="00943F4B">
        <w:tc>
          <w:tcPr>
            <w:tcW w:w="4247" w:type="dxa"/>
            <w:vAlign w:val="center"/>
          </w:tcPr>
          <w:p w14:paraId="7C2208E0" w14:textId="77777777" w:rsidR="001359A9" w:rsidRDefault="001359A9" w:rsidP="00943F4B">
            <w:pPr>
              <w:spacing w:after="120"/>
              <w:jc w:val="center"/>
              <w:rPr>
                <w:sz w:val="24"/>
                <w:szCs w:val="24"/>
              </w:rPr>
            </w:pPr>
            <w:r>
              <w:rPr>
                <w:sz w:val="24"/>
                <w:szCs w:val="24"/>
              </w:rPr>
              <w:t>Erste Bank</w:t>
            </w:r>
          </w:p>
        </w:tc>
        <w:tc>
          <w:tcPr>
            <w:tcW w:w="4247" w:type="dxa"/>
            <w:vAlign w:val="center"/>
          </w:tcPr>
          <w:p w14:paraId="40BB7695" w14:textId="227CCC19" w:rsidR="001359A9" w:rsidRDefault="00943F4B" w:rsidP="00943F4B">
            <w:pPr>
              <w:spacing w:after="120"/>
              <w:jc w:val="center"/>
              <w:rPr>
                <w:sz w:val="24"/>
                <w:szCs w:val="24"/>
              </w:rPr>
            </w:pPr>
            <w:r>
              <w:rPr>
                <w:sz w:val="24"/>
                <w:szCs w:val="24"/>
              </w:rPr>
              <w:t>11,92€</w:t>
            </w:r>
            <w:r w:rsidR="00F1583B">
              <w:rPr>
                <w:rStyle w:val="Funotenzeichen"/>
                <w:sz w:val="24"/>
                <w:szCs w:val="24"/>
              </w:rPr>
              <w:footnoteReference w:id="37"/>
            </w:r>
          </w:p>
        </w:tc>
      </w:tr>
      <w:tr w:rsidR="001359A9" w14:paraId="3DFD85C9" w14:textId="77777777" w:rsidTr="00943F4B">
        <w:tc>
          <w:tcPr>
            <w:tcW w:w="4247" w:type="dxa"/>
            <w:vAlign w:val="center"/>
          </w:tcPr>
          <w:p w14:paraId="70379A52" w14:textId="5C9942AC" w:rsidR="001359A9" w:rsidRDefault="001359A9" w:rsidP="00943F4B">
            <w:pPr>
              <w:spacing w:after="120"/>
              <w:jc w:val="center"/>
              <w:rPr>
                <w:sz w:val="24"/>
                <w:szCs w:val="24"/>
              </w:rPr>
            </w:pPr>
            <w:r>
              <w:rPr>
                <w:sz w:val="24"/>
                <w:szCs w:val="24"/>
              </w:rPr>
              <w:t>Raiffeisen</w:t>
            </w:r>
            <w:r w:rsidR="000D2A61">
              <w:rPr>
                <w:sz w:val="24"/>
                <w:szCs w:val="24"/>
              </w:rPr>
              <w:t>bank</w:t>
            </w:r>
          </w:p>
        </w:tc>
        <w:tc>
          <w:tcPr>
            <w:tcW w:w="4247" w:type="dxa"/>
            <w:vAlign w:val="center"/>
          </w:tcPr>
          <w:p w14:paraId="20281D6C" w14:textId="56B7DCE9" w:rsidR="001359A9" w:rsidRDefault="00943F4B" w:rsidP="00943F4B">
            <w:pPr>
              <w:spacing w:after="120"/>
              <w:jc w:val="center"/>
              <w:rPr>
                <w:sz w:val="24"/>
                <w:szCs w:val="24"/>
              </w:rPr>
            </w:pPr>
            <w:r>
              <w:rPr>
                <w:sz w:val="24"/>
                <w:szCs w:val="24"/>
              </w:rPr>
              <w:t>14,70€</w:t>
            </w:r>
            <w:r w:rsidR="00F1583B">
              <w:rPr>
                <w:rStyle w:val="Funotenzeichen"/>
                <w:sz w:val="24"/>
                <w:szCs w:val="24"/>
              </w:rPr>
              <w:footnoteReference w:id="38"/>
            </w:r>
          </w:p>
        </w:tc>
      </w:tr>
      <w:tr w:rsidR="001359A9" w14:paraId="53058CB7" w14:textId="77777777" w:rsidTr="00943F4B">
        <w:tc>
          <w:tcPr>
            <w:tcW w:w="4247" w:type="dxa"/>
            <w:vAlign w:val="center"/>
          </w:tcPr>
          <w:p w14:paraId="420249C9" w14:textId="77777777" w:rsidR="001359A9" w:rsidRDefault="001359A9" w:rsidP="00943F4B">
            <w:pPr>
              <w:spacing w:after="120"/>
              <w:jc w:val="center"/>
              <w:rPr>
                <w:sz w:val="24"/>
                <w:szCs w:val="24"/>
              </w:rPr>
            </w:pPr>
            <w:r>
              <w:rPr>
                <w:sz w:val="24"/>
                <w:szCs w:val="24"/>
              </w:rPr>
              <w:t>Easy Bank</w:t>
            </w:r>
          </w:p>
        </w:tc>
        <w:tc>
          <w:tcPr>
            <w:tcW w:w="4247" w:type="dxa"/>
            <w:vAlign w:val="center"/>
          </w:tcPr>
          <w:p w14:paraId="6CD56EB8" w14:textId="4DE58788" w:rsidR="001359A9" w:rsidRDefault="00943F4B" w:rsidP="00E9386E">
            <w:pPr>
              <w:keepNext/>
              <w:spacing w:after="120"/>
              <w:jc w:val="center"/>
              <w:rPr>
                <w:sz w:val="24"/>
                <w:szCs w:val="24"/>
              </w:rPr>
            </w:pPr>
            <w:r>
              <w:rPr>
                <w:sz w:val="24"/>
                <w:szCs w:val="24"/>
              </w:rPr>
              <w:t>18,00€</w:t>
            </w:r>
            <w:r w:rsidR="00F1583B">
              <w:rPr>
                <w:rStyle w:val="Funotenzeichen"/>
                <w:sz w:val="24"/>
                <w:szCs w:val="24"/>
              </w:rPr>
              <w:footnoteReference w:id="39"/>
            </w:r>
          </w:p>
        </w:tc>
      </w:tr>
    </w:tbl>
    <w:p w14:paraId="7E858BEA" w14:textId="2151ED77" w:rsidR="001359A9" w:rsidRDefault="00E9386E" w:rsidP="00E9386E">
      <w:pPr>
        <w:pStyle w:val="Beschriftung"/>
        <w:rPr>
          <w:sz w:val="24"/>
          <w:szCs w:val="24"/>
        </w:rPr>
      </w:pPr>
      <w:bookmarkStart w:id="60" w:name="_Toc72442155"/>
      <w:r>
        <w:t xml:space="preserve">Tabelle </w:t>
      </w:r>
      <w:r w:rsidR="00623D3F">
        <w:fldChar w:fldCharType="begin"/>
      </w:r>
      <w:r w:rsidR="00623D3F">
        <w:instrText xml:space="preserve"> SEQ Tabelle \* ARABIC </w:instrText>
      </w:r>
      <w:r w:rsidR="00623D3F">
        <w:fldChar w:fldCharType="separate"/>
      </w:r>
      <w:r w:rsidR="00670350">
        <w:rPr>
          <w:noProof/>
        </w:rPr>
        <w:t>1</w:t>
      </w:r>
      <w:r w:rsidR="00623D3F">
        <w:rPr>
          <w:noProof/>
        </w:rPr>
        <w:fldChar w:fldCharType="end"/>
      </w:r>
      <w:r>
        <w:t>: Kontoführungsgebühren</w:t>
      </w:r>
      <w:bookmarkEnd w:id="60"/>
    </w:p>
    <w:p w14:paraId="32C947F0" w14:textId="50343942" w:rsidR="001359A9" w:rsidRPr="000142DF" w:rsidRDefault="001359A9" w:rsidP="003A25BC">
      <w:pPr>
        <w:spacing w:after="120"/>
        <w:jc w:val="both"/>
        <w:rPr>
          <w:sz w:val="24"/>
          <w:szCs w:val="24"/>
        </w:rPr>
      </w:pPr>
      <w:r w:rsidRPr="000142DF">
        <w:rPr>
          <w:sz w:val="24"/>
          <w:szCs w:val="24"/>
        </w:rPr>
        <w:lastRenderedPageBreak/>
        <w:t xml:space="preserve">Jeder Kunde muss für sich selbst entscheiden, wie viel er bereit ist, für die Gebühren zu zahlen. Bevor er die Entscheidung trifft, sollte der Kunde die Gebühren verschiedener Banken vergleichen und analysieren. Denn nur so kann er mit bestem Gewissen ein Konto eröffnen. </w:t>
      </w:r>
    </w:p>
    <w:p w14:paraId="1398BEF0" w14:textId="775BF56A" w:rsidR="001359A9" w:rsidRDefault="001359A9" w:rsidP="003A25BC">
      <w:pPr>
        <w:spacing w:after="120"/>
        <w:jc w:val="both"/>
        <w:rPr>
          <w:sz w:val="24"/>
          <w:szCs w:val="24"/>
        </w:rPr>
      </w:pPr>
      <w:r w:rsidRPr="000142DF">
        <w:rPr>
          <w:sz w:val="24"/>
          <w:szCs w:val="24"/>
        </w:rPr>
        <w:t>Die Kunden, die bereits ein Konto haben, sollten die Höhe der Gebühren im Laufe des Jahres immer wieder überprüfen, da es schon einige Male vorgekommen ist, dass den Kunden andere und teurere Gebühren als üblich berechnet wurden.</w:t>
      </w:r>
      <w:r w:rsidR="00613856">
        <w:rPr>
          <w:rStyle w:val="Funotenzeichen"/>
          <w:sz w:val="24"/>
          <w:szCs w:val="24"/>
        </w:rPr>
        <w:footnoteReference w:id="40"/>
      </w:r>
    </w:p>
    <w:p w14:paraId="2D5FEDAD" w14:textId="77777777" w:rsidR="003A25BC" w:rsidRPr="001359A9" w:rsidRDefault="003A25BC" w:rsidP="003A25BC">
      <w:pPr>
        <w:spacing w:after="120"/>
        <w:jc w:val="both"/>
      </w:pPr>
    </w:p>
    <w:p w14:paraId="1489DB23" w14:textId="450903A0" w:rsidR="004B0023" w:rsidRPr="004B0023" w:rsidRDefault="00003802" w:rsidP="004B0023">
      <w:pPr>
        <w:pStyle w:val="berschrift2"/>
        <w:spacing w:after="120"/>
        <w:jc w:val="both"/>
        <w:rPr>
          <w:sz w:val="32"/>
          <w:szCs w:val="28"/>
        </w:rPr>
      </w:pPr>
      <w:bookmarkStart w:id="61" w:name="_Toc73014953"/>
      <w:r w:rsidRPr="00FB29B6">
        <w:rPr>
          <w:sz w:val="32"/>
          <w:szCs w:val="28"/>
        </w:rPr>
        <w:t>Gebühren für Kontoauszüge</w:t>
      </w:r>
      <w:bookmarkEnd w:id="61"/>
      <w:r w:rsidRPr="00FB29B6">
        <w:rPr>
          <w:sz w:val="32"/>
          <w:szCs w:val="28"/>
        </w:rPr>
        <w:t xml:space="preserve"> </w:t>
      </w:r>
    </w:p>
    <w:p w14:paraId="64F2B7AC" w14:textId="6CFC0EA6" w:rsidR="004B0023" w:rsidRPr="004B0023" w:rsidRDefault="00DB4919" w:rsidP="004B0023">
      <w:pPr>
        <w:pStyle w:val="berschrift3"/>
        <w:spacing w:after="120"/>
        <w:jc w:val="both"/>
        <w:rPr>
          <w:sz w:val="28"/>
          <w:szCs w:val="24"/>
        </w:rPr>
      </w:pPr>
      <w:bookmarkStart w:id="62" w:name="_Toc73014954"/>
      <w:r w:rsidRPr="00FB29B6">
        <w:rPr>
          <w:sz w:val="28"/>
          <w:szCs w:val="24"/>
        </w:rPr>
        <w:t>Zusendung</w:t>
      </w:r>
      <w:r w:rsidR="002112DA" w:rsidRPr="00FB29B6">
        <w:rPr>
          <w:sz w:val="28"/>
          <w:szCs w:val="24"/>
        </w:rPr>
        <w:t xml:space="preserve"> eines Kontoauszuges</w:t>
      </w:r>
      <w:bookmarkEnd w:id="62"/>
    </w:p>
    <w:p w14:paraId="5F768CEC" w14:textId="158F769C" w:rsidR="00DB4919" w:rsidRPr="00FB29B6" w:rsidRDefault="00DB4919" w:rsidP="003A25BC">
      <w:pPr>
        <w:pStyle w:val="berschrift3"/>
        <w:spacing w:after="120"/>
        <w:jc w:val="both"/>
        <w:rPr>
          <w:sz w:val="28"/>
          <w:szCs w:val="24"/>
        </w:rPr>
      </w:pPr>
      <w:bookmarkStart w:id="63" w:name="_Toc73014955"/>
      <w:r w:rsidRPr="00FB29B6">
        <w:rPr>
          <w:sz w:val="28"/>
          <w:szCs w:val="24"/>
        </w:rPr>
        <w:t>Überblick</w:t>
      </w:r>
      <w:bookmarkEnd w:id="63"/>
    </w:p>
    <w:p w14:paraId="5FA2F3B9" w14:textId="705672B9" w:rsidR="006D5034" w:rsidRPr="006D5034" w:rsidRDefault="006D5034" w:rsidP="003A25BC">
      <w:pPr>
        <w:spacing w:after="120"/>
        <w:jc w:val="both"/>
        <w:rPr>
          <w:sz w:val="24"/>
          <w:szCs w:val="24"/>
        </w:rPr>
      </w:pPr>
      <w:r w:rsidRPr="006D5034">
        <w:rPr>
          <w:sz w:val="24"/>
          <w:szCs w:val="24"/>
        </w:rPr>
        <w:t>Wenn man als Bankkunde eine Übersicht über die Umsätze des eigenen Bankkontos in Papierform haben möchte, kann man einen Kontoauszug bei der zuständigen Bank anfordern. In jeder Selbstbedienungszone der Bankfilialen gibt es die sogenannten Kontoauszugdrucker.</w:t>
      </w:r>
      <w:r w:rsidR="008C0232">
        <w:rPr>
          <w:rStyle w:val="Funotenzeichen"/>
          <w:sz w:val="24"/>
          <w:szCs w:val="24"/>
        </w:rPr>
        <w:footnoteReference w:id="41"/>
      </w:r>
      <w:r w:rsidRPr="006D5034">
        <w:rPr>
          <w:sz w:val="24"/>
          <w:szCs w:val="24"/>
        </w:rPr>
        <w:t xml:space="preserve"> </w:t>
      </w:r>
    </w:p>
    <w:p w14:paraId="09B8A877" w14:textId="77777777" w:rsidR="006D5034" w:rsidRDefault="006D5034" w:rsidP="003A25BC">
      <w:pPr>
        <w:spacing w:after="120"/>
        <w:jc w:val="both"/>
        <w:rPr>
          <w:sz w:val="24"/>
          <w:szCs w:val="24"/>
        </w:rPr>
      </w:pPr>
      <w:r w:rsidRPr="006D5034">
        <w:rPr>
          <w:sz w:val="24"/>
          <w:szCs w:val="24"/>
        </w:rPr>
        <w:t>Darüber hinaus hat man auch die Möglichkeit, sich die Kontoauszüge per Post nach Hause zukommen zu lassen oder die Daten online abzurufen, so dass man nicht jedes Mal in die Bank gehen muss. Wird der Kontoauszug selbst abgeholt oder online abgerufen, fallen für den Bankkunden keine Gebühren an. Wer sich den Kontoauszug auf Wunsch nach Hause schicken lässt, dem muss bewusst sein, dass er dafür Brief-Portogebühren bezahlen muss.</w:t>
      </w:r>
      <w:r>
        <w:rPr>
          <w:rStyle w:val="Funotenzeichen"/>
          <w:sz w:val="24"/>
          <w:szCs w:val="24"/>
        </w:rPr>
        <w:footnoteReference w:id="42"/>
      </w:r>
      <w:r>
        <w:rPr>
          <w:sz w:val="24"/>
          <w:szCs w:val="24"/>
        </w:rPr>
        <w:t xml:space="preserve"> </w:t>
      </w:r>
    </w:p>
    <w:p w14:paraId="737BE5D1" w14:textId="048F6CB7" w:rsidR="006D5034" w:rsidRDefault="006D5034" w:rsidP="003A25BC">
      <w:pPr>
        <w:spacing w:after="120"/>
        <w:jc w:val="both"/>
        <w:rPr>
          <w:sz w:val="24"/>
          <w:szCs w:val="24"/>
        </w:rPr>
      </w:pPr>
      <w:r w:rsidRPr="006D5034">
        <w:rPr>
          <w:sz w:val="24"/>
          <w:szCs w:val="24"/>
        </w:rPr>
        <w:t>Diese Kosten werden nicht von der Bank übernommen. Jede Bank hat andere Konditionen, die in den Preislisten und Allgemeinen Geschäftsbedingungen zu finden sind. Die Brief-Portogebühren sind je nach Gewicht und Größe unterschiedlich, daher ist es nicht einfach, einen genauen Preis anzugeben.</w:t>
      </w:r>
      <w:r w:rsidR="008C0232">
        <w:rPr>
          <w:rStyle w:val="Funotenzeichen"/>
          <w:sz w:val="24"/>
          <w:szCs w:val="24"/>
        </w:rPr>
        <w:footnoteReference w:id="43"/>
      </w:r>
    </w:p>
    <w:p w14:paraId="0AB6F4C4" w14:textId="77777777" w:rsidR="005866E2" w:rsidRDefault="005866E2" w:rsidP="003A25BC">
      <w:pPr>
        <w:spacing w:after="120"/>
        <w:jc w:val="both"/>
        <w:rPr>
          <w:sz w:val="24"/>
          <w:szCs w:val="24"/>
        </w:rPr>
      </w:pPr>
    </w:p>
    <w:p w14:paraId="42F2DFB5" w14:textId="77777777" w:rsidR="005866E2" w:rsidRDefault="005866E2" w:rsidP="003A25BC">
      <w:pPr>
        <w:spacing w:after="120"/>
        <w:jc w:val="both"/>
        <w:rPr>
          <w:sz w:val="24"/>
          <w:szCs w:val="24"/>
        </w:rPr>
      </w:pPr>
    </w:p>
    <w:p w14:paraId="199431B0" w14:textId="33AA9A70" w:rsidR="006D5034" w:rsidRDefault="006D5034" w:rsidP="003A25BC">
      <w:pPr>
        <w:spacing w:after="120"/>
        <w:jc w:val="both"/>
        <w:rPr>
          <w:sz w:val="24"/>
          <w:szCs w:val="24"/>
        </w:rPr>
      </w:pPr>
      <w:r>
        <w:rPr>
          <w:sz w:val="24"/>
          <w:szCs w:val="24"/>
        </w:rPr>
        <w:lastRenderedPageBreak/>
        <w:t xml:space="preserve">Die Brief-Portogebühren laut der Website der Post </w:t>
      </w:r>
      <w:r w:rsidR="00792A20">
        <w:rPr>
          <w:sz w:val="24"/>
          <w:szCs w:val="24"/>
        </w:rPr>
        <w:t>betragen</w:t>
      </w:r>
      <w:r>
        <w:rPr>
          <w:sz w:val="24"/>
          <w:szCs w:val="24"/>
        </w:rPr>
        <w:t xml:space="preserve">: </w:t>
      </w:r>
    </w:p>
    <w:tbl>
      <w:tblPr>
        <w:tblStyle w:val="Tabellenraster"/>
        <w:tblW w:w="0" w:type="auto"/>
        <w:tblLook w:val="04A0" w:firstRow="1" w:lastRow="0" w:firstColumn="1" w:lastColumn="0" w:noHBand="0" w:noVBand="1"/>
      </w:tblPr>
      <w:tblGrid>
        <w:gridCol w:w="5665"/>
        <w:gridCol w:w="2829"/>
      </w:tblGrid>
      <w:tr w:rsidR="006D5034" w14:paraId="3DB09130" w14:textId="77777777" w:rsidTr="000C647E">
        <w:trPr>
          <w:trHeight w:val="314"/>
        </w:trPr>
        <w:tc>
          <w:tcPr>
            <w:tcW w:w="5665" w:type="dxa"/>
            <w:shd w:val="clear" w:color="auto" w:fill="B8CCE4" w:themeFill="accent1" w:themeFillTint="66"/>
            <w:vAlign w:val="center"/>
          </w:tcPr>
          <w:p w14:paraId="6542ED60" w14:textId="77777777" w:rsidR="006D5034" w:rsidRPr="00FB3B3D" w:rsidRDefault="006D5034" w:rsidP="003A25BC">
            <w:pPr>
              <w:spacing w:after="120"/>
              <w:jc w:val="center"/>
              <w:rPr>
                <w:b/>
                <w:bCs/>
                <w:sz w:val="24"/>
                <w:szCs w:val="24"/>
              </w:rPr>
            </w:pPr>
            <w:r>
              <w:rPr>
                <w:b/>
                <w:bCs/>
                <w:sz w:val="24"/>
                <w:szCs w:val="24"/>
              </w:rPr>
              <w:t>Post</w:t>
            </w:r>
          </w:p>
        </w:tc>
        <w:tc>
          <w:tcPr>
            <w:tcW w:w="2829" w:type="dxa"/>
            <w:shd w:val="clear" w:color="auto" w:fill="B8CCE4" w:themeFill="accent1" w:themeFillTint="66"/>
            <w:vAlign w:val="center"/>
          </w:tcPr>
          <w:p w14:paraId="53995DCE" w14:textId="77777777" w:rsidR="006D5034" w:rsidRPr="00FB3B3D" w:rsidRDefault="006D5034" w:rsidP="003A25BC">
            <w:pPr>
              <w:spacing w:after="120"/>
              <w:jc w:val="center"/>
              <w:rPr>
                <w:b/>
                <w:bCs/>
                <w:sz w:val="24"/>
                <w:szCs w:val="24"/>
              </w:rPr>
            </w:pPr>
            <w:r w:rsidRPr="00FB3B3D">
              <w:rPr>
                <w:b/>
                <w:bCs/>
                <w:sz w:val="24"/>
                <w:szCs w:val="24"/>
              </w:rPr>
              <w:t>Höhe de</w:t>
            </w:r>
            <w:r>
              <w:rPr>
                <w:b/>
                <w:bCs/>
                <w:sz w:val="24"/>
                <w:szCs w:val="24"/>
              </w:rPr>
              <w:t>s Entgelts</w:t>
            </w:r>
          </w:p>
        </w:tc>
      </w:tr>
      <w:tr w:rsidR="006D5034" w14:paraId="344527CD" w14:textId="77777777" w:rsidTr="000C647E">
        <w:tc>
          <w:tcPr>
            <w:tcW w:w="5665" w:type="dxa"/>
            <w:vAlign w:val="center"/>
          </w:tcPr>
          <w:p w14:paraId="6129B612" w14:textId="6D92C461" w:rsidR="006D5034" w:rsidRPr="00092127" w:rsidRDefault="006D5034" w:rsidP="003A25BC">
            <w:pPr>
              <w:spacing w:after="120"/>
              <w:jc w:val="center"/>
              <w:rPr>
                <w:sz w:val="24"/>
                <w:szCs w:val="24"/>
                <w:lang w:val="en-GB"/>
              </w:rPr>
            </w:pPr>
            <w:r w:rsidRPr="00092127">
              <w:rPr>
                <w:sz w:val="24"/>
                <w:szCs w:val="24"/>
                <w:lang w:val="en-GB"/>
              </w:rPr>
              <w:t>Brief S:</w:t>
            </w:r>
            <w:r w:rsidR="000C647E">
              <w:rPr>
                <w:sz w:val="24"/>
                <w:szCs w:val="24"/>
                <w:lang w:val="en-GB"/>
              </w:rPr>
              <w:t xml:space="preserve"> </w:t>
            </w:r>
            <w:r w:rsidRPr="00092127">
              <w:rPr>
                <w:sz w:val="24"/>
                <w:szCs w:val="24"/>
                <w:lang w:val="en-GB"/>
              </w:rPr>
              <w:t>&lt; 20 g</w:t>
            </w:r>
          </w:p>
          <w:p w14:paraId="183AC5F4" w14:textId="77777777" w:rsidR="006D5034" w:rsidRPr="00092127" w:rsidRDefault="006D5034" w:rsidP="003A25BC">
            <w:pPr>
              <w:spacing w:after="120"/>
              <w:jc w:val="center"/>
              <w:rPr>
                <w:sz w:val="24"/>
                <w:szCs w:val="24"/>
                <w:lang w:val="en-GB"/>
              </w:rPr>
            </w:pPr>
            <w:r w:rsidRPr="00092127">
              <w:rPr>
                <w:sz w:val="24"/>
                <w:szCs w:val="24"/>
                <w:lang w:val="en-GB"/>
              </w:rPr>
              <w:t>L235 mm x B162 mm x H5 mm</w:t>
            </w:r>
          </w:p>
        </w:tc>
        <w:tc>
          <w:tcPr>
            <w:tcW w:w="2829" w:type="dxa"/>
            <w:vAlign w:val="center"/>
          </w:tcPr>
          <w:p w14:paraId="21C8ED52" w14:textId="59DBD746" w:rsidR="006D5034" w:rsidRDefault="006D5034" w:rsidP="003A25BC">
            <w:pPr>
              <w:spacing w:after="120"/>
              <w:jc w:val="center"/>
              <w:rPr>
                <w:sz w:val="24"/>
                <w:szCs w:val="24"/>
              </w:rPr>
            </w:pPr>
            <w:r>
              <w:rPr>
                <w:sz w:val="24"/>
                <w:szCs w:val="24"/>
              </w:rPr>
              <w:t>0,74€</w:t>
            </w:r>
            <w:r w:rsidR="008C0232">
              <w:rPr>
                <w:rStyle w:val="Funotenzeichen"/>
                <w:sz w:val="24"/>
                <w:szCs w:val="24"/>
              </w:rPr>
              <w:footnoteReference w:id="44"/>
            </w:r>
          </w:p>
        </w:tc>
      </w:tr>
      <w:tr w:rsidR="006D5034" w14:paraId="115CAA11" w14:textId="77777777" w:rsidTr="000C647E">
        <w:tc>
          <w:tcPr>
            <w:tcW w:w="5665" w:type="dxa"/>
            <w:vAlign w:val="center"/>
          </w:tcPr>
          <w:p w14:paraId="1E9C06AF" w14:textId="29A966B2" w:rsidR="006D5034" w:rsidRDefault="006D5034" w:rsidP="003A25BC">
            <w:pPr>
              <w:spacing w:after="120"/>
              <w:jc w:val="center"/>
              <w:rPr>
                <w:sz w:val="24"/>
                <w:szCs w:val="24"/>
              </w:rPr>
            </w:pPr>
            <w:r>
              <w:rPr>
                <w:sz w:val="24"/>
                <w:szCs w:val="24"/>
              </w:rPr>
              <w:t>Brief M:</w:t>
            </w:r>
            <w:r w:rsidR="000C647E">
              <w:rPr>
                <w:sz w:val="24"/>
                <w:szCs w:val="24"/>
              </w:rPr>
              <w:t xml:space="preserve"> </w:t>
            </w:r>
            <w:r>
              <w:rPr>
                <w:sz w:val="24"/>
                <w:szCs w:val="24"/>
              </w:rPr>
              <w:t xml:space="preserve">&gt; </w:t>
            </w:r>
            <w:r w:rsidRPr="00822D3F">
              <w:rPr>
                <w:sz w:val="24"/>
                <w:szCs w:val="24"/>
              </w:rPr>
              <w:t xml:space="preserve">20 bis 75 </w:t>
            </w:r>
            <w:r>
              <w:rPr>
                <w:sz w:val="24"/>
                <w:szCs w:val="24"/>
              </w:rPr>
              <w:t>g</w:t>
            </w:r>
          </w:p>
          <w:p w14:paraId="62B91A60" w14:textId="77777777" w:rsidR="006D5034" w:rsidRPr="00822D3F" w:rsidRDefault="006D5034" w:rsidP="003A25BC">
            <w:pPr>
              <w:spacing w:after="120"/>
              <w:jc w:val="center"/>
              <w:rPr>
                <w:sz w:val="24"/>
                <w:szCs w:val="24"/>
              </w:rPr>
            </w:pPr>
            <w:r>
              <w:rPr>
                <w:sz w:val="24"/>
                <w:szCs w:val="24"/>
              </w:rPr>
              <w:t>L235 mm x B162 mm x H5 mm</w:t>
            </w:r>
          </w:p>
        </w:tc>
        <w:tc>
          <w:tcPr>
            <w:tcW w:w="2829" w:type="dxa"/>
            <w:vAlign w:val="center"/>
          </w:tcPr>
          <w:p w14:paraId="7235B48E" w14:textId="4DCC0B93" w:rsidR="006D5034" w:rsidRDefault="006D5034" w:rsidP="00E9386E">
            <w:pPr>
              <w:keepNext/>
              <w:spacing w:after="120"/>
              <w:jc w:val="center"/>
              <w:rPr>
                <w:sz w:val="24"/>
                <w:szCs w:val="24"/>
              </w:rPr>
            </w:pPr>
            <w:r>
              <w:rPr>
                <w:sz w:val="24"/>
                <w:szCs w:val="24"/>
              </w:rPr>
              <w:t>1,30€</w:t>
            </w:r>
            <w:r w:rsidR="008C0232">
              <w:rPr>
                <w:rStyle w:val="Funotenzeichen"/>
                <w:sz w:val="24"/>
                <w:szCs w:val="24"/>
              </w:rPr>
              <w:footnoteReference w:id="45"/>
            </w:r>
          </w:p>
        </w:tc>
      </w:tr>
    </w:tbl>
    <w:p w14:paraId="269FF427" w14:textId="03A09923" w:rsidR="005866E2" w:rsidRDefault="00E9386E" w:rsidP="000C647E">
      <w:pPr>
        <w:pStyle w:val="Beschriftung"/>
      </w:pPr>
      <w:bookmarkStart w:id="64" w:name="_Toc72442156"/>
      <w:r>
        <w:t xml:space="preserve">Tabelle </w:t>
      </w:r>
      <w:r w:rsidR="00623D3F">
        <w:fldChar w:fldCharType="begin"/>
      </w:r>
      <w:r w:rsidR="00623D3F">
        <w:instrText xml:space="preserve"> SEQ Tabelle \* ARABIC </w:instrText>
      </w:r>
      <w:r w:rsidR="00623D3F">
        <w:fldChar w:fldCharType="separate"/>
      </w:r>
      <w:r w:rsidR="00670350">
        <w:rPr>
          <w:noProof/>
        </w:rPr>
        <w:t>2</w:t>
      </w:r>
      <w:r w:rsidR="00623D3F">
        <w:rPr>
          <w:noProof/>
        </w:rPr>
        <w:fldChar w:fldCharType="end"/>
      </w:r>
      <w:r>
        <w:t>: Brief-Portogebühren</w:t>
      </w:r>
      <w:bookmarkEnd w:id="64"/>
    </w:p>
    <w:p w14:paraId="506D1394" w14:textId="397DBF10" w:rsidR="000C647E" w:rsidRDefault="000C647E" w:rsidP="005866E2"/>
    <w:p w14:paraId="28179817" w14:textId="77777777" w:rsidR="000C647E" w:rsidRPr="005866E2" w:rsidRDefault="000C647E" w:rsidP="005866E2"/>
    <w:p w14:paraId="6AB70CF1" w14:textId="1F7E234C" w:rsidR="00DB4919" w:rsidRPr="00FB29B6" w:rsidRDefault="00DB4919" w:rsidP="003A25BC">
      <w:pPr>
        <w:pStyle w:val="berschrift3"/>
        <w:spacing w:after="120"/>
        <w:jc w:val="both"/>
        <w:rPr>
          <w:sz w:val="28"/>
          <w:szCs w:val="24"/>
        </w:rPr>
      </w:pPr>
      <w:bookmarkStart w:id="65" w:name="_Toc73014956"/>
      <w:r w:rsidRPr="00FB29B6">
        <w:rPr>
          <w:sz w:val="28"/>
          <w:szCs w:val="24"/>
        </w:rPr>
        <w:t>Die geschätzten Kosten</w:t>
      </w:r>
      <w:bookmarkEnd w:id="65"/>
    </w:p>
    <w:p w14:paraId="062C095F" w14:textId="77777777" w:rsidR="000365A6" w:rsidRPr="00C11697" w:rsidRDefault="000365A6" w:rsidP="003A25BC">
      <w:pPr>
        <w:spacing w:after="120"/>
        <w:jc w:val="both"/>
        <w:rPr>
          <w:sz w:val="24"/>
          <w:szCs w:val="24"/>
        </w:rPr>
      </w:pPr>
      <w:r>
        <w:rPr>
          <w:sz w:val="24"/>
          <w:szCs w:val="24"/>
        </w:rPr>
        <w:t xml:space="preserve">Die Entgelte für die folgende Banken lauten: </w:t>
      </w:r>
    </w:p>
    <w:tbl>
      <w:tblPr>
        <w:tblStyle w:val="Tabellenraster"/>
        <w:tblW w:w="0" w:type="auto"/>
        <w:tblLook w:val="04A0" w:firstRow="1" w:lastRow="0" w:firstColumn="1" w:lastColumn="0" w:noHBand="0" w:noVBand="1"/>
      </w:tblPr>
      <w:tblGrid>
        <w:gridCol w:w="4247"/>
        <w:gridCol w:w="4247"/>
      </w:tblGrid>
      <w:tr w:rsidR="000365A6" w14:paraId="188D594C" w14:textId="77777777" w:rsidTr="002F18A9">
        <w:tc>
          <w:tcPr>
            <w:tcW w:w="4247" w:type="dxa"/>
            <w:shd w:val="clear" w:color="auto" w:fill="B8CCE4" w:themeFill="accent1" w:themeFillTint="66"/>
            <w:vAlign w:val="center"/>
          </w:tcPr>
          <w:p w14:paraId="627026C0" w14:textId="77777777" w:rsidR="000365A6" w:rsidRPr="00FB3B3D" w:rsidRDefault="000365A6" w:rsidP="003A25BC">
            <w:pPr>
              <w:spacing w:after="120"/>
              <w:jc w:val="center"/>
              <w:rPr>
                <w:b/>
                <w:bCs/>
                <w:sz w:val="24"/>
                <w:szCs w:val="24"/>
              </w:rPr>
            </w:pPr>
            <w:r w:rsidRPr="00FB3B3D">
              <w:rPr>
                <w:b/>
                <w:bCs/>
                <w:sz w:val="24"/>
                <w:szCs w:val="24"/>
              </w:rPr>
              <w:t>Name der Bank</w:t>
            </w:r>
          </w:p>
        </w:tc>
        <w:tc>
          <w:tcPr>
            <w:tcW w:w="4247" w:type="dxa"/>
            <w:shd w:val="clear" w:color="auto" w:fill="B8CCE4" w:themeFill="accent1" w:themeFillTint="66"/>
            <w:vAlign w:val="center"/>
          </w:tcPr>
          <w:p w14:paraId="038B7828" w14:textId="77777777" w:rsidR="000365A6" w:rsidRPr="00FB3B3D" w:rsidRDefault="000365A6" w:rsidP="003A25BC">
            <w:pPr>
              <w:spacing w:after="120"/>
              <w:jc w:val="center"/>
              <w:rPr>
                <w:b/>
                <w:bCs/>
                <w:sz w:val="24"/>
                <w:szCs w:val="24"/>
              </w:rPr>
            </w:pPr>
            <w:r w:rsidRPr="00FB3B3D">
              <w:rPr>
                <w:b/>
                <w:bCs/>
                <w:sz w:val="24"/>
                <w:szCs w:val="24"/>
              </w:rPr>
              <w:t>Höhe de</w:t>
            </w:r>
            <w:r>
              <w:rPr>
                <w:b/>
                <w:bCs/>
                <w:sz w:val="24"/>
                <w:szCs w:val="24"/>
              </w:rPr>
              <w:t>s Entgelts</w:t>
            </w:r>
          </w:p>
        </w:tc>
      </w:tr>
      <w:tr w:rsidR="000365A6" w14:paraId="6B372701" w14:textId="77777777" w:rsidTr="002F18A9">
        <w:tc>
          <w:tcPr>
            <w:tcW w:w="4247" w:type="dxa"/>
            <w:vAlign w:val="center"/>
          </w:tcPr>
          <w:p w14:paraId="01A76605" w14:textId="77777777" w:rsidR="000365A6" w:rsidRDefault="000365A6" w:rsidP="003A25BC">
            <w:pPr>
              <w:spacing w:after="120"/>
              <w:jc w:val="center"/>
              <w:rPr>
                <w:sz w:val="24"/>
                <w:szCs w:val="24"/>
              </w:rPr>
            </w:pPr>
            <w:r>
              <w:rPr>
                <w:sz w:val="24"/>
                <w:szCs w:val="24"/>
              </w:rPr>
              <w:t>UniCredit Bank Austria</w:t>
            </w:r>
          </w:p>
        </w:tc>
        <w:tc>
          <w:tcPr>
            <w:tcW w:w="4247" w:type="dxa"/>
            <w:vAlign w:val="center"/>
          </w:tcPr>
          <w:p w14:paraId="0E018425" w14:textId="6141D012" w:rsidR="000365A6" w:rsidRDefault="00943F4B" w:rsidP="003A25BC">
            <w:pPr>
              <w:spacing w:after="120"/>
              <w:jc w:val="center"/>
              <w:rPr>
                <w:sz w:val="24"/>
                <w:szCs w:val="24"/>
              </w:rPr>
            </w:pPr>
            <w:r>
              <w:rPr>
                <w:sz w:val="24"/>
                <w:szCs w:val="24"/>
              </w:rPr>
              <w:t>Briefporto</w:t>
            </w:r>
            <w:r w:rsidR="008C0232">
              <w:rPr>
                <w:rStyle w:val="Funotenzeichen"/>
                <w:sz w:val="24"/>
                <w:szCs w:val="24"/>
              </w:rPr>
              <w:footnoteReference w:id="46"/>
            </w:r>
          </w:p>
        </w:tc>
      </w:tr>
      <w:tr w:rsidR="000365A6" w14:paraId="1C90CFFA" w14:textId="77777777" w:rsidTr="002F18A9">
        <w:tc>
          <w:tcPr>
            <w:tcW w:w="4247" w:type="dxa"/>
            <w:vAlign w:val="center"/>
          </w:tcPr>
          <w:p w14:paraId="3DE0331C" w14:textId="77777777" w:rsidR="000365A6" w:rsidRDefault="000365A6" w:rsidP="003A25BC">
            <w:pPr>
              <w:spacing w:after="120"/>
              <w:jc w:val="center"/>
              <w:rPr>
                <w:sz w:val="24"/>
                <w:szCs w:val="24"/>
              </w:rPr>
            </w:pPr>
            <w:r>
              <w:rPr>
                <w:sz w:val="24"/>
                <w:szCs w:val="24"/>
              </w:rPr>
              <w:t>BAWAG PSK</w:t>
            </w:r>
          </w:p>
        </w:tc>
        <w:tc>
          <w:tcPr>
            <w:tcW w:w="4247" w:type="dxa"/>
            <w:vAlign w:val="center"/>
          </w:tcPr>
          <w:p w14:paraId="5D157E08" w14:textId="28BAE030" w:rsidR="000365A6" w:rsidRDefault="00943F4B" w:rsidP="003A25BC">
            <w:pPr>
              <w:spacing w:after="120"/>
              <w:jc w:val="center"/>
              <w:rPr>
                <w:sz w:val="24"/>
                <w:szCs w:val="24"/>
              </w:rPr>
            </w:pPr>
            <w:r>
              <w:rPr>
                <w:sz w:val="24"/>
                <w:szCs w:val="24"/>
              </w:rPr>
              <w:t>Briefporto</w:t>
            </w:r>
            <w:r w:rsidR="008C0232">
              <w:rPr>
                <w:rStyle w:val="Funotenzeichen"/>
                <w:sz w:val="24"/>
                <w:szCs w:val="24"/>
              </w:rPr>
              <w:footnoteReference w:id="47"/>
            </w:r>
          </w:p>
        </w:tc>
      </w:tr>
      <w:tr w:rsidR="000365A6" w14:paraId="370BF9D4" w14:textId="77777777" w:rsidTr="002F18A9">
        <w:tc>
          <w:tcPr>
            <w:tcW w:w="4247" w:type="dxa"/>
            <w:vAlign w:val="center"/>
          </w:tcPr>
          <w:p w14:paraId="7A875FD7" w14:textId="77777777" w:rsidR="000365A6" w:rsidRDefault="000365A6" w:rsidP="003A25BC">
            <w:pPr>
              <w:spacing w:after="120"/>
              <w:jc w:val="center"/>
              <w:rPr>
                <w:sz w:val="24"/>
                <w:szCs w:val="24"/>
              </w:rPr>
            </w:pPr>
            <w:r>
              <w:rPr>
                <w:sz w:val="24"/>
                <w:szCs w:val="24"/>
              </w:rPr>
              <w:t>Erste Bank</w:t>
            </w:r>
          </w:p>
        </w:tc>
        <w:tc>
          <w:tcPr>
            <w:tcW w:w="4247" w:type="dxa"/>
            <w:vAlign w:val="center"/>
          </w:tcPr>
          <w:p w14:paraId="3674B9E3" w14:textId="0784E375" w:rsidR="000365A6" w:rsidRDefault="00943F4B" w:rsidP="003A25BC">
            <w:pPr>
              <w:spacing w:after="120"/>
              <w:jc w:val="center"/>
              <w:rPr>
                <w:sz w:val="24"/>
                <w:szCs w:val="24"/>
              </w:rPr>
            </w:pPr>
            <w:r>
              <w:rPr>
                <w:sz w:val="24"/>
                <w:szCs w:val="24"/>
              </w:rPr>
              <w:t>0,97€ + Briefporto</w:t>
            </w:r>
            <w:r w:rsidR="008C0232">
              <w:rPr>
                <w:rStyle w:val="Funotenzeichen"/>
                <w:sz w:val="24"/>
                <w:szCs w:val="24"/>
              </w:rPr>
              <w:footnoteReference w:id="48"/>
            </w:r>
          </w:p>
        </w:tc>
      </w:tr>
      <w:tr w:rsidR="000365A6" w14:paraId="086E0730" w14:textId="77777777" w:rsidTr="002F18A9">
        <w:tc>
          <w:tcPr>
            <w:tcW w:w="4247" w:type="dxa"/>
            <w:vAlign w:val="center"/>
          </w:tcPr>
          <w:p w14:paraId="617C14FA" w14:textId="4350876D" w:rsidR="000365A6" w:rsidRDefault="000365A6" w:rsidP="003A25BC">
            <w:pPr>
              <w:spacing w:after="120"/>
              <w:jc w:val="center"/>
              <w:rPr>
                <w:sz w:val="24"/>
                <w:szCs w:val="24"/>
              </w:rPr>
            </w:pPr>
            <w:r>
              <w:rPr>
                <w:sz w:val="24"/>
                <w:szCs w:val="24"/>
              </w:rPr>
              <w:t>Raiffeisen</w:t>
            </w:r>
            <w:r w:rsidR="000D2A61">
              <w:rPr>
                <w:sz w:val="24"/>
                <w:szCs w:val="24"/>
              </w:rPr>
              <w:t>bank</w:t>
            </w:r>
          </w:p>
        </w:tc>
        <w:tc>
          <w:tcPr>
            <w:tcW w:w="4247" w:type="dxa"/>
            <w:vAlign w:val="center"/>
          </w:tcPr>
          <w:p w14:paraId="703DA84A" w14:textId="77FA77BC" w:rsidR="000365A6" w:rsidRDefault="00943F4B" w:rsidP="003A25BC">
            <w:pPr>
              <w:spacing w:after="120"/>
              <w:jc w:val="center"/>
              <w:rPr>
                <w:sz w:val="24"/>
                <w:szCs w:val="24"/>
              </w:rPr>
            </w:pPr>
            <w:r>
              <w:rPr>
                <w:sz w:val="24"/>
                <w:szCs w:val="24"/>
              </w:rPr>
              <w:t>Briefporto</w:t>
            </w:r>
            <w:r w:rsidR="008C0232">
              <w:rPr>
                <w:rStyle w:val="Funotenzeichen"/>
                <w:sz w:val="24"/>
                <w:szCs w:val="24"/>
              </w:rPr>
              <w:footnoteReference w:id="49"/>
            </w:r>
          </w:p>
        </w:tc>
      </w:tr>
      <w:tr w:rsidR="000365A6" w14:paraId="13A7165A" w14:textId="77777777" w:rsidTr="002F18A9">
        <w:tc>
          <w:tcPr>
            <w:tcW w:w="4247" w:type="dxa"/>
            <w:vAlign w:val="center"/>
          </w:tcPr>
          <w:p w14:paraId="001669EC" w14:textId="77777777" w:rsidR="000365A6" w:rsidRDefault="000365A6" w:rsidP="003A25BC">
            <w:pPr>
              <w:spacing w:after="120"/>
              <w:jc w:val="center"/>
              <w:rPr>
                <w:sz w:val="24"/>
                <w:szCs w:val="24"/>
              </w:rPr>
            </w:pPr>
            <w:r>
              <w:rPr>
                <w:sz w:val="24"/>
                <w:szCs w:val="24"/>
              </w:rPr>
              <w:t>Easy Bank</w:t>
            </w:r>
          </w:p>
        </w:tc>
        <w:tc>
          <w:tcPr>
            <w:tcW w:w="4247" w:type="dxa"/>
            <w:vAlign w:val="center"/>
          </w:tcPr>
          <w:p w14:paraId="76EA4006" w14:textId="17B99130" w:rsidR="000365A6" w:rsidRDefault="00943F4B" w:rsidP="00E9386E">
            <w:pPr>
              <w:keepNext/>
              <w:spacing w:after="120"/>
              <w:jc w:val="center"/>
              <w:rPr>
                <w:sz w:val="24"/>
                <w:szCs w:val="24"/>
              </w:rPr>
            </w:pPr>
            <w:r>
              <w:rPr>
                <w:sz w:val="24"/>
                <w:szCs w:val="24"/>
              </w:rPr>
              <w:t>0,75€ + Briefporto</w:t>
            </w:r>
            <w:r w:rsidR="008C0232">
              <w:rPr>
                <w:rStyle w:val="Funotenzeichen"/>
                <w:sz w:val="24"/>
                <w:szCs w:val="24"/>
              </w:rPr>
              <w:footnoteReference w:id="50"/>
            </w:r>
          </w:p>
        </w:tc>
      </w:tr>
    </w:tbl>
    <w:p w14:paraId="451CE41D" w14:textId="3E60E442" w:rsidR="00FF3389" w:rsidRDefault="00E9386E" w:rsidP="00E9386E">
      <w:pPr>
        <w:pStyle w:val="Beschriftung"/>
      </w:pPr>
      <w:bookmarkStart w:id="66" w:name="_Toc72442157"/>
      <w:r>
        <w:t xml:space="preserve">Tabelle </w:t>
      </w:r>
      <w:r w:rsidR="00623D3F">
        <w:fldChar w:fldCharType="begin"/>
      </w:r>
      <w:r w:rsidR="00623D3F">
        <w:instrText xml:space="preserve"> SEQ Tabelle \* ARABIC </w:instrText>
      </w:r>
      <w:r w:rsidR="00623D3F">
        <w:fldChar w:fldCharType="separate"/>
      </w:r>
      <w:r w:rsidR="00670350">
        <w:rPr>
          <w:noProof/>
        </w:rPr>
        <w:t>3</w:t>
      </w:r>
      <w:r w:rsidR="00623D3F">
        <w:rPr>
          <w:noProof/>
        </w:rPr>
        <w:fldChar w:fldCharType="end"/>
      </w:r>
      <w:r>
        <w:t>: Gebühren für die Zusendung eines Kontoauszuges</w:t>
      </w:r>
      <w:bookmarkEnd w:id="66"/>
    </w:p>
    <w:p w14:paraId="2C0FF2A5" w14:textId="77777777" w:rsidR="005866E2" w:rsidRDefault="005866E2" w:rsidP="003A25BC">
      <w:pPr>
        <w:spacing w:after="120"/>
        <w:jc w:val="both"/>
        <w:rPr>
          <w:sz w:val="24"/>
          <w:szCs w:val="24"/>
        </w:rPr>
      </w:pPr>
    </w:p>
    <w:p w14:paraId="0FD3DDC9" w14:textId="603765C8" w:rsidR="000365A6" w:rsidRDefault="007520DB" w:rsidP="003A25BC">
      <w:pPr>
        <w:spacing w:after="120"/>
        <w:jc w:val="both"/>
        <w:rPr>
          <w:sz w:val="24"/>
          <w:szCs w:val="24"/>
        </w:rPr>
      </w:pPr>
      <w:r w:rsidRPr="007520DB">
        <w:rPr>
          <w:sz w:val="24"/>
          <w:szCs w:val="24"/>
        </w:rPr>
        <w:t xml:space="preserve">Beim Versenden eines Kontoauszuges fallen Personalkosten an. </w:t>
      </w:r>
      <w:r w:rsidR="000365A6" w:rsidRPr="00F657FC">
        <w:rPr>
          <w:sz w:val="24"/>
          <w:szCs w:val="24"/>
        </w:rPr>
        <w:t>Denn die Mitarbeiter müssen die Briefe drucken, kuvertieren und bei der Post abgeben.</w:t>
      </w:r>
      <w:r w:rsidR="000365A6">
        <w:rPr>
          <w:sz w:val="24"/>
          <w:szCs w:val="24"/>
        </w:rPr>
        <w:t xml:space="preserve"> </w:t>
      </w:r>
      <w:r w:rsidR="000365A6" w:rsidRPr="00F657FC">
        <w:rPr>
          <w:sz w:val="24"/>
          <w:szCs w:val="24"/>
        </w:rPr>
        <w:t xml:space="preserve">Sie belaufen sich in diesem Fall auf 0,3355€ pro Minute. Es wird jedoch angenommen, dass dieser </w:t>
      </w:r>
      <w:r w:rsidR="000365A6">
        <w:rPr>
          <w:sz w:val="24"/>
          <w:szCs w:val="24"/>
        </w:rPr>
        <w:t>Arbeitsv</w:t>
      </w:r>
      <w:r w:rsidR="000365A6" w:rsidRPr="00F657FC">
        <w:rPr>
          <w:sz w:val="24"/>
          <w:szCs w:val="24"/>
        </w:rPr>
        <w:t xml:space="preserve">organg 2 Minuten dauert. Hiermit entspricht er einem </w:t>
      </w:r>
      <w:r w:rsidR="00792A20">
        <w:rPr>
          <w:sz w:val="24"/>
          <w:szCs w:val="24"/>
        </w:rPr>
        <w:t>Gesamtw</w:t>
      </w:r>
      <w:r w:rsidR="000365A6" w:rsidRPr="00F657FC">
        <w:rPr>
          <w:sz w:val="24"/>
          <w:szCs w:val="24"/>
        </w:rPr>
        <w:t>ert von 0,671€.</w:t>
      </w:r>
      <w:r w:rsidR="000365A6">
        <w:rPr>
          <w:sz w:val="24"/>
          <w:szCs w:val="24"/>
        </w:rPr>
        <w:t xml:space="preserve"> </w:t>
      </w:r>
      <w:r w:rsidR="00792A20" w:rsidRPr="00E24462">
        <w:rPr>
          <w:sz w:val="24"/>
          <w:szCs w:val="24"/>
        </w:rPr>
        <w:t xml:space="preserve">Zu den Personalkosten kommen noch die </w:t>
      </w:r>
      <w:r w:rsidR="00792A20" w:rsidRPr="00E24462">
        <w:rPr>
          <w:sz w:val="24"/>
          <w:szCs w:val="24"/>
        </w:rPr>
        <w:lastRenderedPageBreak/>
        <w:t xml:space="preserve">Papier- und Kopierkosten </w:t>
      </w:r>
      <w:r w:rsidR="00792A20">
        <w:rPr>
          <w:sz w:val="24"/>
          <w:szCs w:val="24"/>
        </w:rPr>
        <w:t>bei der Erstellung</w:t>
      </w:r>
      <w:r w:rsidR="00792A20" w:rsidRPr="00E24462">
        <w:rPr>
          <w:sz w:val="24"/>
          <w:szCs w:val="24"/>
        </w:rPr>
        <w:t xml:space="preserve"> hinzu. Da die Kontoauszüge der meisten Banken farbig sind, werden hier pro Papier 0,17€ angenommen.</w:t>
      </w:r>
      <w:r w:rsidR="00792A20">
        <w:rPr>
          <w:rStyle w:val="Funotenzeichen"/>
          <w:sz w:val="24"/>
          <w:szCs w:val="24"/>
        </w:rPr>
        <w:footnoteReference w:id="51"/>
      </w:r>
      <w:r w:rsidR="00792A20">
        <w:rPr>
          <w:sz w:val="24"/>
          <w:szCs w:val="24"/>
        </w:rPr>
        <w:t xml:space="preserve"> </w:t>
      </w:r>
      <w:r w:rsidR="00792A20" w:rsidRPr="00C02296">
        <w:rPr>
          <w:sz w:val="24"/>
          <w:szCs w:val="24"/>
        </w:rPr>
        <w:t>Je nach Anzahl der Seiten des Kontoauszuges, wird sie mit den Papierkosten in Höhe von 0,17€ multipliziert.</w:t>
      </w:r>
      <w:r w:rsidR="00792A20">
        <w:rPr>
          <w:sz w:val="24"/>
          <w:szCs w:val="24"/>
        </w:rPr>
        <w:t xml:space="preserve"> Die Gesamtkosten </w:t>
      </w:r>
      <w:r>
        <w:rPr>
          <w:sz w:val="24"/>
          <w:szCs w:val="24"/>
        </w:rPr>
        <w:t>betragen</w:t>
      </w:r>
      <w:r w:rsidR="00792A20">
        <w:rPr>
          <w:sz w:val="24"/>
          <w:szCs w:val="24"/>
        </w:rPr>
        <w:t xml:space="preserve"> </w:t>
      </w:r>
      <w:r w:rsidR="00626429">
        <w:rPr>
          <w:sz w:val="24"/>
          <w:szCs w:val="24"/>
        </w:rPr>
        <w:t>1,581</w:t>
      </w:r>
      <w:r w:rsidR="00792A20">
        <w:rPr>
          <w:sz w:val="24"/>
          <w:szCs w:val="24"/>
        </w:rPr>
        <w:t>€</w:t>
      </w:r>
      <w:r w:rsidR="00626429">
        <w:rPr>
          <w:sz w:val="24"/>
          <w:szCs w:val="24"/>
        </w:rPr>
        <w:t xml:space="preserve"> (inklusive Portogebühren)</w:t>
      </w:r>
      <w:r w:rsidR="00792A20">
        <w:rPr>
          <w:sz w:val="24"/>
          <w:szCs w:val="24"/>
        </w:rPr>
        <w:t>.</w:t>
      </w:r>
    </w:p>
    <w:p w14:paraId="4DF02370" w14:textId="44CD12A7" w:rsidR="000365A6" w:rsidRDefault="00171CFC" w:rsidP="003A25BC">
      <w:pPr>
        <w:spacing w:after="120"/>
        <w:jc w:val="both"/>
        <w:rPr>
          <w:sz w:val="24"/>
          <w:szCs w:val="24"/>
        </w:rPr>
      </w:pPr>
      <w:r w:rsidRPr="00171CFC">
        <w:rPr>
          <w:sz w:val="24"/>
          <w:szCs w:val="24"/>
        </w:rPr>
        <w:t>Die Gebühren, die zusätzlich zu den Portokosten erhoben werden, sind nicht nachvollziehbar. Es gibt auch keine genauere Information über die Höhe der zusätzlichen Gebühren. Das Angebot der Banken, die nur die Portospesen verrechnen, ist im Vergleich zur Erste Bank und Easy Bank fair.</w:t>
      </w:r>
    </w:p>
    <w:p w14:paraId="0A516929" w14:textId="77777777" w:rsidR="00171CFC" w:rsidRDefault="00171CFC" w:rsidP="003A25BC">
      <w:pPr>
        <w:spacing w:after="120"/>
        <w:jc w:val="both"/>
        <w:rPr>
          <w:sz w:val="24"/>
          <w:szCs w:val="24"/>
        </w:rPr>
      </w:pPr>
    </w:p>
    <w:p w14:paraId="554409E5" w14:textId="2F3ACB88" w:rsidR="00E862BB" w:rsidRDefault="000365A6" w:rsidP="007B003F">
      <w:pPr>
        <w:spacing w:after="120"/>
        <w:jc w:val="both"/>
        <w:rPr>
          <w:sz w:val="24"/>
          <w:szCs w:val="24"/>
        </w:rPr>
      </w:pPr>
      <w:r>
        <w:rPr>
          <w:sz w:val="24"/>
          <w:szCs w:val="24"/>
        </w:rPr>
        <w:t xml:space="preserve">Für die Berechnung der Personalkosten wurde ein Bruttomonatsgehalt in Höhe von 1.900€ herangezogen. </w:t>
      </w:r>
    </w:p>
    <w:p w14:paraId="7D9EE410" w14:textId="77777777" w:rsidR="007B003F" w:rsidRPr="00DB3893" w:rsidRDefault="007B003F" w:rsidP="007B003F">
      <w:pPr>
        <w:spacing w:after="120"/>
        <w:jc w:val="both"/>
        <w:rPr>
          <w:sz w:val="24"/>
          <w:szCs w:val="24"/>
        </w:rPr>
      </w:pPr>
    </w:p>
    <w:p w14:paraId="738FBEFF" w14:textId="77777777" w:rsidR="000365A6" w:rsidRDefault="000365A6" w:rsidP="00757081">
      <w:pPr>
        <w:spacing w:after="120" w:line="480" w:lineRule="auto"/>
        <w:jc w:val="both"/>
        <w:rPr>
          <w:sz w:val="24"/>
          <w:szCs w:val="24"/>
        </w:rPr>
      </w:pPr>
      <w:r>
        <w:rPr>
          <w:sz w:val="24"/>
          <w:szCs w:val="24"/>
        </w:rPr>
        <w:t>Bruttomonatsgehalt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1.900</w:t>
      </w:r>
      <w:proofErr w:type="gramEnd"/>
      <w:r>
        <w:rPr>
          <w:sz w:val="24"/>
          <w:szCs w:val="24"/>
        </w:rPr>
        <w:t>,00€</w:t>
      </w:r>
    </w:p>
    <w:p w14:paraId="6C9F3292" w14:textId="544B5774" w:rsidR="000365A6" w:rsidRPr="007B003F" w:rsidRDefault="000365A6" w:rsidP="00757081">
      <w:pPr>
        <w:spacing w:after="120" w:line="480" w:lineRule="auto"/>
        <w:jc w:val="both"/>
        <w:rPr>
          <w:sz w:val="24"/>
          <w:szCs w:val="24"/>
          <w:u w:val="single"/>
        </w:rPr>
      </w:pPr>
      <w:r w:rsidRPr="007B003F">
        <w:rPr>
          <w:sz w:val="24"/>
          <w:szCs w:val="24"/>
          <w:u w:val="single"/>
        </w:rPr>
        <w:t>Bruttojahresgehalt (inklusive Sonderzahlungen)</w:t>
      </w:r>
      <w:r w:rsidRPr="007B003F">
        <w:rPr>
          <w:sz w:val="24"/>
          <w:szCs w:val="24"/>
          <w:u w:val="single"/>
        </w:rPr>
        <w:tab/>
      </w:r>
      <w:r w:rsidRPr="007B003F">
        <w:rPr>
          <w:sz w:val="24"/>
          <w:szCs w:val="24"/>
          <w:u w:val="single"/>
        </w:rPr>
        <w:tab/>
      </w:r>
      <w:r w:rsidR="00EE756F" w:rsidRPr="007B003F">
        <w:rPr>
          <w:sz w:val="24"/>
          <w:szCs w:val="24"/>
          <w:u w:val="single"/>
        </w:rPr>
        <w:t xml:space="preserve">           </w:t>
      </w:r>
      <w:r w:rsidRPr="007B003F">
        <w:rPr>
          <w:sz w:val="24"/>
          <w:szCs w:val="24"/>
          <w:u w:val="single"/>
        </w:rPr>
        <w:t xml:space="preserve">26.600,00€ </w:t>
      </w:r>
    </w:p>
    <w:p w14:paraId="326407A5" w14:textId="77777777" w:rsidR="000365A6" w:rsidRDefault="000365A6" w:rsidP="00757081">
      <w:pPr>
        <w:spacing w:after="120" w:line="480" w:lineRule="auto"/>
        <w:jc w:val="both"/>
        <w:rPr>
          <w:sz w:val="24"/>
          <w:szCs w:val="24"/>
        </w:rPr>
      </w:pPr>
      <w:r>
        <w:rPr>
          <w:sz w:val="24"/>
          <w:szCs w:val="24"/>
        </w:rPr>
        <w:t xml:space="preserve">Lohnnebenkosten: </w:t>
      </w:r>
    </w:p>
    <w:p w14:paraId="4286217A" w14:textId="05406409" w:rsidR="000365A6" w:rsidRDefault="000365A6" w:rsidP="00757081">
      <w:pPr>
        <w:spacing w:after="120" w:line="480" w:lineRule="auto"/>
        <w:jc w:val="both"/>
        <w:rPr>
          <w:sz w:val="24"/>
          <w:szCs w:val="24"/>
        </w:rPr>
      </w:pPr>
      <w:r>
        <w:rPr>
          <w:sz w:val="24"/>
          <w:szCs w:val="24"/>
        </w:rPr>
        <w:t>Wiener DGA – 2€ pro angefangene Woche (52)</w:t>
      </w:r>
      <w:r w:rsidR="00277372">
        <w:rPr>
          <w:rStyle w:val="Funotenzeichen"/>
          <w:sz w:val="24"/>
          <w:szCs w:val="24"/>
        </w:rPr>
        <w:footnoteReference w:id="52"/>
      </w:r>
      <w:r>
        <w:rPr>
          <w:sz w:val="24"/>
          <w:szCs w:val="24"/>
        </w:rPr>
        <w:tab/>
      </w:r>
      <w:r>
        <w:rPr>
          <w:sz w:val="24"/>
          <w:szCs w:val="24"/>
        </w:rPr>
        <w:tab/>
      </w:r>
      <w:r>
        <w:rPr>
          <w:sz w:val="24"/>
          <w:szCs w:val="24"/>
        </w:rPr>
        <w:tab/>
      </w:r>
      <w:r w:rsidR="006358F5">
        <w:rPr>
          <w:sz w:val="24"/>
          <w:szCs w:val="24"/>
        </w:rPr>
        <w:t xml:space="preserve">    </w:t>
      </w:r>
      <w:r>
        <w:rPr>
          <w:sz w:val="24"/>
          <w:szCs w:val="24"/>
        </w:rPr>
        <w:t>104,00€</w:t>
      </w:r>
    </w:p>
    <w:p w14:paraId="2EBF2BAC" w14:textId="47070321" w:rsidR="000365A6" w:rsidRDefault="000365A6" w:rsidP="00757081">
      <w:pPr>
        <w:spacing w:after="120" w:line="480" w:lineRule="auto"/>
        <w:jc w:val="both"/>
        <w:rPr>
          <w:sz w:val="24"/>
          <w:szCs w:val="24"/>
        </w:rPr>
      </w:pPr>
      <w:proofErr w:type="spellStart"/>
      <w:proofErr w:type="gramStart"/>
      <w:r>
        <w:rPr>
          <w:sz w:val="24"/>
          <w:szCs w:val="24"/>
        </w:rPr>
        <w:t>KommSt</w:t>
      </w:r>
      <w:proofErr w:type="spellEnd"/>
      <w:proofErr w:type="gramEnd"/>
      <w:r>
        <w:rPr>
          <w:sz w:val="24"/>
          <w:szCs w:val="24"/>
        </w:rPr>
        <w:t xml:space="preserve"> – 3%</w:t>
      </w:r>
      <w:r w:rsidR="00277372">
        <w:rPr>
          <w:rStyle w:val="Funotenzeichen"/>
          <w:sz w:val="24"/>
          <w:szCs w:val="24"/>
        </w:rPr>
        <w:footnoteReference w:id="53"/>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798,00€</w:t>
      </w:r>
    </w:p>
    <w:p w14:paraId="76FB43F7" w14:textId="19A4B535" w:rsidR="000365A6" w:rsidRDefault="000365A6" w:rsidP="00757081">
      <w:pPr>
        <w:spacing w:after="120" w:line="480" w:lineRule="auto"/>
        <w:jc w:val="both"/>
        <w:rPr>
          <w:sz w:val="24"/>
          <w:szCs w:val="24"/>
        </w:rPr>
      </w:pPr>
      <w:r>
        <w:rPr>
          <w:sz w:val="24"/>
          <w:szCs w:val="24"/>
        </w:rPr>
        <w:t>DB – 3,9%</w:t>
      </w:r>
      <w:r w:rsidR="00277372">
        <w:rPr>
          <w:rStyle w:val="Funotenzeichen"/>
          <w:sz w:val="24"/>
          <w:szCs w:val="24"/>
        </w:rPr>
        <w:footnoteReference w:id="54"/>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1.037,40€</w:t>
      </w:r>
    </w:p>
    <w:p w14:paraId="206B5CCF" w14:textId="276DDCFF" w:rsidR="000365A6" w:rsidRDefault="000365A6" w:rsidP="00757081">
      <w:pPr>
        <w:spacing w:after="120" w:line="480" w:lineRule="auto"/>
        <w:jc w:val="both"/>
        <w:rPr>
          <w:sz w:val="24"/>
          <w:szCs w:val="24"/>
        </w:rPr>
      </w:pPr>
      <w:r>
        <w:rPr>
          <w:sz w:val="24"/>
          <w:szCs w:val="24"/>
        </w:rPr>
        <w:t>DZ Wien – 0,38%</w:t>
      </w:r>
      <w:r w:rsidR="00277372">
        <w:rPr>
          <w:rStyle w:val="Funotenzeichen"/>
          <w:sz w:val="24"/>
          <w:szCs w:val="24"/>
        </w:rPr>
        <w:footnoteReference w:id="55"/>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B29B6">
        <w:rPr>
          <w:sz w:val="24"/>
          <w:szCs w:val="24"/>
        </w:rPr>
        <w:t xml:space="preserve">    </w:t>
      </w:r>
      <w:r>
        <w:rPr>
          <w:sz w:val="24"/>
          <w:szCs w:val="24"/>
        </w:rPr>
        <w:t>101,08€</w:t>
      </w:r>
    </w:p>
    <w:p w14:paraId="51D43143" w14:textId="69DA4057" w:rsidR="000365A6" w:rsidRPr="007B003F" w:rsidRDefault="000365A6" w:rsidP="00757081">
      <w:pPr>
        <w:spacing w:after="120" w:line="480" w:lineRule="auto"/>
        <w:jc w:val="both"/>
        <w:rPr>
          <w:sz w:val="24"/>
          <w:szCs w:val="24"/>
          <w:u w:val="single"/>
        </w:rPr>
      </w:pPr>
      <w:r w:rsidRPr="007B003F">
        <w:rPr>
          <w:sz w:val="24"/>
          <w:szCs w:val="24"/>
          <w:u w:val="single"/>
        </w:rPr>
        <w:t>DG-Anteil der Sozialversicherung – 20,53%</w:t>
      </w:r>
      <w:r w:rsidR="00E862BB" w:rsidRPr="007B003F">
        <w:rPr>
          <w:rStyle w:val="Funotenzeichen"/>
          <w:sz w:val="24"/>
          <w:szCs w:val="24"/>
          <w:u w:val="single"/>
        </w:rPr>
        <w:footnoteReference w:id="56"/>
      </w:r>
      <w:r w:rsidRPr="007B003F">
        <w:rPr>
          <w:sz w:val="24"/>
          <w:szCs w:val="24"/>
          <w:u w:val="single"/>
        </w:rPr>
        <w:t xml:space="preserve"> </w:t>
      </w:r>
      <w:r w:rsidRPr="007B003F">
        <w:rPr>
          <w:sz w:val="24"/>
          <w:szCs w:val="24"/>
          <w:u w:val="single"/>
        </w:rPr>
        <w:tab/>
      </w:r>
      <w:r w:rsidRPr="007B003F">
        <w:rPr>
          <w:sz w:val="24"/>
          <w:szCs w:val="24"/>
          <w:u w:val="single"/>
        </w:rPr>
        <w:tab/>
      </w:r>
      <w:r w:rsidRPr="007B003F">
        <w:rPr>
          <w:sz w:val="24"/>
          <w:szCs w:val="24"/>
          <w:u w:val="single"/>
        </w:rPr>
        <w:tab/>
      </w:r>
      <w:r w:rsidRPr="007B003F">
        <w:rPr>
          <w:sz w:val="24"/>
          <w:szCs w:val="24"/>
          <w:u w:val="single"/>
        </w:rPr>
        <w:tab/>
        <w:t xml:space="preserve"> 5.460,98€</w:t>
      </w:r>
    </w:p>
    <w:p w14:paraId="7BD70ED5" w14:textId="221E3BAE" w:rsidR="007B003F" w:rsidRPr="00656A0C" w:rsidRDefault="000365A6" w:rsidP="00656A0C">
      <w:pPr>
        <w:spacing w:after="120" w:line="480" w:lineRule="auto"/>
        <w:jc w:val="both"/>
        <w:rPr>
          <w:b/>
          <w:bCs/>
          <w:sz w:val="24"/>
          <w:szCs w:val="24"/>
          <w:u w:val="single"/>
        </w:rPr>
      </w:pPr>
      <w:r>
        <w:rPr>
          <w:sz w:val="24"/>
          <w:szCs w:val="24"/>
        </w:rPr>
        <w:t>Jährliche Kosten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A6CA9">
        <w:rPr>
          <w:b/>
          <w:bCs/>
          <w:sz w:val="24"/>
          <w:szCs w:val="24"/>
          <w:u w:val="single"/>
        </w:rPr>
        <w:t>34.101,46€</w:t>
      </w:r>
    </w:p>
    <w:p w14:paraId="4FC3306B" w14:textId="77777777" w:rsidR="000C647E" w:rsidRDefault="000365A6" w:rsidP="000C647E">
      <w:pPr>
        <w:spacing w:after="120"/>
        <w:jc w:val="both"/>
        <w:rPr>
          <w:sz w:val="24"/>
          <w:szCs w:val="24"/>
        </w:rPr>
      </w:pPr>
      <w:r w:rsidRPr="001C5FFB">
        <w:rPr>
          <w:sz w:val="24"/>
          <w:szCs w:val="24"/>
        </w:rPr>
        <w:lastRenderedPageBreak/>
        <w:t xml:space="preserve">Außerdem wird davon ausgegangen, dass der </w:t>
      </w:r>
      <w:r>
        <w:rPr>
          <w:sz w:val="24"/>
          <w:szCs w:val="24"/>
        </w:rPr>
        <w:t>Dienstnehmer</w:t>
      </w:r>
      <w:r w:rsidRPr="001C5FFB">
        <w:rPr>
          <w:sz w:val="24"/>
          <w:szCs w:val="24"/>
        </w:rPr>
        <w:t xml:space="preserve"> Anspruch auf 5 Wochen Urlaub hat, und es können auch 3 Wochen Krankenstand pro Jahr während des Jahres anfallen. </w:t>
      </w:r>
      <w:r w:rsidR="00127C9C">
        <w:rPr>
          <w:sz w:val="24"/>
          <w:szCs w:val="24"/>
        </w:rPr>
        <w:tab/>
      </w:r>
    </w:p>
    <w:p w14:paraId="46F530ED" w14:textId="072FCC74" w:rsidR="000365A6" w:rsidRPr="00355F71" w:rsidRDefault="000365A6" w:rsidP="000C647E">
      <w:pPr>
        <w:spacing w:after="120"/>
        <w:jc w:val="center"/>
        <w:rPr>
          <w:sz w:val="24"/>
          <w:szCs w:val="24"/>
        </w:rPr>
      </w:pPr>
      <w:r w:rsidRPr="00355F71">
        <w:rPr>
          <w:sz w:val="24"/>
          <w:szCs w:val="24"/>
        </w:rPr>
        <w:t>52 Wochen</w:t>
      </w:r>
    </w:p>
    <w:p w14:paraId="68DF870E" w14:textId="0E254E25" w:rsidR="00127C9C" w:rsidRPr="00355F71" w:rsidRDefault="000365A6" w:rsidP="000C647E">
      <w:pPr>
        <w:spacing w:after="120"/>
        <w:jc w:val="center"/>
        <w:rPr>
          <w:sz w:val="24"/>
          <w:szCs w:val="24"/>
        </w:rPr>
      </w:pPr>
      <w:r w:rsidRPr="00355F71">
        <w:rPr>
          <w:sz w:val="24"/>
          <w:szCs w:val="24"/>
        </w:rPr>
        <w:t>- 5 Wochen Urlaub</w:t>
      </w:r>
    </w:p>
    <w:p w14:paraId="36D64717" w14:textId="483389AD" w:rsidR="000365A6" w:rsidRPr="00355F71" w:rsidRDefault="000365A6" w:rsidP="000C647E">
      <w:pPr>
        <w:spacing w:after="120"/>
        <w:jc w:val="center"/>
        <w:rPr>
          <w:sz w:val="24"/>
          <w:szCs w:val="24"/>
        </w:rPr>
      </w:pPr>
      <w:r w:rsidRPr="00355F71">
        <w:rPr>
          <w:sz w:val="24"/>
          <w:szCs w:val="24"/>
        </w:rPr>
        <w:t>- 3 Wochen Krankenstand</w:t>
      </w:r>
    </w:p>
    <w:p w14:paraId="24C876AE" w14:textId="3460BA26" w:rsidR="000C647E" w:rsidRDefault="000365A6" w:rsidP="000C647E">
      <w:pPr>
        <w:spacing w:after="120"/>
        <w:jc w:val="center"/>
        <w:rPr>
          <w:sz w:val="24"/>
          <w:szCs w:val="24"/>
        </w:rPr>
      </w:pPr>
      <w:r w:rsidRPr="00355F71">
        <w:rPr>
          <w:sz w:val="24"/>
          <w:szCs w:val="24"/>
        </w:rPr>
        <w:t>= 44 Wochen</w:t>
      </w:r>
    </w:p>
    <w:p w14:paraId="7DD21A32" w14:textId="77777777" w:rsidR="007B003F" w:rsidRPr="00355F71" w:rsidRDefault="007B003F" w:rsidP="000C647E">
      <w:pPr>
        <w:spacing w:after="120"/>
        <w:jc w:val="center"/>
        <w:rPr>
          <w:sz w:val="24"/>
          <w:szCs w:val="24"/>
        </w:rPr>
      </w:pPr>
    </w:p>
    <w:p w14:paraId="6A955ED8" w14:textId="450B7858" w:rsidR="000365A6" w:rsidRDefault="000365A6" w:rsidP="000C647E">
      <w:pPr>
        <w:spacing w:after="120"/>
        <w:jc w:val="both"/>
        <w:rPr>
          <w:sz w:val="24"/>
          <w:szCs w:val="24"/>
        </w:rPr>
      </w:pPr>
      <w:r>
        <w:rPr>
          <w:sz w:val="24"/>
          <w:szCs w:val="24"/>
        </w:rPr>
        <w:t xml:space="preserve">Im nächsten Schritt wird die Division von 34.101,46€ und 44 Wochen gebildet. </w:t>
      </w:r>
      <w:r w:rsidRPr="007A0711">
        <w:rPr>
          <w:sz w:val="24"/>
          <w:szCs w:val="24"/>
        </w:rPr>
        <w:t>Die Kosten pro Woche belaufen sich somit auf 775,03€. Geht man von einer verkürzten Normalarbeitszeit von 38,5 Stunden pro Woche aus, erhält man 20,13€ pro Stunde.</w:t>
      </w:r>
      <w:r w:rsidR="00E862BB">
        <w:rPr>
          <w:rStyle w:val="Funotenzeichen"/>
          <w:sz w:val="24"/>
          <w:szCs w:val="24"/>
        </w:rPr>
        <w:footnoteReference w:id="57"/>
      </w:r>
      <w:r w:rsidRPr="007A0711">
        <w:rPr>
          <w:sz w:val="24"/>
          <w:szCs w:val="24"/>
        </w:rPr>
        <w:t xml:space="preserve"> </w:t>
      </w:r>
      <w:r w:rsidR="009C3301">
        <w:rPr>
          <w:sz w:val="24"/>
          <w:szCs w:val="24"/>
        </w:rPr>
        <w:t xml:space="preserve">Dies ergibt einen Preis von </w:t>
      </w:r>
      <w:r w:rsidRPr="007A0711">
        <w:rPr>
          <w:sz w:val="24"/>
          <w:szCs w:val="24"/>
        </w:rPr>
        <w:t xml:space="preserve">0,3355€ pro Minute.  </w:t>
      </w:r>
    </w:p>
    <w:p w14:paraId="39D7C450" w14:textId="77777777" w:rsidR="002B2C63" w:rsidRPr="00FF3389" w:rsidRDefault="002B2C63" w:rsidP="003A25BC">
      <w:pPr>
        <w:spacing w:after="120"/>
        <w:jc w:val="both"/>
      </w:pPr>
    </w:p>
    <w:p w14:paraId="5D991EB6" w14:textId="34638771" w:rsidR="000B4AF8" w:rsidRPr="00FB29B6" w:rsidRDefault="00DB4919" w:rsidP="003A25BC">
      <w:pPr>
        <w:pStyle w:val="berschrift3"/>
        <w:spacing w:after="120"/>
        <w:jc w:val="both"/>
        <w:rPr>
          <w:sz w:val="28"/>
          <w:szCs w:val="24"/>
        </w:rPr>
      </w:pPr>
      <w:bookmarkStart w:id="67" w:name="_Toc73014957"/>
      <w:r w:rsidRPr="00FB29B6">
        <w:rPr>
          <w:sz w:val="28"/>
          <w:szCs w:val="24"/>
        </w:rPr>
        <w:t>Duplikat</w:t>
      </w:r>
      <w:r w:rsidR="002112DA" w:rsidRPr="00FB29B6">
        <w:rPr>
          <w:sz w:val="28"/>
          <w:szCs w:val="24"/>
        </w:rPr>
        <w:t xml:space="preserve"> eines Kontoauszuges</w:t>
      </w:r>
      <w:bookmarkEnd w:id="67"/>
    </w:p>
    <w:p w14:paraId="09A0DA67" w14:textId="694FC4AD" w:rsidR="00DB4919" w:rsidRPr="00FB29B6" w:rsidRDefault="00DB4919" w:rsidP="003A25BC">
      <w:pPr>
        <w:pStyle w:val="berschrift3"/>
        <w:spacing w:after="120"/>
        <w:jc w:val="both"/>
        <w:rPr>
          <w:sz w:val="28"/>
          <w:szCs w:val="24"/>
        </w:rPr>
      </w:pPr>
      <w:bookmarkStart w:id="68" w:name="_Toc73014958"/>
      <w:r w:rsidRPr="00FB29B6">
        <w:rPr>
          <w:sz w:val="28"/>
          <w:szCs w:val="24"/>
        </w:rPr>
        <w:t>Überblick</w:t>
      </w:r>
      <w:bookmarkEnd w:id="68"/>
    </w:p>
    <w:p w14:paraId="4F5B6C89" w14:textId="1835AF60" w:rsidR="00171848" w:rsidRDefault="00171848" w:rsidP="003A25BC">
      <w:pPr>
        <w:spacing w:after="120"/>
        <w:jc w:val="both"/>
        <w:rPr>
          <w:sz w:val="24"/>
          <w:szCs w:val="24"/>
        </w:rPr>
      </w:pPr>
      <w:r w:rsidRPr="00171848">
        <w:rPr>
          <w:sz w:val="24"/>
          <w:szCs w:val="24"/>
        </w:rPr>
        <w:t>Wünscht der Bankkunde ein Duplikat des Kontoauszugs, kann er sich sofort an seine Bank wenden. In den meisten Fällen wird ein Duplikat als Beweismittel für gerichtliche und behördliche Zwecke ausgehändigt. Wenn der Kontoauszug dupliziert wird, spricht man immer noch von einem Dokument, das dem Kunden im Original zur Verfügung gestellt wird.  Dieser Auszug kann an den Selbstbedienungsautomaten, via E-Banking, telefonisch oder persönlich bei einem Beratungstermin abgeholt werden. Bei vielen Banken wird für die Ausstellung eine</w:t>
      </w:r>
      <w:r w:rsidR="00B878AD">
        <w:rPr>
          <w:sz w:val="24"/>
          <w:szCs w:val="24"/>
        </w:rPr>
        <w:t xml:space="preserve">s Duplikats </w:t>
      </w:r>
      <w:r w:rsidRPr="00171848">
        <w:rPr>
          <w:sz w:val="24"/>
          <w:szCs w:val="24"/>
        </w:rPr>
        <w:t>eine Gebühr erhoben. Diese Gebühr variiert stark von Bank zu Bank.</w:t>
      </w:r>
      <w:r>
        <w:rPr>
          <w:rStyle w:val="Funotenzeichen"/>
          <w:sz w:val="24"/>
          <w:szCs w:val="24"/>
        </w:rPr>
        <w:footnoteReference w:id="58"/>
      </w:r>
    </w:p>
    <w:p w14:paraId="1C746575" w14:textId="0043DA91" w:rsidR="00D729C4" w:rsidRDefault="00D729C4" w:rsidP="003A25BC">
      <w:pPr>
        <w:spacing w:after="120"/>
        <w:jc w:val="both"/>
        <w:rPr>
          <w:sz w:val="24"/>
          <w:szCs w:val="24"/>
        </w:rPr>
      </w:pPr>
    </w:p>
    <w:p w14:paraId="46249D74" w14:textId="77777777" w:rsidR="007B003F" w:rsidRPr="00171848" w:rsidRDefault="007B003F" w:rsidP="003A25BC">
      <w:pPr>
        <w:spacing w:after="120"/>
        <w:jc w:val="both"/>
        <w:rPr>
          <w:sz w:val="24"/>
          <w:szCs w:val="24"/>
        </w:rPr>
      </w:pPr>
    </w:p>
    <w:p w14:paraId="3326F169" w14:textId="77777777" w:rsidR="00171848" w:rsidRPr="00FB29B6" w:rsidRDefault="004A7E91" w:rsidP="003A25BC">
      <w:pPr>
        <w:pStyle w:val="berschrift3"/>
        <w:spacing w:after="120"/>
        <w:jc w:val="both"/>
        <w:rPr>
          <w:sz w:val="28"/>
          <w:szCs w:val="24"/>
        </w:rPr>
      </w:pPr>
      <w:bookmarkStart w:id="69" w:name="_Toc73014959"/>
      <w:r w:rsidRPr="00FB29B6">
        <w:rPr>
          <w:sz w:val="28"/>
          <w:szCs w:val="24"/>
        </w:rPr>
        <w:lastRenderedPageBreak/>
        <w:t>Die geschätzten Kosten</w:t>
      </w:r>
      <w:bookmarkEnd w:id="69"/>
    </w:p>
    <w:p w14:paraId="7808230E" w14:textId="77777777" w:rsidR="00171848" w:rsidRPr="00C11697" w:rsidRDefault="00171848" w:rsidP="003A25BC">
      <w:pPr>
        <w:spacing w:after="120"/>
        <w:jc w:val="both"/>
        <w:rPr>
          <w:sz w:val="24"/>
          <w:szCs w:val="24"/>
        </w:rPr>
      </w:pPr>
      <w:r>
        <w:rPr>
          <w:sz w:val="24"/>
          <w:szCs w:val="24"/>
        </w:rPr>
        <w:t xml:space="preserve">Die Entgelte für die folgende Banken lauten: </w:t>
      </w:r>
    </w:p>
    <w:tbl>
      <w:tblPr>
        <w:tblStyle w:val="Tabellenraster"/>
        <w:tblW w:w="0" w:type="auto"/>
        <w:tblLook w:val="04A0" w:firstRow="1" w:lastRow="0" w:firstColumn="1" w:lastColumn="0" w:noHBand="0" w:noVBand="1"/>
      </w:tblPr>
      <w:tblGrid>
        <w:gridCol w:w="4247"/>
        <w:gridCol w:w="4247"/>
      </w:tblGrid>
      <w:tr w:rsidR="00171848" w14:paraId="32ADFAAC" w14:textId="77777777" w:rsidTr="002F18A9">
        <w:tc>
          <w:tcPr>
            <w:tcW w:w="4247" w:type="dxa"/>
            <w:shd w:val="clear" w:color="auto" w:fill="B8CCE4" w:themeFill="accent1" w:themeFillTint="66"/>
            <w:vAlign w:val="center"/>
          </w:tcPr>
          <w:p w14:paraId="6B35CF16" w14:textId="77777777" w:rsidR="00171848" w:rsidRPr="00FB3B3D" w:rsidRDefault="00171848" w:rsidP="003A25BC">
            <w:pPr>
              <w:spacing w:after="120"/>
              <w:jc w:val="center"/>
              <w:rPr>
                <w:b/>
                <w:bCs/>
                <w:sz w:val="24"/>
                <w:szCs w:val="24"/>
              </w:rPr>
            </w:pPr>
            <w:r w:rsidRPr="00FB3B3D">
              <w:rPr>
                <w:b/>
                <w:bCs/>
                <w:sz w:val="24"/>
                <w:szCs w:val="24"/>
              </w:rPr>
              <w:t>Name der Bank</w:t>
            </w:r>
          </w:p>
        </w:tc>
        <w:tc>
          <w:tcPr>
            <w:tcW w:w="4247" w:type="dxa"/>
            <w:shd w:val="clear" w:color="auto" w:fill="B8CCE4" w:themeFill="accent1" w:themeFillTint="66"/>
            <w:vAlign w:val="center"/>
          </w:tcPr>
          <w:p w14:paraId="0A567AB4" w14:textId="77777777" w:rsidR="00171848" w:rsidRPr="00FB3B3D" w:rsidRDefault="00171848" w:rsidP="003A25BC">
            <w:pPr>
              <w:spacing w:after="120"/>
              <w:jc w:val="center"/>
              <w:rPr>
                <w:b/>
                <w:bCs/>
                <w:sz w:val="24"/>
                <w:szCs w:val="24"/>
              </w:rPr>
            </w:pPr>
            <w:r w:rsidRPr="00FB3B3D">
              <w:rPr>
                <w:b/>
                <w:bCs/>
                <w:sz w:val="24"/>
                <w:szCs w:val="24"/>
              </w:rPr>
              <w:t>Höhe de</w:t>
            </w:r>
            <w:r>
              <w:rPr>
                <w:b/>
                <w:bCs/>
                <w:sz w:val="24"/>
                <w:szCs w:val="24"/>
              </w:rPr>
              <w:t>s Entgelts</w:t>
            </w:r>
          </w:p>
        </w:tc>
      </w:tr>
      <w:tr w:rsidR="00171848" w14:paraId="02F91A96" w14:textId="77777777" w:rsidTr="002F18A9">
        <w:tc>
          <w:tcPr>
            <w:tcW w:w="4247" w:type="dxa"/>
            <w:vAlign w:val="center"/>
          </w:tcPr>
          <w:p w14:paraId="57766390" w14:textId="77777777" w:rsidR="00171848" w:rsidRDefault="00171848" w:rsidP="003A25BC">
            <w:pPr>
              <w:spacing w:after="120"/>
              <w:jc w:val="center"/>
              <w:rPr>
                <w:sz w:val="24"/>
                <w:szCs w:val="24"/>
              </w:rPr>
            </w:pPr>
            <w:r>
              <w:rPr>
                <w:sz w:val="24"/>
                <w:szCs w:val="24"/>
              </w:rPr>
              <w:t>UniCredit Bank Austria</w:t>
            </w:r>
          </w:p>
        </w:tc>
        <w:tc>
          <w:tcPr>
            <w:tcW w:w="4247" w:type="dxa"/>
            <w:vAlign w:val="center"/>
          </w:tcPr>
          <w:p w14:paraId="73D6654C" w14:textId="651A78F0" w:rsidR="00171848" w:rsidRDefault="001930FB" w:rsidP="003A25BC">
            <w:pPr>
              <w:spacing w:after="120"/>
              <w:jc w:val="center"/>
              <w:rPr>
                <w:sz w:val="24"/>
                <w:szCs w:val="24"/>
              </w:rPr>
            </w:pPr>
            <w:r>
              <w:rPr>
                <w:sz w:val="24"/>
                <w:szCs w:val="24"/>
              </w:rPr>
              <w:t>0,65€ - 1,32€</w:t>
            </w:r>
            <w:r w:rsidR="004C2CD9">
              <w:rPr>
                <w:rStyle w:val="Funotenzeichen"/>
                <w:sz w:val="24"/>
                <w:szCs w:val="24"/>
              </w:rPr>
              <w:footnoteReference w:id="59"/>
            </w:r>
          </w:p>
        </w:tc>
      </w:tr>
      <w:tr w:rsidR="00171848" w14:paraId="62B15A47" w14:textId="77777777" w:rsidTr="002F18A9">
        <w:tc>
          <w:tcPr>
            <w:tcW w:w="4247" w:type="dxa"/>
            <w:vAlign w:val="center"/>
          </w:tcPr>
          <w:p w14:paraId="297D9747" w14:textId="77777777" w:rsidR="00171848" w:rsidRDefault="00171848" w:rsidP="003A25BC">
            <w:pPr>
              <w:spacing w:after="120"/>
              <w:jc w:val="center"/>
              <w:rPr>
                <w:sz w:val="24"/>
                <w:szCs w:val="24"/>
              </w:rPr>
            </w:pPr>
            <w:r>
              <w:rPr>
                <w:sz w:val="24"/>
                <w:szCs w:val="24"/>
              </w:rPr>
              <w:t>BAWAG PSK</w:t>
            </w:r>
          </w:p>
        </w:tc>
        <w:tc>
          <w:tcPr>
            <w:tcW w:w="4247" w:type="dxa"/>
            <w:vAlign w:val="center"/>
          </w:tcPr>
          <w:p w14:paraId="52214DC5" w14:textId="4D47E82D" w:rsidR="00171848" w:rsidRDefault="001930FB" w:rsidP="003A25BC">
            <w:pPr>
              <w:spacing w:after="120"/>
              <w:jc w:val="center"/>
              <w:rPr>
                <w:sz w:val="24"/>
                <w:szCs w:val="24"/>
              </w:rPr>
            </w:pPr>
            <w:r>
              <w:rPr>
                <w:sz w:val="24"/>
                <w:szCs w:val="24"/>
              </w:rPr>
              <w:t>0,40€</w:t>
            </w:r>
            <w:r w:rsidR="004C2CD9">
              <w:rPr>
                <w:rStyle w:val="Funotenzeichen"/>
                <w:sz w:val="24"/>
                <w:szCs w:val="24"/>
              </w:rPr>
              <w:footnoteReference w:id="60"/>
            </w:r>
          </w:p>
        </w:tc>
      </w:tr>
      <w:tr w:rsidR="00171848" w14:paraId="60E10AB3" w14:textId="77777777" w:rsidTr="002F18A9">
        <w:tc>
          <w:tcPr>
            <w:tcW w:w="4247" w:type="dxa"/>
            <w:vAlign w:val="center"/>
          </w:tcPr>
          <w:p w14:paraId="48E13C38" w14:textId="77777777" w:rsidR="00171848" w:rsidRDefault="00171848" w:rsidP="003A25BC">
            <w:pPr>
              <w:spacing w:after="120"/>
              <w:jc w:val="center"/>
              <w:rPr>
                <w:sz w:val="24"/>
                <w:szCs w:val="24"/>
              </w:rPr>
            </w:pPr>
            <w:r>
              <w:rPr>
                <w:sz w:val="24"/>
                <w:szCs w:val="24"/>
              </w:rPr>
              <w:t>Erste Bank</w:t>
            </w:r>
          </w:p>
        </w:tc>
        <w:tc>
          <w:tcPr>
            <w:tcW w:w="4247" w:type="dxa"/>
            <w:vAlign w:val="center"/>
          </w:tcPr>
          <w:p w14:paraId="03D015CD" w14:textId="578BF405" w:rsidR="00171848" w:rsidRDefault="001930FB" w:rsidP="003A25BC">
            <w:pPr>
              <w:spacing w:after="120"/>
              <w:jc w:val="center"/>
              <w:rPr>
                <w:sz w:val="24"/>
                <w:szCs w:val="24"/>
              </w:rPr>
            </w:pPr>
            <w:r>
              <w:rPr>
                <w:sz w:val="24"/>
                <w:szCs w:val="24"/>
              </w:rPr>
              <w:t>2,14€</w:t>
            </w:r>
            <w:r w:rsidR="004C2CD9">
              <w:rPr>
                <w:rStyle w:val="Funotenzeichen"/>
                <w:sz w:val="24"/>
                <w:szCs w:val="24"/>
              </w:rPr>
              <w:footnoteReference w:id="61"/>
            </w:r>
          </w:p>
        </w:tc>
      </w:tr>
      <w:tr w:rsidR="00171848" w14:paraId="3A07EE44" w14:textId="77777777" w:rsidTr="002F18A9">
        <w:tc>
          <w:tcPr>
            <w:tcW w:w="4247" w:type="dxa"/>
            <w:vAlign w:val="center"/>
          </w:tcPr>
          <w:p w14:paraId="34645BD4" w14:textId="6EC76BEA" w:rsidR="00171848" w:rsidRDefault="00171848" w:rsidP="003A25BC">
            <w:pPr>
              <w:spacing w:after="120"/>
              <w:jc w:val="center"/>
              <w:rPr>
                <w:sz w:val="24"/>
                <w:szCs w:val="24"/>
              </w:rPr>
            </w:pPr>
            <w:r>
              <w:rPr>
                <w:sz w:val="24"/>
                <w:szCs w:val="24"/>
              </w:rPr>
              <w:t>Raiffeisen</w:t>
            </w:r>
            <w:r w:rsidR="000D2A61">
              <w:rPr>
                <w:sz w:val="24"/>
                <w:szCs w:val="24"/>
              </w:rPr>
              <w:t>bank</w:t>
            </w:r>
          </w:p>
        </w:tc>
        <w:tc>
          <w:tcPr>
            <w:tcW w:w="4247" w:type="dxa"/>
            <w:vAlign w:val="center"/>
          </w:tcPr>
          <w:p w14:paraId="0923B5F3" w14:textId="03E90294" w:rsidR="00171848" w:rsidRDefault="001930FB" w:rsidP="003A25BC">
            <w:pPr>
              <w:spacing w:after="120"/>
              <w:jc w:val="center"/>
              <w:rPr>
                <w:sz w:val="24"/>
                <w:szCs w:val="24"/>
              </w:rPr>
            </w:pPr>
            <w:r>
              <w:rPr>
                <w:sz w:val="24"/>
                <w:szCs w:val="24"/>
              </w:rPr>
              <w:t>0,87€</w:t>
            </w:r>
            <w:r w:rsidR="004C2CD9">
              <w:rPr>
                <w:rStyle w:val="Funotenzeichen"/>
                <w:sz w:val="24"/>
                <w:szCs w:val="24"/>
              </w:rPr>
              <w:footnoteReference w:id="62"/>
            </w:r>
          </w:p>
        </w:tc>
      </w:tr>
      <w:tr w:rsidR="00171848" w14:paraId="6E233757" w14:textId="77777777" w:rsidTr="00D729C4">
        <w:trPr>
          <w:trHeight w:val="416"/>
        </w:trPr>
        <w:tc>
          <w:tcPr>
            <w:tcW w:w="4247" w:type="dxa"/>
            <w:vAlign w:val="center"/>
          </w:tcPr>
          <w:p w14:paraId="5D4C6903" w14:textId="77777777" w:rsidR="00171848" w:rsidRDefault="00171848" w:rsidP="003A25BC">
            <w:pPr>
              <w:spacing w:after="120"/>
              <w:jc w:val="center"/>
              <w:rPr>
                <w:sz w:val="24"/>
                <w:szCs w:val="24"/>
              </w:rPr>
            </w:pPr>
            <w:r>
              <w:rPr>
                <w:sz w:val="24"/>
                <w:szCs w:val="24"/>
              </w:rPr>
              <w:t>Easy Bank</w:t>
            </w:r>
          </w:p>
        </w:tc>
        <w:tc>
          <w:tcPr>
            <w:tcW w:w="4247" w:type="dxa"/>
            <w:vAlign w:val="center"/>
          </w:tcPr>
          <w:p w14:paraId="57658EC6" w14:textId="426B9B42" w:rsidR="00171848" w:rsidRDefault="001930FB" w:rsidP="00E9386E">
            <w:pPr>
              <w:keepNext/>
              <w:spacing w:after="120"/>
              <w:jc w:val="center"/>
              <w:rPr>
                <w:sz w:val="24"/>
                <w:szCs w:val="24"/>
              </w:rPr>
            </w:pPr>
            <w:r>
              <w:rPr>
                <w:sz w:val="24"/>
                <w:szCs w:val="24"/>
              </w:rPr>
              <w:t>3,75€</w:t>
            </w:r>
            <w:r w:rsidR="007E32D5">
              <w:rPr>
                <w:rStyle w:val="Funotenzeichen"/>
                <w:sz w:val="24"/>
                <w:szCs w:val="24"/>
              </w:rPr>
              <w:footnoteReference w:id="63"/>
            </w:r>
          </w:p>
        </w:tc>
      </w:tr>
    </w:tbl>
    <w:p w14:paraId="1823718D" w14:textId="59407DE1" w:rsidR="005866E2" w:rsidRDefault="00E9386E" w:rsidP="005866E2">
      <w:pPr>
        <w:pStyle w:val="Beschriftung"/>
        <w:rPr>
          <w:sz w:val="24"/>
          <w:szCs w:val="24"/>
        </w:rPr>
      </w:pPr>
      <w:bookmarkStart w:id="70" w:name="_Toc72442158"/>
      <w:r>
        <w:t xml:space="preserve">Tabelle </w:t>
      </w:r>
      <w:r w:rsidR="00623D3F">
        <w:fldChar w:fldCharType="begin"/>
      </w:r>
      <w:r w:rsidR="00623D3F">
        <w:instrText xml:space="preserve"> SEQ Tabelle \* ARABIC </w:instrText>
      </w:r>
      <w:r w:rsidR="00623D3F">
        <w:fldChar w:fldCharType="separate"/>
      </w:r>
      <w:r w:rsidR="00670350">
        <w:rPr>
          <w:noProof/>
        </w:rPr>
        <w:t>4</w:t>
      </w:r>
      <w:r w:rsidR="00623D3F">
        <w:rPr>
          <w:noProof/>
        </w:rPr>
        <w:fldChar w:fldCharType="end"/>
      </w:r>
      <w:r>
        <w:t xml:space="preserve">: </w:t>
      </w:r>
      <w:proofErr w:type="spellStart"/>
      <w:r>
        <w:t>Duplikatsgebühren</w:t>
      </w:r>
      <w:bookmarkEnd w:id="70"/>
      <w:proofErr w:type="spellEnd"/>
    </w:p>
    <w:p w14:paraId="310540D2" w14:textId="77777777" w:rsidR="007B003F" w:rsidRDefault="007B003F" w:rsidP="00EA04E9">
      <w:pPr>
        <w:spacing w:after="120"/>
        <w:jc w:val="both"/>
        <w:rPr>
          <w:sz w:val="24"/>
          <w:szCs w:val="24"/>
        </w:rPr>
      </w:pPr>
    </w:p>
    <w:p w14:paraId="03519169" w14:textId="77777777" w:rsidR="00BA1D38" w:rsidRDefault="00171848" w:rsidP="00EA04E9">
      <w:pPr>
        <w:spacing w:after="120"/>
        <w:jc w:val="both"/>
        <w:rPr>
          <w:sz w:val="24"/>
          <w:szCs w:val="24"/>
        </w:rPr>
      </w:pPr>
      <w:r>
        <w:rPr>
          <w:sz w:val="24"/>
          <w:szCs w:val="24"/>
        </w:rPr>
        <w:t xml:space="preserve">Falls der Kunde ein persönliches Beratungsgespräch, welches ungefähr 5 Minuten dauert, in Anspruch nimmt, entstehen Personalkosten in Höhe von 1,68€.  </w:t>
      </w:r>
      <w:r w:rsidRPr="00E24462">
        <w:rPr>
          <w:sz w:val="24"/>
          <w:szCs w:val="24"/>
        </w:rPr>
        <w:t xml:space="preserve">Für die Ausstellung eines Duplikats benötigt der Bankmitarbeiter nicht mehr als 5 Minuten, da es bereits im System vorhanden ist. </w:t>
      </w:r>
      <w:r>
        <w:rPr>
          <w:sz w:val="24"/>
          <w:szCs w:val="24"/>
        </w:rPr>
        <w:t xml:space="preserve"> </w:t>
      </w:r>
      <w:r w:rsidRPr="00E24462">
        <w:rPr>
          <w:sz w:val="24"/>
          <w:szCs w:val="24"/>
        </w:rPr>
        <w:t xml:space="preserve">Zu den Personalkosten kommen noch die Papier- und Kopierkosten </w:t>
      </w:r>
      <w:r>
        <w:rPr>
          <w:sz w:val="24"/>
          <w:szCs w:val="24"/>
        </w:rPr>
        <w:t>bei der Erstellung</w:t>
      </w:r>
      <w:r w:rsidRPr="00E24462">
        <w:rPr>
          <w:sz w:val="24"/>
          <w:szCs w:val="24"/>
        </w:rPr>
        <w:t xml:space="preserve"> hinzu. Da die Kontoauszüge der meisten Banken farbig sind, werden hier pro Papier 0,17€ angenommen.</w:t>
      </w:r>
      <w:r>
        <w:rPr>
          <w:rStyle w:val="Funotenzeichen"/>
          <w:sz w:val="24"/>
          <w:szCs w:val="24"/>
        </w:rPr>
        <w:footnoteReference w:id="64"/>
      </w:r>
      <w:r w:rsidR="00C02296">
        <w:rPr>
          <w:sz w:val="24"/>
          <w:szCs w:val="24"/>
        </w:rPr>
        <w:t xml:space="preserve"> </w:t>
      </w:r>
      <w:r w:rsidR="00C02296" w:rsidRPr="00C02296">
        <w:rPr>
          <w:sz w:val="24"/>
          <w:szCs w:val="24"/>
        </w:rPr>
        <w:t>Je nach Anzahl der Seiten des Kontoauszuges, wird sie mit den Papierkosten in Höhe von 0,17€ multipliziert.</w:t>
      </w:r>
      <w:r w:rsidR="00D729C4">
        <w:rPr>
          <w:sz w:val="24"/>
          <w:szCs w:val="24"/>
        </w:rPr>
        <w:t xml:space="preserve"> </w:t>
      </w:r>
      <w:r w:rsidR="00D729C4" w:rsidRPr="00D729C4">
        <w:rPr>
          <w:sz w:val="24"/>
          <w:szCs w:val="24"/>
        </w:rPr>
        <w:t xml:space="preserve">Damit liegen die Gesamtkosten für die Erstellung eines Duplikats bei </w:t>
      </w:r>
      <w:r w:rsidR="00491A11">
        <w:rPr>
          <w:sz w:val="24"/>
          <w:szCs w:val="24"/>
        </w:rPr>
        <w:t>1,85€.</w:t>
      </w:r>
    </w:p>
    <w:p w14:paraId="6B57CC70" w14:textId="371E35FA" w:rsidR="00795ACE" w:rsidRPr="00795ACE" w:rsidRDefault="007667DD" w:rsidP="003A25BC">
      <w:pPr>
        <w:spacing w:after="120"/>
        <w:jc w:val="both"/>
      </w:pPr>
      <w:r w:rsidRPr="007667DD">
        <w:rPr>
          <w:sz w:val="24"/>
          <w:szCs w:val="24"/>
        </w:rPr>
        <w:t xml:space="preserve">Die Gebühren der Easy Bank und Erste Bank sind im Vergleich zu den anderen Banken sehr überteuert. Denn für das Ausstellen eines Duplikats verlangt die Easy Bank 3,75€ und die Erste Bank 2,14€.  </w:t>
      </w:r>
    </w:p>
    <w:p w14:paraId="5761478D" w14:textId="349DD83E" w:rsidR="00003802" w:rsidRPr="00850FAF" w:rsidRDefault="00003802" w:rsidP="003A25BC">
      <w:pPr>
        <w:pStyle w:val="berschrift2"/>
        <w:spacing w:after="120"/>
        <w:jc w:val="both"/>
        <w:rPr>
          <w:sz w:val="32"/>
          <w:szCs w:val="28"/>
        </w:rPr>
      </w:pPr>
      <w:bookmarkStart w:id="71" w:name="_Toc73014960"/>
      <w:r w:rsidRPr="00850FAF">
        <w:rPr>
          <w:sz w:val="32"/>
          <w:szCs w:val="28"/>
        </w:rPr>
        <w:lastRenderedPageBreak/>
        <w:t xml:space="preserve">Gebühren </w:t>
      </w:r>
      <w:r w:rsidR="00121560" w:rsidRPr="00850FAF">
        <w:rPr>
          <w:sz w:val="32"/>
          <w:szCs w:val="28"/>
        </w:rPr>
        <w:t xml:space="preserve">für </w:t>
      </w:r>
      <w:r w:rsidRPr="00850FAF">
        <w:rPr>
          <w:sz w:val="32"/>
          <w:szCs w:val="28"/>
        </w:rPr>
        <w:t>Dauer- und Einziehungsaufträg</w:t>
      </w:r>
      <w:r w:rsidR="00121560" w:rsidRPr="00850FAF">
        <w:rPr>
          <w:sz w:val="32"/>
          <w:szCs w:val="28"/>
        </w:rPr>
        <w:t>e</w:t>
      </w:r>
      <w:bookmarkEnd w:id="71"/>
    </w:p>
    <w:p w14:paraId="267D7F4B" w14:textId="671F62E0" w:rsidR="00A26DE2" w:rsidRPr="00850FAF" w:rsidRDefault="00A26DE2" w:rsidP="003A25BC">
      <w:pPr>
        <w:pStyle w:val="berschrift3"/>
        <w:spacing w:after="120"/>
        <w:jc w:val="both"/>
        <w:rPr>
          <w:sz w:val="28"/>
          <w:szCs w:val="24"/>
        </w:rPr>
      </w:pPr>
      <w:bookmarkStart w:id="72" w:name="_Toc73014961"/>
      <w:r w:rsidRPr="00850FAF">
        <w:rPr>
          <w:sz w:val="28"/>
          <w:szCs w:val="24"/>
        </w:rPr>
        <w:t>Änderung/Löschung der Aufträge</w:t>
      </w:r>
      <w:bookmarkEnd w:id="72"/>
      <w:r w:rsidRPr="00850FAF">
        <w:rPr>
          <w:sz w:val="28"/>
          <w:szCs w:val="24"/>
        </w:rPr>
        <w:t xml:space="preserve"> </w:t>
      </w:r>
    </w:p>
    <w:p w14:paraId="11E35BB4" w14:textId="098F57F3" w:rsidR="00641A43" w:rsidRPr="00850FAF" w:rsidRDefault="00641A43" w:rsidP="003A25BC">
      <w:pPr>
        <w:pStyle w:val="berschrift3"/>
        <w:spacing w:after="120"/>
        <w:jc w:val="both"/>
        <w:rPr>
          <w:sz w:val="28"/>
          <w:szCs w:val="24"/>
        </w:rPr>
      </w:pPr>
      <w:bookmarkStart w:id="73" w:name="_Toc73014962"/>
      <w:r w:rsidRPr="00850FAF">
        <w:rPr>
          <w:sz w:val="28"/>
          <w:szCs w:val="24"/>
        </w:rPr>
        <w:t>Überblick</w:t>
      </w:r>
      <w:bookmarkEnd w:id="73"/>
      <w:r w:rsidRPr="00850FAF">
        <w:rPr>
          <w:sz w:val="28"/>
          <w:szCs w:val="24"/>
        </w:rPr>
        <w:t xml:space="preserve"> </w:t>
      </w:r>
    </w:p>
    <w:p w14:paraId="044C3355" w14:textId="41F44032" w:rsidR="002757FC" w:rsidRDefault="002757FC" w:rsidP="003A25BC">
      <w:pPr>
        <w:spacing w:after="120"/>
        <w:jc w:val="both"/>
        <w:rPr>
          <w:sz w:val="24"/>
          <w:szCs w:val="24"/>
        </w:rPr>
      </w:pPr>
      <w:r w:rsidRPr="006131BF">
        <w:rPr>
          <w:sz w:val="24"/>
          <w:szCs w:val="24"/>
        </w:rPr>
        <w:t xml:space="preserve">Von einem Dauerauftrag spricht man, wenn der Bankkunde jeden Monat an einem </w:t>
      </w:r>
      <w:r>
        <w:rPr>
          <w:sz w:val="24"/>
          <w:szCs w:val="24"/>
        </w:rPr>
        <w:t>fixen</w:t>
      </w:r>
      <w:r w:rsidRPr="006131BF">
        <w:rPr>
          <w:sz w:val="24"/>
          <w:szCs w:val="24"/>
        </w:rPr>
        <w:t xml:space="preserve"> Tag einen bestimmten Betrag an eine bestimmte Person oder Firma überweisen lassen möchte. Die Zahlung des monatlichen Betrags wird automatisch vom Bankkonto abgebucht, so dass </w:t>
      </w:r>
      <w:r w:rsidRPr="00CA48BD">
        <w:rPr>
          <w:sz w:val="24"/>
          <w:szCs w:val="24"/>
        </w:rPr>
        <w:t>sich der Kunde nicht jedes Mal Gedanken darüber machen muss.</w:t>
      </w:r>
      <w:r>
        <w:rPr>
          <w:rStyle w:val="Funotenzeichen"/>
          <w:sz w:val="24"/>
          <w:szCs w:val="24"/>
        </w:rPr>
        <w:footnoteReference w:id="65"/>
      </w:r>
    </w:p>
    <w:p w14:paraId="524FA2CB" w14:textId="2C90F3A7" w:rsidR="002757FC" w:rsidRDefault="002757FC" w:rsidP="003A25BC">
      <w:pPr>
        <w:spacing w:after="120"/>
        <w:jc w:val="both"/>
        <w:rPr>
          <w:sz w:val="24"/>
          <w:szCs w:val="24"/>
        </w:rPr>
      </w:pPr>
      <w:r w:rsidRPr="001E78CC">
        <w:rPr>
          <w:sz w:val="24"/>
          <w:szCs w:val="24"/>
        </w:rPr>
        <w:t>Der Dauerauftrag wird im Rahmen eines schriftlichen Vertrages abgeschlossen, so dass alle wichtigen Informationen schwarz auf weiß vorliegen. Wenn der Betrag bereits überwiesen wurde, kann die Bank die Überweisung nicht mehr zurücknehmen, in diesem Fall muss der Bankkunde den Zahlungsempfänger kontaktieren und das Problem klären.</w:t>
      </w:r>
      <w:r>
        <w:rPr>
          <w:rStyle w:val="Funotenzeichen"/>
          <w:sz w:val="24"/>
          <w:szCs w:val="24"/>
        </w:rPr>
        <w:footnoteReference w:id="66"/>
      </w:r>
    </w:p>
    <w:p w14:paraId="5B2DBA2D" w14:textId="310BA722" w:rsidR="002757FC" w:rsidRDefault="002757FC" w:rsidP="003A25BC">
      <w:pPr>
        <w:spacing w:after="120"/>
        <w:jc w:val="both"/>
      </w:pPr>
    </w:p>
    <w:p w14:paraId="4D69AFD4" w14:textId="7687C6A6" w:rsidR="002757FC" w:rsidRDefault="002757FC" w:rsidP="003A25BC">
      <w:pPr>
        <w:spacing w:after="120"/>
        <w:jc w:val="both"/>
        <w:rPr>
          <w:sz w:val="24"/>
          <w:szCs w:val="24"/>
        </w:rPr>
      </w:pPr>
      <w:r>
        <w:rPr>
          <w:sz w:val="24"/>
          <w:szCs w:val="24"/>
        </w:rPr>
        <w:t xml:space="preserve">Bei einem Einziehungsauftrag </w:t>
      </w:r>
      <w:r w:rsidRPr="001E78CC">
        <w:rPr>
          <w:sz w:val="24"/>
          <w:szCs w:val="24"/>
        </w:rPr>
        <w:t>erfolgt ein schriftlicher Vertragsabschluss zwischen der jeweiligen Firma und dem Bankkunden. Die Firma wird ermächtigt, den fälligen Betrag vom Konto des Kunden abzubuchen.</w:t>
      </w:r>
      <w:r>
        <w:rPr>
          <w:rStyle w:val="Funotenzeichen"/>
          <w:sz w:val="24"/>
          <w:szCs w:val="24"/>
        </w:rPr>
        <w:footnoteReference w:id="67"/>
      </w:r>
      <w:r>
        <w:rPr>
          <w:sz w:val="24"/>
          <w:szCs w:val="24"/>
        </w:rPr>
        <w:t xml:space="preserve"> </w:t>
      </w:r>
      <w:r w:rsidRPr="002757FC">
        <w:rPr>
          <w:sz w:val="24"/>
          <w:szCs w:val="24"/>
        </w:rPr>
        <w:t>Wenn nicht genügend Geld auf dem Konto ist, wird kein weiterer Versuch unternommen, den Betrag vom Konto abzubuchen. In diesem Fall erhält der Kunde einen Brief per Post, in dem ein Zahlschein enthalten ist.</w:t>
      </w:r>
      <w:r>
        <w:rPr>
          <w:rStyle w:val="Funotenzeichen"/>
          <w:sz w:val="24"/>
          <w:szCs w:val="24"/>
        </w:rPr>
        <w:footnoteReference w:id="68"/>
      </w:r>
    </w:p>
    <w:p w14:paraId="27178C2F" w14:textId="66C38FC9" w:rsidR="002757FC" w:rsidRPr="002757FC" w:rsidRDefault="002757FC" w:rsidP="003A25BC">
      <w:pPr>
        <w:spacing w:after="120"/>
        <w:jc w:val="both"/>
        <w:rPr>
          <w:sz w:val="24"/>
          <w:szCs w:val="24"/>
        </w:rPr>
      </w:pPr>
      <w:r w:rsidRPr="002757FC">
        <w:rPr>
          <w:sz w:val="24"/>
          <w:szCs w:val="24"/>
        </w:rPr>
        <w:t>Beide Aufträge können sowohl gelöscht als auch geändert werden. Für jede kleine Änderung oder Löschung des Auftrags werden jedoch von den Banken unterschiedliche Gebühren berechnet.</w:t>
      </w:r>
      <w:r>
        <w:rPr>
          <w:rStyle w:val="Funotenzeichen"/>
          <w:sz w:val="24"/>
          <w:szCs w:val="24"/>
        </w:rPr>
        <w:footnoteReference w:id="69"/>
      </w:r>
    </w:p>
    <w:p w14:paraId="75003C89" w14:textId="3194743C" w:rsidR="002757FC" w:rsidRDefault="002757FC" w:rsidP="003A25BC">
      <w:pPr>
        <w:spacing w:after="120"/>
        <w:jc w:val="both"/>
      </w:pPr>
    </w:p>
    <w:p w14:paraId="273BE143" w14:textId="77777777" w:rsidR="007B003F" w:rsidRPr="002757FC" w:rsidRDefault="007B003F" w:rsidP="003A25BC">
      <w:pPr>
        <w:spacing w:after="120"/>
        <w:jc w:val="both"/>
      </w:pPr>
    </w:p>
    <w:p w14:paraId="73475060" w14:textId="224AD6F5" w:rsidR="00641A43" w:rsidRPr="00850FAF" w:rsidRDefault="00641A43" w:rsidP="003A25BC">
      <w:pPr>
        <w:pStyle w:val="berschrift3"/>
        <w:spacing w:after="120"/>
        <w:jc w:val="both"/>
        <w:rPr>
          <w:sz w:val="28"/>
          <w:szCs w:val="24"/>
        </w:rPr>
      </w:pPr>
      <w:bookmarkStart w:id="74" w:name="_Toc73014963"/>
      <w:r w:rsidRPr="00850FAF">
        <w:rPr>
          <w:sz w:val="28"/>
          <w:szCs w:val="24"/>
        </w:rPr>
        <w:lastRenderedPageBreak/>
        <w:t>Die geschätzten Kosten</w:t>
      </w:r>
      <w:bookmarkEnd w:id="74"/>
    </w:p>
    <w:p w14:paraId="127F18B1" w14:textId="77777777" w:rsidR="00664B33" w:rsidRPr="00C11697" w:rsidRDefault="00664B33" w:rsidP="003A25BC">
      <w:pPr>
        <w:spacing w:after="120"/>
        <w:jc w:val="both"/>
        <w:rPr>
          <w:sz w:val="24"/>
          <w:szCs w:val="24"/>
        </w:rPr>
      </w:pPr>
      <w:r>
        <w:rPr>
          <w:sz w:val="24"/>
          <w:szCs w:val="24"/>
        </w:rPr>
        <w:t xml:space="preserve">Die Kosten für die folgende Banken lauten: </w:t>
      </w:r>
    </w:p>
    <w:tbl>
      <w:tblPr>
        <w:tblStyle w:val="Tabellenraster"/>
        <w:tblW w:w="0" w:type="auto"/>
        <w:tblLook w:val="04A0" w:firstRow="1" w:lastRow="0" w:firstColumn="1" w:lastColumn="0" w:noHBand="0" w:noVBand="1"/>
      </w:tblPr>
      <w:tblGrid>
        <w:gridCol w:w="4247"/>
        <w:gridCol w:w="4247"/>
      </w:tblGrid>
      <w:tr w:rsidR="00664B33" w14:paraId="072F84FF" w14:textId="77777777" w:rsidTr="001930FB">
        <w:tc>
          <w:tcPr>
            <w:tcW w:w="4247" w:type="dxa"/>
            <w:shd w:val="clear" w:color="auto" w:fill="B8CCE4" w:themeFill="accent1" w:themeFillTint="66"/>
            <w:vAlign w:val="center"/>
          </w:tcPr>
          <w:p w14:paraId="30E2EC62" w14:textId="77777777" w:rsidR="00664B33" w:rsidRPr="00FB3B3D" w:rsidRDefault="00664B33" w:rsidP="001930FB">
            <w:pPr>
              <w:spacing w:after="120"/>
              <w:jc w:val="center"/>
              <w:rPr>
                <w:b/>
                <w:bCs/>
                <w:sz w:val="24"/>
                <w:szCs w:val="24"/>
              </w:rPr>
            </w:pPr>
            <w:r w:rsidRPr="00FB3B3D">
              <w:rPr>
                <w:b/>
                <w:bCs/>
                <w:sz w:val="24"/>
                <w:szCs w:val="24"/>
              </w:rPr>
              <w:t>Name der Bank</w:t>
            </w:r>
          </w:p>
        </w:tc>
        <w:tc>
          <w:tcPr>
            <w:tcW w:w="4247" w:type="dxa"/>
            <w:shd w:val="clear" w:color="auto" w:fill="B8CCE4" w:themeFill="accent1" w:themeFillTint="66"/>
            <w:vAlign w:val="center"/>
          </w:tcPr>
          <w:p w14:paraId="0C933A48" w14:textId="77777777" w:rsidR="00664B33" w:rsidRPr="00FB3B3D" w:rsidRDefault="00664B33" w:rsidP="001930FB">
            <w:pPr>
              <w:spacing w:after="120"/>
              <w:jc w:val="center"/>
              <w:rPr>
                <w:b/>
                <w:bCs/>
                <w:sz w:val="24"/>
                <w:szCs w:val="24"/>
              </w:rPr>
            </w:pPr>
            <w:r w:rsidRPr="00FB3B3D">
              <w:rPr>
                <w:b/>
                <w:bCs/>
                <w:sz w:val="24"/>
                <w:szCs w:val="24"/>
              </w:rPr>
              <w:t>Höhe de</w:t>
            </w:r>
            <w:r>
              <w:rPr>
                <w:b/>
                <w:bCs/>
                <w:sz w:val="24"/>
                <w:szCs w:val="24"/>
              </w:rPr>
              <w:t>s Entgelts</w:t>
            </w:r>
          </w:p>
        </w:tc>
      </w:tr>
      <w:tr w:rsidR="00664B33" w14:paraId="48831CF9" w14:textId="77777777" w:rsidTr="001930FB">
        <w:tc>
          <w:tcPr>
            <w:tcW w:w="4247" w:type="dxa"/>
            <w:vAlign w:val="center"/>
          </w:tcPr>
          <w:p w14:paraId="450DDDE3" w14:textId="77777777" w:rsidR="00664B33" w:rsidRDefault="00664B33" w:rsidP="001930FB">
            <w:pPr>
              <w:spacing w:after="120"/>
              <w:jc w:val="center"/>
              <w:rPr>
                <w:sz w:val="24"/>
                <w:szCs w:val="24"/>
              </w:rPr>
            </w:pPr>
            <w:r>
              <w:rPr>
                <w:sz w:val="24"/>
                <w:szCs w:val="24"/>
              </w:rPr>
              <w:t>UniCredit Bank Austria</w:t>
            </w:r>
          </w:p>
        </w:tc>
        <w:tc>
          <w:tcPr>
            <w:tcW w:w="4247" w:type="dxa"/>
            <w:vAlign w:val="center"/>
          </w:tcPr>
          <w:p w14:paraId="40063098" w14:textId="21470BCD" w:rsidR="00664B33" w:rsidRDefault="001930FB" w:rsidP="001930FB">
            <w:pPr>
              <w:spacing w:after="120"/>
              <w:jc w:val="center"/>
              <w:rPr>
                <w:sz w:val="24"/>
                <w:szCs w:val="24"/>
              </w:rPr>
            </w:pPr>
            <w:r>
              <w:rPr>
                <w:sz w:val="24"/>
                <w:szCs w:val="24"/>
              </w:rPr>
              <w:t>3,99€</w:t>
            </w:r>
            <w:r w:rsidR="0017725B">
              <w:rPr>
                <w:rStyle w:val="Funotenzeichen"/>
                <w:sz w:val="24"/>
                <w:szCs w:val="24"/>
              </w:rPr>
              <w:footnoteReference w:id="70"/>
            </w:r>
          </w:p>
        </w:tc>
      </w:tr>
      <w:tr w:rsidR="00664B33" w14:paraId="75D31921" w14:textId="77777777" w:rsidTr="001930FB">
        <w:tc>
          <w:tcPr>
            <w:tcW w:w="4247" w:type="dxa"/>
            <w:vAlign w:val="center"/>
          </w:tcPr>
          <w:p w14:paraId="68FB498E" w14:textId="77777777" w:rsidR="00664B33" w:rsidRDefault="00664B33" w:rsidP="001930FB">
            <w:pPr>
              <w:spacing w:after="120"/>
              <w:jc w:val="center"/>
              <w:rPr>
                <w:sz w:val="24"/>
                <w:szCs w:val="24"/>
              </w:rPr>
            </w:pPr>
            <w:r>
              <w:rPr>
                <w:sz w:val="24"/>
                <w:szCs w:val="24"/>
              </w:rPr>
              <w:t>BAWAG PSK</w:t>
            </w:r>
          </w:p>
        </w:tc>
        <w:tc>
          <w:tcPr>
            <w:tcW w:w="4247" w:type="dxa"/>
            <w:vAlign w:val="center"/>
          </w:tcPr>
          <w:p w14:paraId="0B41C945" w14:textId="7CD72D96" w:rsidR="00664B33" w:rsidRDefault="001930FB" w:rsidP="001930FB">
            <w:pPr>
              <w:spacing w:after="120"/>
              <w:jc w:val="center"/>
              <w:rPr>
                <w:sz w:val="24"/>
                <w:szCs w:val="24"/>
              </w:rPr>
            </w:pPr>
            <w:r>
              <w:rPr>
                <w:sz w:val="24"/>
                <w:szCs w:val="24"/>
              </w:rPr>
              <w:t>2,39€</w:t>
            </w:r>
            <w:r w:rsidR="0017725B">
              <w:rPr>
                <w:rStyle w:val="Funotenzeichen"/>
                <w:sz w:val="24"/>
                <w:szCs w:val="24"/>
              </w:rPr>
              <w:footnoteReference w:id="71"/>
            </w:r>
          </w:p>
        </w:tc>
      </w:tr>
      <w:tr w:rsidR="00664B33" w14:paraId="012FFB04" w14:textId="77777777" w:rsidTr="001930FB">
        <w:tc>
          <w:tcPr>
            <w:tcW w:w="4247" w:type="dxa"/>
            <w:vAlign w:val="center"/>
          </w:tcPr>
          <w:p w14:paraId="3E78089D" w14:textId="77777777" w:rsidR="00664B33" w:rsidRDefault="00664B33" w:rsidP="001930FB">
            <w:pPr>
              <w:spacing w:after="120"/>
              <w:jc w:val="center"/>
              <w:rPr>
                <w:sz w:val="24"/>
                <w:szCs w:val="24"/>
              </w:rPr>
            </w:pPr>
            <w:r>
              <w:rPr>
                <w:sz w:val="24"/>
                <w:szCs w:val="24"/>
              </w:rPr>
              <w:t>Erste Bank</w:t>
            </w:r>
          </w:p>
        </w:tc>
        <w:tc>
          <w:tcPr>
            <w:tcW w:w="4247" w:type="dxa"/>
            <w:vAlign w:val="center"/>
          </w:tcPr>
          <w:p w14:paraId="1DEF522B" w14:textId="11F89AAD" w:rsidR="00664B33" w:rsidRDefault="00491A11" w:rsidP="001930FB">
            <w:pPr>
              <w:spacing w:after="120"/>
              <w:jc w:val="center"/>
              <w:rPr>
                <w:sz w:val="24"/>
                <w:szCs w:val="24"/>
              </w:rPr>
            </w:pPr>
            <w:r>
              <w:rPr>
                <w:sz w:val="24"/>
                <w:szCs w:val="24"/>
              </w:rPr>
              <w:t>k</w:t>
            </w:r>
            <w:r w:rsidR="001930FB">
              <w:rPr>
                <w:sz w:val="24"/>
                <w:szCs w:val="24"/>
              </w:rPr>
              <w:t>ostenlos</w:t>
            </w:r>
            <w:r w:rsidR="0017725B">
              <w:rPr>
                <w:rStyle w:val="Funotenzeichen"/>
                <w:sz w:val="24"/>
                <w:szCs w:val="24"/>
              </w:rPr>
              <w:footnoteReference w:id="72"/>
            </w:r>
          </w:p>
        </w:tc>
      </w:tr>
      <w:tr w:rsidR="00664B33" w14:paraId="18E94AD5" w14:textId="77777777" w:rsidTr="001930FB">
        <w:tc>
          <w:tcPr>
            <w:tcW w:w="4247" w:type="dxa"/>
            <w:vAlign w:val="center"/>
          </w:tcPr>
          <w:p w14:paraId="28BD6F31" w14:textId="36A15FE0" w:rsidR="00664B33" w:rsidRDefault="00664B33" w:rsidP="001930FB">
            <w:pPr>
              <w:spacing w:after="120"/>
              <w:jc w:val="center"/>
              <w:rPr>
                <w:sz w:val="24"/>
                <w:szCs w:val="24"/>
              </w:rPr>
            </w:pPr>
            <w:r>
              <w:rPr>
                <w:sz w:val="24"/>
                <w:szCs w:val="24"/>
              </w:rPr>
              <w:t>Raiffeisen</w:t>
            </w:r>
            <w:r w:rsidR="000D2A61">
              <w:rPr>
                <w:sz w:val="24"/>
                <w:szCs w:val="24"/>
              </w:rPr>
              <w:t>bank</w:t>
            </w:r>
          </w:p>
        </w:tc>
        <w:tc>
          <w:tcPr>
            <w:tcW w:w="4247" w:type="dxa"/>
            <w:vAlign w:val="center"/>
          </w:tcPr>
          <w:p w14:paraId="065F8120" w14:textId="343AF6B4" w:rsidR="00664B33" w:rsidRDefault="001930FB" w:rsidP="001930FB">
            <w:pPr>
              <w:spacing w:after="120"/>
              <w:jc w:val="center"/>
              <w:rPr>
                <w:sz w:val="24"/>
                <w:szCs w:val="24"/>
              </w:rPr>
            </w:pPr>
            <w:r>
              <w:rPr>
                <w:sz w:val="24"/>
                <w:szCs w:val="24"/>
              </w:rPr>
              <w:t>2,24€</w:t>
            </w:r>
            <w:r w:rsidR="0017725B">
              <w:rPr>
                <w:rStyle w:val="Funotenzeichen"/>
                <w:sz w:val="24"/>
                <w:szCs w:val="24"/>
              </w:rPr>
              <w:footnoteReference w:id="73"/>
            </w:r>
          </w:p>
        </w:tc>
      </w:tr>
      <w:tr w:rsidR="00664B33" w14:paraId="0BE82169" w14:textId="77777777" w:rsidTr="001930FB">
        <w:tc>
          <w:tcPr>
            <w:tcW w:w="4247" w:type="dxa"/>
            <w:vAlign w:val="center"/>
          </w:tcPr>
          <w:p w14:paraId="48E890ED" w14:textId="77777777" w:rsidR="00664B33" w:rsidRDefault="00664B33" w:rsidP="001930FB">
            <w:pPr>
              <w:spacing w:after="120"/>
              <w:jc w:val="center"/>
              <w:rPr>
                <w:sz w:val="24"/>
                <w:szCs w:val="24"/>
              </w:rPr>
            </w:pPr>
            <w:r>
              <w:rPr>
                <w:sz w:val="24"/>
                <w:szCs w:val="24"/>
              </w:rPr>
              <w:t>Easy Bank</w:t>
            </w:r>
          </w:p>
        </w:tc>
        <w:tc>
          <w:tcPr>
            <w:tcW w:w="4247" w:type="dxa"/>
            <w:vAlign w:val="center"/>
          </w:tcPr>
          <w:p w14:paraId="1D0CB77E" w14:textId="712B89E2" w:rsidR="00664B33" w:rsidRDefault="001930FB" w:rsidP="00E9386E">
            <w:pPr>
              <w:keepNext/>
              <w:spacing w:after="120"/>
              <w:jc w:val="center"/>
              <w:rPr>
                <w:sz w:val="24"/>
                <w:szCs w:val="24"/>
              </w:rPr>
            </w:pPr>
            <w:r>
              <w:rPr>
                <w:sz w:val="24"/>
                <w:szCs w:val="24"/>
              </w:rPr>
              <w:t>kostenlos</w:t>
            </w:r>
            <w:r w:rsidR="0017725B">
              <w:rPr>
                <w:rStyle w:val="Funotenzeichen"/>
                <w:sz w:val="24"/>
                <w:szCs w:val="24"/>
              </w:rPr>
              <w:footnoteReference w:id="74"/>
            </w:r>
          </w:p>
        </w:tc>
      </w:tr>
    </w:tbl>
    <w:p w14:paraId="2C2528A2" w14:textId="5404A35E" w:rsidR="00795ACE" w:rsidRDefault="00E9386E" w:rsidP="00E9386E">
      <w:pPr>
        <w:pStyle w:val="Beschriftung"/>
      </w:pPr>
      <w:bookmarkStart w:id="75" w:name="_Toc72442159"/>
      <w:r>
        <w:t xml:space="preserve">Tabelle </w:t>
      </w:r>
      <w:r w:rsidR="00623D3F">
        <w:fldChar w:fldCharType="begin"/>
      </w:r>
      <w:r w:rsidR="00623D3F">
        <w:instrText xml:space="preserve"> SEQ Tabelle \* ARABIC </w:instrText>
      </w:r>
      <w:r w:rsidR="00623D3F">
        <w:fldChar w:fldCharType="separate"/>
      </w:r>
      <w:r w:rsidR="00670350">
        <w:rPr>
          <w:noProof/>
        </w:rPr>
        <w:t>5</w:t>
      </w:r>
      <w:r w:rsidR="00623D3F">
        <w:rPr>
          <w:noProof/>
        </w:rPr>
        <w:fldChar w:fldCharType="end"/>
      </w:r>
      <w:r>
        <w:t>: Gebühren für die Änderung/Löschung der Aufträge</w:t>
      </w:r>
      <w:bookmarkEnd w:id="75"/>
    </w:p>
    <w:p w14:paraId="01BBF268" w14:textId="77777777" w:rsidR="005866E2" w:rsidRDefault="005866E2" w:rsidP="003A25BC">
      <w:pPr>
        <w:spacing w:after="120"/>
        <w:jc w:val="both"/>
        <w:rPr>
          <w:sz w:val="24"/>
          <w:szCs w:val="24"/>
        </w:rPr>
      </w:pPr>
    </w:p>
    <w:p w14:paraId="189E053A" w14:textId="7A950DFF" w:rsidR="000C647E" w:rsidRDefault="008C5E79" w:rsidP="00E61A3A">
      <w:pPr>
        <w:spacing w:after="120"/>
        <w:jc w:val="both"/>
        <w:rPr>
          <w:sz w:val="24"/>
          <w:szCs w:val="24"/>
        </w:rPr>
      </w:pPr>
      <w:r w:rsidRPr="008C5E79">
        <w:rPr>
          <w:sz w:val="24"/>
          <w:szCs w:val="24"/>
        </w:rPr>
        <w:t>Wenn ein Auftrag geändert oder storniert wird, erstellt die Bank ein Duplikat für den Fall, dass der Kunde die Bestätigung des neuen Auftrags in Zukunft nicht mehr findet.</w:t>
      </w:r>
      <w:r>
        <w:rPr>
          <w:sz w:val="24"/>
          <w:szCs w:val="24"/>
        </w:rPr>
        <w:t xml:space="preserve"> </w:t>
      </w:r>
      <w:r w:rsidR="00664B33" w:rsidRPr="005920F1">
        <w:rPr>
          <w:sz w:val="24"/>
          <w:szCs w:val="24"/>
        </w:rPr>
        <w:t>In diesem Fall fallen Papierkosten von 0,17 € pro Stück an.</w:t>
      </w:r>
    </w:p>
    <w:p w14:paraId="0E125347" w14:textId="200F17E9" w:rsidR="00E61A3A" w:rsidRDefault="00664B33" w:rsidP="00E61A3A">
      <w:pPr>
        <w:spacing w:after="120"/>
        <w:jc w:val="both"/>
        <w:rPr>
          <w:sz w:val="24"/>
          <w:szCs w:val="24"/>
        </w:rPr>
      </w:pPr>
      <w:r w:rsidRPr="00664B33">
        <w:rPr>
          <w:sz w:val="24"/>
          <w:szCs w:val="24"/>
        </w:rPr>
        <w:t>Da es sich bei der Änderung des Auftrags um einen persönlichen 5-minütigen Austausch zwischen Bankmitarbeiter und Bankkunde handelt, werden hier Personalkosten von 1,68€ angenommen. Das Gespräch wird nicht länger als 5 Minuten dauern, da kein neuer Dauerauftrag angelegt wird, sondern nur kleinere Änderungen vorgenommen werden.</w:t>
      </w:r>
      <w:r w:rsidR="00FF54FA">
        <w:rPr>
          <w:sz w:val="24"/>
          <w:szCs w:val="24"/>
        </w:rPr>
        <w:t xml:space="preserve"> </w:t>
      </w:r>
      <w:r w:rsidR="00E61A3A">
        <w:rPr>
          <w:sz w:val="24"/>
          <w:szCs w:val="24"/>
        </w:rPr>
        <w:t xml:space="preserve">Die Gesamtkosten </w:t>
      </w:r>
      <w:r w:rsidR="000A7307">
        <w:rPr>
          <w:sz w:val="24"/>
          <w:szCs w:val="24"/>
        </w:rPr>
        <w:t xml:space="preserve">betragen 1,85€. </w:t>
      </w:r>
    </w:p>
    <w:p w14:paraId="0EB96CF1" w14:textId="77777777" w:rsidR="00727286" w:rsidRDefault="00727286" w:rsidP="00E61A3A">
      <w:pPr>
        <w:spacing w:after="120"/>
        <w:jc w:val="both"/>
        <w:rPr>
          <w:sz w:val="24"/>
          <w:szCs w:val="24"/>
        </w:rPr>
      </w:pPr>
    </w:p>
    <w:p w14:paraId="2DE24F2E" w14:textId="551B2DD0" w:rsidR="00CB06EB" w:rsidRDefault="00CB06EB" w:rsidP="00E61A3A">
      <w:pPr>
        <w:spacing w:after="120"/>
        <w:jc w:val="both"/>
        <w:rPr>
          <w:sz w:val="24"/>
          <w:szCs w:val="24"/>
        </w:rPr>
      </w:pPr>
      <w:r>
        <w:rPr>
          <w:sz w:val="24"/>
          <w:szCs w:val="24"/>
        </w:rPr>
        <w:t>Bis auf die Erste Bank und Easy Bank verrechnen die anderen drei Banken ein Entgelt für die Änderung/Löschung des Auftrages.</w:t>
      </w:r>
      <w:r w:rsidR="00FF54FA">
        <w:rPr>
          <w:sz w:val="24"/>
          <w:szCs w:val="24"/>
        </w:rPr>
        <w:t xml:space="preserve"> </w:t>
      </w:r>
      <w:r w:rsidR="002C7293" w:rsidRPr="002C7293">
        <w:rPr>
          <w:sz w:val="24"/>
          <w:szCs w:val="24"/>
        </w:rPr>
        <w:t>Die obige Berechnung zeigt, dass die anderen Banken wie die Bank Austria, die Raiffeisenbank oder die BAWAG PSK viel zu hohe Gebühren von den Bankkunden verlangen.</w:t>
      </w:r>
    </w:p>
    <w:p w14:paraId="28B0ABDA" w14:textId="77777777" w:rsidR="003C0C80" w:rsidRDefault="003C0C80" w:rsidP="00E61A3A">
      <w:pPr>
        <w:spacing w:after="120"/>
        <w:jc w:val="both"/>
        <w:rPr>
          <w:sz w:val="24"/>
          <w:szCs w:val="24"/>
        </w:rPr>
      </w:pPr>
    </w:p>
    <w:p w14:paraId="62168119" w14:textId="2E591E90" w:rsidR="00664B33" w:rsidRPr="00850FAF" w:rsidRDefault="00C47E3D" w:rsidP="00E61A3A">
      <w:pPr>
        <w:pStyle w:val="berschrift3"/>
        <w:spacing w:after="120"/>
        <w:jc w:val="both"/>
        <w:rPr>
          <w:sz w:val="28"/>
          <w:szCs w:val="24"/>
        </w:rPr>
      </w:pPr>
      <w:bookmarkStart w:id="76" w:name="_Toc73014964"/>
      <w:r w:rsidRPr="00850FAF">
        <w:rPr>
          <w:sz w:val="28"/>
          <w:szCs w:val="24"/>
        </w:rPr>
        <w:lastRenderedPageBreak/>
        <w:t>Nichtdurchführung der Aufträge</w:t>
      </w:r>
      <w:bookmarkEnd w:id="76"/>
      <w:r w:rsidRPr="00850FAF">
        <w:rPr>
          <w:sz w:val="28"/>
          <w:szCs w:val="24"/>
        </w:rPr>
        <w:t xml:space="preserve"> </w:t>
      </w:r>
    </w:p>
    <w:p w14:paraId="2BF65773" w14:textId="7FBF7A4A" w:rsidR="00C47E3D" w:rsidRPr="00850FAF" w:rsidRDefault="00C47E3D" w:rsidP="003A25BC">
      <w:pPr>
        <w:pStyle w:val="berschrift3"/>
        <w:spacing w:after="120"/>
        <w:jc w:val="both"/>
        <w:rPr>
          <w:sz w:val="28"/>
          <w:szCs w:val="24"/>
        </w:rPr>
      </w:pPr>
      <w:bookmarkStart w:id="77" w:name="_Toc73014965"/>
      <w:r w:rsidRPr="00850FAF">
        <w:rPr>
          <w:sz w:val="28"/>
          <w:szCs w:val="24"/>
        </w:rPr>
        <w:t>Überblick</w:t>
      </w:r>
      <w:bookmarkEnd w:id="77"/>
      <w:r w:rsidRPr="00850FAF">
        <w:rPr>
          <w:sz w:val="28"/>
          <w:szCs w:val="24"/>
        </w:rPr>
        <w:t xml:space="preserve"> </w:t>
      </w:r>
    </w:p>
    <w:p w14:paraId="6FC3772C" w14:textId="67C05780" w:rsidR="00CC5A28" w:rsidRDefault="00CC5A28" w:rsidP="003A25BC">
      <w:pPr>
        <w:spacing w:after="120"/>
        <w:jc w:val="both"/>
        <w:rPr>
          <w:sz w:val="24"/>
          <w:szCs w:val="24"/>
        </w:rPr>
      </w:pPr>
      <w:r w:rsidRPr="006A15FA">
        <w:rPr>
          <w:sz w:val="24"/>
          <w:szCs w:val="24"/>
        </w:rPr>
        <w:t>Angenommen, das Konto des Bankkunden ist nicht liquide, so dass der Dauerauftrag oder Einz</w:t>
      </w:r>
      <w:r>
        <w:rPr>
          <w:sz w:val="24"/>
          <w:szCs w:val="24"/>
        </w:rPr>
        <w:t>iehung</w:t>
      </w:r>
      <w:r w:rsidRPr="006A15FA">
        <w:rPr>
          <w:sz w:val="24"/>
          <w:szCs w:val="24"/>
        </w:rPr>
        <w:t>sauftrag nicht abgebucht werden kann, greift die Bank ein und prüft manuell, ob der Auftrag zustande kommt, in dem das Konto überzogen werden kann.</w:t>
      </w:r>
      <w:r>
        <w:rPr>
          <w:rStyle w:val="Funotenzeichen"/>
          <w:sz w:val="24"/>
          <w:szCs w:val="24"/>
        </w:rPr>
        <w:footnoteReference w:id="75"/>
      </w:r>
    </w:p>
    <w:p w14:paraId="1C77DEBC" w14:textId="77777777" w:rsidR="00CC5A28" w:rsidRDefault="00CC5A28" w:rsidP="003A25BC">
      <w:pPr>
        <w:spacing w:after="120"/>
        <w:jc w:val="both"/>
        <w:rPr>
          <w:sz w:val="24"/>
          <w:szCs w:val="24"/>
        </w:rPr>
      </w:pPr>
      <w:r w:rsidRPr="006A15FA">
        <w:rPr>
          <w:sz w:val="24"/>
          <w:szCs w:val="24"/>
        </w:rPr>
        <w:t xml:space="preserve">Kann der Dauerauftrag oder </w:t>
      </w:r>
      <w:r>
        <w:rPr>
          <w:sz w:val="24"/>
          <w:szCs w:val="24"/>
        </w:rPr>
        <w:t>Einziehungsauftrag</w:t>
      </w:r>
      <w:r w:rsidRPr="006A15FA">
        <w:rPr>
          <w:sz w:val="24"/>
          <w:szCs w:val="24"/>
        </w:rPr>
        <w:t xml:space="preserve"> nicht ausgeführt werden, wird der Kunde unverzüglich über das Problem informiert. Diese Information kann auf dem Buchungsbeleg mit den folgenden Angaben erscheinen, so dass der Kunde sie auch schriftlich zur Kenntnis nimmt: </w:t>
      </w:r>
      <w:r>
        <w:rPr>
          <w:sz w:val="24"/>
          <w:szCs w:val="24"/>
        </w:rPr>
        <w:t xml:space="preserve"> </w:t>
      </w:r>
    </w:p>
    <w:p w14:paraId="3DA880E8" w14:textId="77777777" w:rsidR="00CC5A28" w:rsidRDefault="00CC5A28" w:rsidP="003A25BC">
      <w:pPr>
        <w:pStyle w:val="Listenabsatz"/>
        <w:numPr>
          <w:ilvl w:val="0"/>
          <w:numId w:val="40"/>
        </w:numPr>
        <w:spacing w:after="120"/>
        <w:contextualSpacing w:val="0"/>
        <w:rPr>
          <w:sz w:val="24"/>
          <w:szCs w:val="24"/>
        </w:rPr>
      </w:pPr>
      <w:r>
        <w:rPr>
          <w:sz w:val="24"/>
          <w:szCs w:val="24"/>
        </w:rPr>
        <w:t>„Storno Dauerauftrag vom XX.XX.XXXX mangels Deckung“ oder</w:t>
      </w:r>
    </w:p>
    <w:p w14:paraId="5DCFBA68" w14:textId="7350E54D" w:rsidR="000C647E" w:rsidRPr="007B003F" w:rsidRDefault="00CC5A28" w:rsidP="007B003F">
      <w:pPr>
        <w:pStyle w:val="Listenabsatz"/>
        <w:numPr>
          <w:ilvl w:val="0"/>
          <w:numId w:val="40"/>
        </w:numPr>
        <w:spacing w:after="120"/>
        <w:contextualSpacing w:val="0"/>
        <w:rPr>
          <w:sz w:val="24"/>
          <w:szCs w:val="24"/>
        </w:rPr>
      </w:pPr>
      <w:r>
        <w:rPr>
          <w:sz w:val="24"/>
          <w:szCs w:val="24"/>
        </w:rPr>
        <w:t>„Storno Einziehungsauftrag vom XX.XX.XXXX/Rückgabe mangels Deckung“.</w:t>
      </w:r>
      <w:r>
        <w:rPr>
          <w:rStyle w:val="Funotenzeichen"/>
          <w:sz w:val="24"/>
          <w:szCs w:val="24"/>
        </w:rPr>
        <w:footnoteReference w:id="76"/>
      </w:r>
    </w:p>
    <w:p w14:paraId="5BB31274" w14:textId="77777777" w:rsidR="000C647E" w:rsidRPr="00CC5A28" w:rsidRDefault="000C647E" w:rsidP="003A25BC">
      <w:pPr>
        <w:spacing w:after="120"/>
        <w:jc w:val="both"/>
      </w:pPr>
    </w:p>
    <w:p w14:paraId="15638249" w14:textId="29F2DFB4" w:rsidR="00C47E3D" w:rsidRPr="00850FAF" w:rsidRDefault="00C47E3D" w:rsidP="003A25BC">
      <w:pPr>
        <w:pStyle w:val="berschrift3"/>
        <w:spacing w:after="120"/>
        <w:jc w:val="both"/>
        <w:rPr>
          <w:sz w:val="28"/>
          <w:szCs w:val="24"/>
        </w:rPr>
      </w:pPr>
      <w:bookmarkStart w:id="78" w:name="_Toc73014966"/>
      <w:r w:rsidRPr="00850FAF">
        <w:rPr>
          <w:sz w:val="28"/>
          <w:szCs w:val="24"/>
        </w:rPr>
        <w:t>Die geschätzten Kosten</w:t>
      </w:r>
      <w:bookmarkEnd w:id="78"/>
      <w:r w:rsidRPr="00850FAF">
        <w:rPr>
          <w:sz w:val="28"/>
          <w:szCs w:val="24"/>
        </w:rPr>
        <w:t xml:space="preserve"> </w:t>
      </w:r>
    </w:p>
    <w:p w14:paraId="79E0A1B8" w14:textId="77777777" w:rsidR="00CC5A28" w:rsidRPr="00C11697" w:rsidRDefault="00CC5A28" w:rsidP="003A25BC">
      <w:pPr>
        <w:spacing w:after="120"/>
        <w:jc w:val="both"/>
        <w:rPr>
          <w:sz w:val="24"/>
          <w:szCs w:val="24"/>
        </w:rPr>
      </w:pPr>
      <w:r>
        <w:rPr>
          <w:sz w:val="24"/>
          <w:szCs w:val="24"/>
        </w:rPr>
        <w:t xml:space="preserve">Die Kosten für die folgende Banken lauten: </w:t>
      </w:r>
    </w:p>
    <w:tbl>
      <w:tblPr>
        <w:tblStyle w:val="Tabellenraster"/>
        <w:tblW w:w="0" w:type="auto"/>
        <w:tblLook w:val="04A0" w:firstRow="1" w:lastRow="0" w:firstColumn="1" w:lastColumn="0" w:noHBand="0" w:noVBand="1"/>
      </w:tblPr>
      <w:tblGrid>
        <w:gridCol w:w="4247"/>
        <w:gridCol w:w="4247"/>
      </w:tblGrid>
      <w:tr w:rsidR="00CC5A28" w14:paraId="7BA79AB0" w14:textId="77777777" w:rsidTr="002F18A9">
        <w:tc>
          <w:tcPr>
            <w:tcW w:w="4247" w:type="dxa"/>
            <w:shd w:val="clear" w:color="auto" w:fill="B8CCE4" w:themeFill="accent1" w:themeFillTint="66"/>
            <w:vAlign w:val="center"/>
          </w:tcPr>
          <w:p w14:paraId="39A91C1C" w14:textId="77777777" w:rsidR="00CC5A28" w:rsidRPr="00FB3B3D" w:rsidRDefault="00CC5A28" w:rsidP="003A25BC">
            <w:pPr>
              <w:spacing w:after="120"/>
              <w:jc w:val="center"/>
              <w:rPr>
                <w:b/>
                <w:bCs/>
                <w:sz w:val="24"/>
                <w:szCs w:val="24"/>
              </w:rPr>
            </w:pPr>
            <w:r w:rsidRPr="00FB3B3D">
              <w:rPr>
                <w:b/>
                <w:bCs/>
                <w:sz w:val="24"/>
                <w:szCs w:val="24"/>
              </w:rPr>
              <w:t>Name der Bank</w:t>
            </w:r>
          </w:p>
        </w:tc>
        <w:tc>
          <w:tcPr>
            <w:tcW w:w="4247" w:type="dxa"/>
            <w:shd w:val="clear" w:color="auto" w:fill="B8CCE4" w:themeFill="accent1" w:themeFillTint="66"/>
            <w:vAlign w:val="center"/>
          </w:tcPr>
          <w:p w14:paraId="27A83936" w14:textId="77777777" w:rsidR="00CC5A28" w:rsidRPr="00FB3B3D" w:rsidRDefault="00CC5A28" w:rsidP="003A25BC">
            <w:pPr>
              <w:spacing w:after="120"/>
              <w:jc w:val="center"/>
              <w:rPr>
                <w:b/>
                <w:bCs/>
                <w:sz w:val="24"/>
                <w:szCs w:val="24"/>
              </w:rPr>
            </w:pPr>
            <w:r w:rsidRPr="00FB3B3D">
              <w:rPr>
                <w:b/>
                <w:bCs/>
                <w:sz w:val="24"/>
                <w:szCs w:val="24"/>
              </w:rPr>
              <w:t>Höhe de</w:t>
            </w:r>
            <w:r>
              <w:rPr>
                <w:b/>
                <w:bCs/>
                <w:sz w:val="24"/>
                <w:szCs w:val="24"/>
              </w:rPr>
              <w:t>s Entgelts</w:t>
            </w:r>
          </w:p>
        </w:tc>
      </w:tr>
      <w:tr w:rsidR="00CC5A28" w14:paraId="632393EB" w14:textId="77777777" w:rsidTr="002F18A9">
        <w:tc>
          <w:tcPr>
            <w:tcW w:w="4247" w:type="dxa"/>
            <w:vAlign w:val="center"/>
          </w:tcPr>
          <w:p w14:paraId="67E65C7A" w14:textId="77777777" w:rsidR="00CC5A28" w:rsidRDefault="00CC5A28" w:rsidP="003A25BC">
            <w:pPr>
              <w:spacing w:after="120"/>
              <w:jc w:val="center"/>
              <w:rPr>
                <w:sz w:val="24"/>
                <w:szCs w:val="24"/>
              </w:rPr>
            </w:pPr>
            <w:r>
              <w:rPr>
                <w:sz w:val="24"/>
                <w:szCs w:val="24"/>
              </w:rPr>
              <w:t>UniCredit Bank Austria</w:t>
            </w:r>
          </w:p>
        </w:tc>
        <w:tc>
          <w:tcPr>
            <w:tcW w:w="4247" w:type="dxa"/>
            <w:vAlign w:val="center"/>
          </w:tcPr>
          <w:p w14:paraId="0B76AEFB" w14:textId="7C2DD5D3" w:rsidR="00CC5A28" w:rsidRDefault="001930FB" w:rsidP="003A25BC">
            <w:pPr>
              <w:spacing w:after="120"/>
              <w:jc w:val="center"/>
              <w:rPr>
                <w:sz w:val="24"/>
                <w:szCs w:val="24"/>
              </w:rPr>
            </w:pPr>
            <w:r>
              <w:rPr>
                <w:sz w:val="24"/>
                <w:szCs w:val="24"/>
              </w:rPr>
              <w:t>8,</w:t>
            </w:r>
            <w:r w:rsidR="00B20634">
              <w:rPr>
                <w:sz w:val="24"/>
                <w:szCs w:val="24"/>
              </w:rPr>
              <w:t>5</w:t>
            </w:r>
            <w:r>
              <w:rPr>
                <w:sz w:val="24"/>
                <w:szCs w:val="24"/>
              </w:rPr>
              <w:t>0€</w:t>
            </w:r>
            <w:r w:rsidR="00916FE9">
              <w:rPr>
                <w:rStyle w:val="Funotenzeichen"/>
                <w:sz w:val="24"/>
                <w:szCs w:val="24"/>
              </w:rPr>
              <w:footnoteReference w:id="77"/>
            </w:r>
          </w:p>
        </w:tc>
      </w:tr>
      <w:tr w:rsidR="00CC5A28" w14:paraId="382158CB" w14:textId="77777777" w:rsidTr="002F18A9">
        <w:tc>
          <w:tcPr>
            <w:tcW w:w="4247" w:type="dxa"/>
            <w:vAlign w:val="center"/>
          </w:tcPr>
          <w:p w14:paraId="66EE9C2C" w14:textId="77777777" w:rsidR="00CC5A28" w:rsidRDefault="00CC5A28" w:rsidP="003A25BC">
            <w:pPr>
              <w:spacing w:after="120"/>
              <w:jc w:val="center"/>
              <w:rPr>
                <w:sz w:val="24"/>
                <w:szCs w:val="24"/>
              </w:rPr>
            </w:pPr>
            <w:r>
              <w:rPr>
                <w:sz w:val="24"/>
                <w:szCs w:val="24"/>
              </w:rPr>
              <w:t>BAWAG PSK</w:t>
            </w:r>
          </w:p>
        </w:tc>
        <w:tc>
          <w:tcPr>
            <w:tcW w:w="4247" w:type="dxa"/>
            <w:vAlign w:val="center"/>
          </w:tcPr>
          <w:p w14:paraId="6AEA4336" w14:textId="79454C16" w:rsidR="00CC5A28" w:rsidRDefault="001930FB" w:rsidP="003A25BC">
            <w:pPr>
              <w:spacing w:after="120"/>
              <w:jc w:val="center"/>
              <w:rPr>
                <w:sz w:val="24"/>
                <w:szCs w:val="24"/>
              </w:rPr>
            </w:pPr>
            <w:r>
              <w:rPr>
                <w:sz w:val="24"/>
                <w:szCs w:val="24"/>
              </w:rPr>
              <w:t>7,50€</w:t>
            </w:r>
            <w:r w:rsidR="00916FE9">
              <w:rPr>
                <w:rStyle w:val="Funotenzeichen"/>
                <w:sz w:val="24"/>
                <w:szCs w:val="24"/>
              </w:rPr>
              <w:footnoteReference w:id="78"/>
            </w:r>
          </w:p>
        </w:tc>
      </w:tr>
      <w:tr w:rsidR="00CC5A28" w14:paraId="6120C3FA" w14:textId="77777777" w:rsidTr="002F18A9">
        <w:tc>
          <w:tcPr>
            <w:tcW w:w="4247" w:type="dxa"/>
            <w:vAlign w:val="center"/>
          </w:tcPr>
          <w:p w14:paraId="7258260E" w14:textId="77777777" w:rsidR="00CC5A28" w:rsidRDefault="00CC5A28" w:rsidP="003A25BC">
            <w:pPr>
              <w:spacing w:after="120"/>
              <w:jc w:val="center"/>
              <w:rPr>
                <w:sz w:val="24"/>
                <w:szCs w:val="24"/>
              </w:rPr>
            </w:pPr>
            <w:r>
              <w:rPr>
                <w:sz w:val="24"/>
                <w:szCs w:val="24"/>
              </w:rPr>
              <w:t>Erste Bank</w:t>
            </w:r>
          </w:p>
        </w:tc>
        <w:tc>
          <w:tcPr>
            <w:tcW w:w="4247" w:type="dxa"/>
            <w:vAlign w:val="center"/>
          </w:tcPr>
          <w:p w14:paraId="3AB8DDC6" w14:textId="3B2C68F5" w:rsidR="00CC5A28" w:rsidRDefault="001930FB" w:rsidP="003A25BC">
            <w:pPr>
              <w:spacing w:after="120"/>
              <w:jc w:val="center"/>
              <w:rPr>
                <w:sz w:val="24"/>
                <w:szCs w:val="24"/>
              </w:rPr>
            </w:pPr>
            <w:r>
              <w:rPr>
                <w:sz w:val="24"/>
                <w:szCs w:val="24"/>
              </w:rPr>
              <w:t>5,88€</w:t>
            </w:r>
            <w:r w:rsidR="00916FE9">
              <w:rPr>
                <w:rStyle w:val="Funotenzeichen"/>
                <w:sz w:val="24"/>
                <w:szCs w:val="24"/>
              </w:rPr>
              <w:footnoteReference w:id="79"/>
            </w:r>
          </w:p>
        </w:tc>
      </w:tr>
      <w:tr w:rsidR="00CC5A28" w14:paraId="2ACD1040" w14:textId="77777777" w:rsidTr="002F18A9">
        <w:tc>
          <w:tcPr>
            <w:tcW w:w="4247" w:type="dxa"/>
            <w:vAlign w:val="center"/>
          </w:tcPr>
          <w:p w14:paraId="410B3FDD" w14:textId="25131D3F" w:rsidR="00CC5A28" w:rsidRDefault="00CC5A28" w:rsidP="003A25BC">
            <w:pPr>
              <w:spacing w:after="120"/>
              <w:jc w:val="center"/>
              <w:rPr>
                <w:sz w:val="24"/>
                <w:szCs w:val="24"/>
              </w:rPr>
            </w:pPr>
            <w:r>
              <w:rPr>
                <w:sz w:val="24"/>
                <w:szCs w:val="24"/>
              </w:rPr>
              <w:t>Raiffeisen</w:t>
            </w:r>
            <w:r w:rsidR="009D1F27">
              <w:rPr>
                <w:sz w:val="24"/>
                <w:szCs w:val="24"/>
              </w:rPr>
              <w:t>bank</w:t>
            </w:r>
          </w:p>
        </w:tc>
        <w:tc>
          <w:tcPr>
            <w:tcW w:w="4247" w:type="dxa"/>
            <w:vAlign w:val="center"/>
          </w:tcPr>
          <w:p w14:paraId="679DC64B" w14:textId="6A15F224" w:rsidR="00CC5A28" w:rsidRDefault="001930FB" w:rsidP="003A25BC">
            <w:pPr>
              <w:spacing w:after="120"/>
              <w:jc w:val="center"/>
              <w:rPr>
                <w:sz w:val="24"/>
                <w:szCs w:val="24"/>
              </w:rPr>
            </w:pPr>
            <w:r>
              <w:rPr>
                <w:sz w:val="24"/>
                <w:szCs w:val="24"/>
              </w:rPr>
              <w:t>6,23€</w:t>
            </w:r>
            <w:r w:rsidR="00916FE9">
              <w:rPr>
                <w:rStyle w:val="Funotenzeichen"/>
                <w:sz w:val="24"/>
                <w:szCs w:val="24"/>
              </w:rPr>
              <w:footnoteReference w:id="80"/>
            </w:r>
          </w:p>
        </w:tc>
      </w:tr>
      <w:tr w:rsidR="00CC5A28" w14:paraId="7CB4333D" w14:textId="77777777" w:rsidTr="002F18A9">
        <w:tc>
          <w:tcPr>
            <w:tcW w:w="4247" w:type="dxa"/>
            <w:vAlign w:val="center"/>
          </w:tcPr>
          <w:p w14:paraId="17F53B66" w14:textId="77777777" w:rsidR="00CC5A28" w:rsidRDefault="00CC5A28" w:rsidP="003A25BC">
            <w:pPr>
              <w:spacing w:after="120"/>
              <w:jc w:val="center"/>
              <w:rPr>
                <w:sz w:val="24"/>
                <w:szCs w:val="24"/>
              </w:rPr>
            </w:pPr>
            <w:r>
              <w:rPr>
                <w:sz w:val="24"/>
                <w:szCs w:val="24"/>
              </w:rPr>
              <w:t>Easy Bank</w:t>
            </w:r>
          </w:p>
        </w:tc>
        <w:tc>
          <w:tcPr>
            <w:tcW w:w="4247" w:type="dxa"/>
            <w:vAlign w:val="center"/>
          </w:tcPr>
          <w:p w14:paraId="35F46ADB" w14:textId="05AA3548" w:rsidR="00CC5A28" w:rsidRDefault="001930FB" w:rsidP="00E9386E">
            <w:pPr>
              <w:keepNext/>
              <w:spacing w:after="120"/>
              <w:jc w:val="center"/>
              <w:rPr>
                <w:sz w:val="24"/>
                <w:szCs w:val="24"/>
              </w:rPr>
            </w:pPr>
            <w:r>
              <w:rPr>
                <w:sz w:val="24"/>
                <w:szCs w:val="24"/>
              </w:rPr>
              <w:t>6,90€</w:t>
            </w:r>
            <w:r w:rsidR="00916FE9">
              <w:rPr>
                <w:rStyle w:val="Funotenzeichen"/>
                <w:sz w:val="24"/>
                <w:szCs w:val="24"/>
              </w:rPr>
              <w:footnoteReference w:id="81"/>
            </w:r>
          </w:p>
        </w:tc>
      </w:tr>
    </w:tbl>
    <w:p w14:paraId="15029087" w14:textId="603D9665" w:rsidR="00F26922" w:rsidRPr="007B003F" w:rsidRDefault="00E9386E" w:rsidP="007B003F">
      <w:pPr>
        <w:pStyle w:val="Beschriftung"/>
      </w:pPr>
      <w:bookmarkStart w:id="79" w:name="_Toc72442160"/>
      <w:r>
        <w:t xml:space="preserve">Tabelle </w:t>
      </w:r>
      <w:r w:rsidR="00623D3F">
        <w:fldChar w:fldCharType="begin"/>
      </w:r>
      <w:r w:rsidR="00623D3F">
        <w:instrText xml:space="preserve"> SEQ Tabelle \* ARABIC </w:instrText>
      </w:r>
      <w:r w:rsidR="00623D3F">
        <w:fldChar w:fldCharType="separate"/>
      </w:r>
      <w:r w:rsidR="00670350">
        <w:rPr>
          <w:noProof/>
        </w:rPr>
        <w:t>6</w:t>
      </w:r>
      <w:r w:rsidR="00623D3F">
        <w:rPr>
          <w:noProof/>
        </w:rPr>
        <w:fldChar w:fldCharType="end"/>
      </w:r>
      <w:r>
        <w:t>: Gebühren für Nichtdurchführung</w:t>
      </w:r>
      <w:bookmarkEnd w:id="79"/>
    </w:p>
    <w:p w14:paraId="3CED73DF" w14:textId="7C2AE791" w:rsidR="00663624" w:rsidRDefault="00663624" w:rsidP="003A25BC">
      <w:pPr>
        <w:spacing w:after="120"/>
        <w:jc w:val="both"/>
        <w:rPr>
          <w:sz w:val="24"/>
          <w:szCs w:val="24"/>
        </w:rPr>
      </w:pPr>
      <w:r w:rsidRPr="002B42AB">
        <w:rPr>
          <w:sz w:val="24"/>
          <w:szCs w:val="24"/>
        </w:rPr>
        <w:lastRenderedPageBreak/>
        <w:t>Bei der manuellen Prüfung des Auftrags kommt es zu Personalkosten. Es ist jedoch nicht einfach zu sagen, wie viele Minuten die Bankmitarbeiter für jede Suche benötigen. Außerdem müssen sie bei komplexen Fällen ihre Abteilungsleiter kontaktieren. Wenn eine Buchung storniert wird, fallen wenige Cent an, da die Arbeit sehr schnell und einfach erledigt werden kann.</w:t>
      </w:r>
      <w:r>
        <w:rPr>
          <w:rStyle w:val="Funotenzeichen"/>
          <w:sz w:val="24"/>
          <w:szCs w:val="24"/>
        </w:rPr>
        <w:footnoteReference w:id="82"/>
      </w:r>
    </w:p>
    <w:p w14:paraId="533ADB7D" w14:textId="77777777" w:rsidR="00A0133C" w:rsidRPr="00795ACE" w:rsidRDefault="00A0133C" w:rsidP="003A25BC">
      <w:pPr>
        <w:spacing w:after="120"/>
        <w:jc w:val="both"/>
      </w:pPr>
    </w:p>
    <w:p w14:paraId="7F1D4B87" w14:textId="2ABFDD8E" w:rsidR="00003802" w:rsidRPr="00850FAF" w:rsidRDefault="00121560" w:rsidP="003A25BC">
      <w:pPr>
        <w:pStyle w:val="berschrift2"/>
        <w:spacing w:after="120"/>
        <w:jc w:val="both"/>
        <w:rPr>
          <w:sz w:val="32"/>
          <w:szCs w:val="28"/>
        </w:rPr>
      </w:pPr>
      <w:bookmarkStart w:id="80" w:name="_Toc73014967"/>
      <w:r w:rsidRPr="00850FAF">
        <w:rPr>
          <w:sz w:val="32"/>
          <w:szCs w:val="28"/>
        </w:rPr>
        <w:t>Gebühren für Bankkarte</w:t>
      </w:r>
      <w:bookmarkEnd w:id="80"/>
      <w:r w:rsidRPr="00850FAF">
        <w:rPr>
          <w:sz w:val="32"/>
          <w:szCs w:val="28"/>
        </w:rPr>
        <w:t xml:space="preserve"> </w:t>
      </w:r>
    </w:p>
    <w:p w14:paraId="1DA35705" w14:textId="54E66C25" w:rsidR="00A90ECB" w:rsidRPr="00850FAF" w:rsidRDefault="00A90ECB" w:rsidP="003A25BC">
      <w:pPr>
        <w:pStyle w:val="berschrift3"/>
        <w:spacing w:after="120"/>
        <w:jc w:val="both"/>
        <w:rPr>
          <w:sz w:val="28"/>
          <w:szCs w:val="24"/>
        </w:rPr>
      </w:pPr>
      <w:bookmarkStart w:id="81" w:name="_Toc73014968"/>
      <w:r w:rsidRPr="00850FAF">
        <w:rPr>
          <w:sz w:val="28"/>
          <w:szCs w:val="24"/>
        </w:rPr>
        <w:t>Nachbestellung einer Karte</w:t>
      </w:r>
      <w:bookmarkEnd w:id="81"/>
      <w:r w:rsidRPr="00850FAF">
        <w:rPr>
          <w:sz w:val="28"/>
          <w:szCs w:val="24"/>
        </w:rPr>
        <w:t xml:space="preserve"> </w:t>
      </w:r>
    </w:p>
    <w:p w14:paraId="0B077B15" w14:textId="068DA1EC" w:rsidR="00641A43" w:rsidRPr="00850FAF" w:rsidRDefault="00641A43" w:rsidP="003A25BC">
      <w:pPr>
        <w:pStyle w:val="berschrift3"/>
        <w:spacing w:after="120"/>
        <w:jc w:val="both"/>
        <w:rPr>
          <w:sz w:val="28"/>
          <w:szCs w:val="24"/>
        </w:rPr>
      </w:pPr>
      <w:bookmarkStart w:id="82" w:name="_Toc73014969"/>
      <w:r w:rsidRPr="00850FAF">
        <w:rPr>
          <w:sz w:val="28"/>
          <w:szCs w:val="24"/>
        </w:rPr>
        <w:t>Überblick</w:t>
      </w:r>
      <w:bookmarkEnd w:id="82"/>
      <w:r w:rsidRPr="00850FAF">
        <w:rPr>
          <w:sz w:val="28"/>
          <w:szCs w:val="24"/>
        </w:rPr>
        <w:t xml:space="preserve"> </w:t>
      </w:r>
    </w:p>
    <w:p w14:paraId="79DCB18F" w14:textId="55C7042C" w:rsidR="00AF663F" w:rsidRPr="00F82BA4" w:rsidRDefault="00AF663F" w:rsidP="00AF663F">
      <w:pPr>
        <w:spacing w:after="120"/>
        <w:jc w:val="both"/>
        <w:rPr>
          <w:sz w:val="24"/>
          <w:szCs w:val="24"/>
        </w:rPr>
      </w:pPr>
      <w:r w:rsidRPr="00F82BA4">
        <w:rPr>
          <w:sz w:val="24"/>
          <w:szCs w:val="24"/>
        </w:rPr>
        <w:t>Eine Bankkarte ist eine Plastikkarte, die mit dem Logo und dem Namen der Bank versehen ist. In den meisten Fällen enthält die Vorderseite der Karte einen Chip und die Rückseite der Karte einen Magnetstreifen. Wenn die Karte keine Zahlungsfunktion hat, bedeutet das, dass sie nur zum Abheben von Geld, zum Einzahlen von Geld oder zum Drucken von Kontoauszügen verwendet werden kann. Heutzutage sind Bankkarten ohne Zahlungsfunktion nur noch sehr selten zu finden.</w:t>
      </w:r>
      <w:r>
        <w:rPr>
          <w:rStyle w:val="Funotenzeichen"/>
          <w:sz w:val="24"/>
          <w:szCs w:val="24"/>
        </w:rPr>
        <w:footnoteReference w:id="83"/>
      </w:r>
    </w:p>
    <w:p w14:paraId="2294B516" w14:textId="4A177F14" w:rsidR="00AF663F" w:rsidRDefault="00AF663F" w:rsidP="00AF663F">
      <w:pPr>
        <w:spacing w:after="120"/>
        <w:jc w:val="both"/>
        <w:rPr>
          <w:sz w:val="24"/>
          <w:szCs w:val="24"/>
        </w:rPr>
      </w:pPr>
      <w:r w:rsidRPr="00F82BA4">
        <w:rPr>
          <w:sz w:val="24"/>
          <w:szCs w:val="24"/>
        </w:rPr>
        <w:t xml:space="preserve">Mit einer Karte mit Zahlungsfunktion kann der Bankkunde viele Aktivitäten durchführen. </w:t>
      </w:r>
      <w:r w:rsidR="00A54CA4" w:rsidRPr="00A54CA4">
        <w:rPr>
          <w:sz w:val="24"/>
          <w:szCs w:val="24"/>
        </w:rPr>
        <w:t>Er kann z.B. in einem Geschäft einkaufen gehen und die ausgewählten Waren mit der Karte bezahlen</w:t>
      </w:r>
      <w:r w:rsidRPr="00F82BA4">
        <w:rPr>
          <w:sz w:val="24"/>
          <w:szCs w:val="24"/>
        </w:rPr>
        <w:t>.</w:t>
      </w:r>
      <w:r>
        <w:rPr>
          <w:rStyle w:val="Funotenzeichen"/>
          <w:sz w:val="24"/>
          <w:szCs w:val="24"/>
        </w:rPr>
        <w:footnoteReference w:id="84"/>
      </w:r>
    </w:p>
    <w:p w14:paraId="02899EB3" w14:textId="7F3446FF" w:rsidR="00A0133C" w:rsidRDefault="00A0133C" w:rsidP="00AF663F">
      <w:pPr>
        <w:spacing w:after="120"/>
        <w:jc w:val="both"/>
      </w:pPr>
    </w:p>
    <w:p w14:paraId="4A64A854" w14:textId="77777777" w:rsidR="00AF663F" w:rsidRDefault="00AF663F" w:rsidP="00AF663F">
      <w:pPr>
        <w:spacing w:after="120"/>
        <w:jc w:val="both"/>
        <w:rPr>
          <w:sz w:val="24"/>
          <w:szCs w:val="24"/>
        </w:rPr>
      </w:pPr>
      <w:r>
        <w:rPr>
          <w:sz w:val="24"/>
          <w:szCs w:val="24"/>
        </w:rPr>
        <w:t xml:space="preserve">Eine neue Bankkarte kann in den folgenden Situationen ausgestellt werden: </w:t>
      </w:r>
    </w:p>
    <w:p w14:paraId="129A882B" w14:textId="77777777" w:rsidR="00AF663F" w:rsidRDefault="00AF663F" w:rsidP="00AF663F">
      <w:pPr>
        <w:pStyle w:val="Listenabsatz"/>
        <w:numPr>
          <w:ilvl w:val="0"/>
          <w:numId w:val="43"/>
        </w:numPr>
        <w:spacing w:after="120"/>
        <w:jc w:val="both"/>
        <w:rPr>
          <w:sz w:val="24"/>
          <w:szCs w:val="24"/>
        </w:rPr>
      </w:pPr>
      <w:r>
        <w:rPr>
          <w:sz w:val="24"/>
          <w:szCs w:val="24"/>
        </w:rPr>
        <w:t>Wenn der Bankkunde heiratet und dadurch einen neuen Nachnamen bekommt.</w:t>
      </w:r>
    </w:p>
    <w:p w14:paraId="4D669171" w14:textId="77777777" w:rsidR="00AF663F" w:rsidRDefault="00AF663F" w:rsidP="00AF663F">
      <w:pPr>
        <w:pStyle w:val="Listenabsatz"/>
        <w:numPr>
          <w:ilvl w:val="0"/>
          <w:numId w:val="43"/>
        </w:numPr>
        <w:spacing w:after="120"/>
        <w:jc w:val="both"/>
        <w:rPr>
          <w:sz w:val="24"/>
          <w:szCs w:val="24"/>
        </w:rPr>
      </w:pPr>
      <w:r>
        <w:rPr>
          <w:sz w:val="24"/>
          <w:szCs w:val="24"/>
        </w:rPr>
        <w:t>Wenn die Bankkarte nicht mehr funktioniert.</w:t>
      </w:r>
    </w:p>
    <w:p w14:paraId="72E68240" w14:textId="02730C71" w:rsidR="00AF663F" w:rsidRPr="001D7101" w:rsidRDefault="00AF663F" w:rsidP="00AF663F">
      <w:pPr>
        <w:pStyle w:val="Listenabsatz"/>
        <w:numPr>
          <w:ilvl w:val="0"/>
          <w:numId w:val="43"/>
        </w:numPr>
        <w:spacing w:after="120"/>
        <w:jc w:val="both"/>
        <w:rPr>
          <w:sz w:val="24"/>
          <w:szCs w:val="24"/>
        </w:rPr>
      </w:pPr>
      <w:r>
        <w:rPr>
          <w:sz w:val="24"/>
          <w:szCs w:val="24"/>
        </w:rPr>
        <w:t>Wenn die Bankkarte gestohlen wurde oder verloren gegangen ist.</w:t>
      </w:r>
      <w:r>
        <w:rPr>
          <w:rStyle w:val="Funotenzeichen"/>
          <w:sz w:val="24"/>
          <w:szCs w:val="24"/>
        </w:rPr>
        <w:footnoteReference w:id="85"/>
      </w:r>
    </w:p>
    <w:p w14:paraId="23FC5F47" w14:textId="77777777" w:rsidR="00AF663F" w:rsidRDefault="00AF663F" w:rsidP="00AF663F">
      <w:pPr>
        <w:spacing w:after="120"/>
        <w:jc w:val="both"/>
        <w:rPr>
          <w:sz w:val="24"/>
          <w:szCs w:val="24"/>
        </w:rPr>
      </w:pPr>
    </w:p>
    <w:p w14:paraId="101FC82A" w14:textId="3E0C9AEF" w:rsidR="00AF663F" w:rsidRPr="00924FB9" w:rsidRDefault="00AF663F" w:rsidP="00AF663F">
      <w:pPr>
        <w:spacing w:after="120"/>
        <w:jc w:val="both"/>
        <w:rPr>
          <w:sz w:val="24"/>
          <w:szCs w:val="24"/>
        </w:rPr>
      </w:pPr>
      <w:r>
        <w:rPr>
          <w:sz w:val="24"/>
          <w:szCs w:val="24"/>
        </w:rPr>
        <w:lastRenderedPageBreak/>
        <w:t xml:space="preserve">Bevor eine Karte nachbestellt wird, muss der Bankangestellte die Identität des Kunden überprüfen. </w:t>
      </w:r>
      <w:r w:rsidRPr="001D7101">
        <w:rPr>
          <w:sz w:val="24"/>
          <w:szCs w:val="24"/>
        </w:rPr>
        <w:t>Der Versand der Karte erfolgt per Post und kann ein bis zwei Wochen dauern.</w:t>
      </w:r>
      <w:r>
        <w:rPr>
          <w:rStyle w:val="Funotenzeichen"/>
          <w:sz w:val="24"/>
          <w:szCs w:val="24"/>
        </w:rPr>
        <w:footnoteReference w:id="86"/>
      </w:r>
    </w:p>
    <w:p w14:paraId="1394B15B" w14:textId="77777777" w:rsidR="00AF663F" w:rsidRPr="00A0133C" w:rsidRDefault="00AF663F" w:rsidP="00A0133C"/>
    <w:p w14:paraId="47D5438B" w14:textId="231E63B0" w:rsidR="00A0133C" w:rsidRPr="00850FAF" w:rsidRDefault="00641A43" w:rsidP="00A0133C">
      <w:pPr>
        <w:pStyle w:val="berschrift3"/>
        <w:spacing w:after="120"/>
        <w:jc w:val="both"/>
        <w:rPr>
          <w:sz w:val="28"/>
          <w:szCs w:val="24"/>
        </w:rPr>
      </w:pPr>
      <w:bookmarkStart w:id="83" w:name="_Toc73014970"/>
      <w:r w:rsidRPr="00850FAF">
        <w:rPr>
          <w:sz w:val="28"/>
          <w:szCs w:val="24"/>
        </w:rPr>
        <w:t>Die geschätzten Kosten</w:t>
      </w:r>
      <w:bookmarkEnd w:id="83"/>
    </w:p>
    <w:p w14:paraId="2A14EE57" w14:textId="77777777" w:rsidR="00AF663F" w:rsidRPr="00C11697" w:rsidRDefault="00AF663F" w:rsidP="00AF663F">
      <w:pPr>
        <w:rPr>
          <w:sz w:val="24"/>
          <w:szCs w:val="24"/>
        </w:rPr>
      </w:pPr>
      <w:r>
        <w:rPr>
          <w:sz w:val="24"/>
          <w:szCs w:val="24"/>
        </w:rPr>
        <w:t xml:space="preserve">Die Kosten für die folgende Banken lauten: </w:t>
      </w:r>
    </w:p>
    <w:tbl>
      <w:tblPr>
        <w:tblStyle w:val="Tabellenraster"/>
        <w:tblW w:w="0" w:type="auto"/>
        <w:tblLook w:val="04A0" w:firstRow="1" w:lastRow="0" w:firstColumn="1" w:lastColumn="0" w:noHBand="0" w:noVBand="1"/>
      </w:tblPr>
      <w:tblGrid>
        <w:gridCol w:w="4247"/>
        <w:gridCol w:w="4247"/>
      </w:tblGrid>
      <w:tr w:rsidR="00AF663F" w14:paraId="188FC790" w14:textId="77777777" w:rsidTr="002F18A9">
        <w:tc>
          <w:tcPr>
            <w:tcW w:w="4247" w:type="dxa"/>
            <w:shd w:val="clear" w:color="auto" w:fill="B8CCE4" w:themeFill="accent1" w:themeFillTint="66"/>
            <w:vAlign w:val="center"/>
          </w:tcPr>
          <w:p w14:paraId="000844C5" w14:textId="77777777" w:rsidR="00AF663F" w:rsidRPr="00FB3B3D" w:rsidRDefault="00AF663F" w:rsidP="002F18A9">
            <w:pPr>
              <w:jc w:val="center"/>
              <w:rPr>
                <w:b/>
                <w:bCs/>
                <w:sz w:val="24"/>
                <w:szCs w:val="24"/>
              </w:rPr>
            </w:pPr>
            <w:r w:rsidRPr="00FB3B3D">
              <w:rPr>
                <w:b/>
                <w:bCs/>
                <w:sz w:val="24"/>
                <w:szCs w:val="24"/>
              </w:rPr>
              <w:t>Name der Bank</w:t>
            </w:r>
          </w:p>
        </w:tc>
        <w:tc>
          <w:tcPr>
            <w:tcW w:w="4247" w:type="dxa"/>
            <w:shd w:val="clear" w:color="auto" w:fill="B8CCE4" w:themeFill="accent1" w:themeFillTint="66"/>
            <w:vAlign w:val="center"/>
          </w:tcPr>
          <w:p w14:paraId="5842DFC7" w14:textId="77777777" w:rsidR="00AF663F" w:rsidRPr="00FB3B3D" w:rsidRDefault="00AF663F" w:rsidP="002F18A9">
            <w:pPr>
              <w:jc w:val="center"/>
              <w:rPr>
                <w:b/>
                <w:bCs/>
                <w:sz w:val="24"/>
                <w:szCs w:val="24"/>
              </w:rPr>
            </w:pPr>
            <w:r w:rsidRPr="00FB3B3D">
              <w:rPr>
                <w:b/>
                <w:bCs/>
                <w:sz w:val="24"/>
                <w:szCs w:val="24"/>
              </w:rPr>
              <w:t>Höhe de</w:t>
            </w:r>
            <w:r>
              <w:rPr>
                <w:b/>
                <w:bCs/>
                <w:sz w:val="24"/>
                <w:szCs w:val="24"/>
              </w:rPr>
              <w:t>s Entgelts</w:t>
            </w:r>
          </w:p>
        </w:tc>
      </w:tr>
      <w:tr w:rsidR="00AF663F" w14:paraId="1C11A178" w14:textId="77777777" w:rsidTr="002F18A9">
        <w:tc>
          <w:tcPr>
            <w:tcW w:w="4247" w:type="dxa"/>
            <w:vAlign w:val="center"/>
          </w:tcPr>
          <w:p w14:paraId="5EE7A080" w14:textId="77777777" w:rsidR="00AF663F" w:rsidRDefault="00AF663F" w:rsidP="002F18A9">
            <w:pPr>
              <w:jc w:val="center"/>
              <w:rPr>
                <w:sz w:val="24"/>
                <w:szCs w:val="24"/>
              </w:rPr>
            </w:pPr>
            <w:r>
              <w:rPr>
                <w:sz w:val="24"/>
                <w:szCs w:val="24"/>
              </w:rPr>
              <w:t>UniCredit Bank Austria</w:t>
            </w:r>
          </w:p>
        </w:tc>
        <w:tc>
          <w:tcPr>
            <w:tcW w:w="4247" w:type="dxa"/>
            <w:vAlign w:val="center"/>
          </w:tcPr>
          <w:p w14:paraId="77052963" w14:textId="3ED94C98" w:rsidR="00AF663F" w:rsidRDefault="00A378E2" w:rsidP="002F18A9">
            <w:pPr>
              <w:jc w:val="center"/>
              <w:rPr>
                <w:sz w:val="24"/>
                <w:szCs w:val="24"/>
              </w:rPr>
            </w:pPr>
            <w:r>
              <w:rPr>
                <w:sz w:val="24"/>
                <w:szCs w:val="24"/>
              </w:rPr>
              <w:t>14,30€</w:t>
            </w:r>
            <w:r w:rsidR="007E6E4D">
              <w:rPr>
                <w:rStyle w:val="Funotenzeichen"/>
                <w:sz w:val="24"/>
                <w:szCs w:val="24"/>
              </w:rPr>
              <w:footnoteReference w:id="87"/>
            </w:r>
          </w:p>
        </w:tc>
      </w:tr>
      <w:tr w:rsidR="00AF663F" w14:paraId="19F1060B" w14:textId="77777777" w:rsidTr="002F18A9">
        <w:tc>
          <w:tcPr>
            <w:tcW w:w="4247" w:type="dxa"/>
            <w:vAlign w:val="center"/>
          </w:tcPr>
          <w:p w14:paraId="6B6C3EA6" w14:textId="77777777" w:rsidR="00AF663F" w:rsidRDefault="00AF663F" w:rsidP="002F18A9">
            <w:pPr>
              <w:jc w:val="center"/>
              <w:rPr>
                <w:sz w:val="24"/>
                <w:szCs w:val="24"/>
              </w:rPr>
            </w:pPr>
            <w:r>
              <w:rPr>
                <w:sz w:val="24"/>
                <w:szCs w:val="24"/>
              </w:rPr>
              <w:t>BAWAG PSK</w:t>
            </w:r>
          </w:p>
        </w:tc>
        <w:tc>
          <w:tcPr>
            <w:tcW w:w="4247" w:type="dxa"/>
            <w:vAlign w:val="center"/>
          </w:tcPr>
          <w:p w14:paraId="32AC6024" w14:textId="05317F97" w:rsidR="00AF663F" w:rsidRDefault="00A378E2" w:rsidP="002F18A9">
            <w:pPr>
              <w:jc w:val="center"/>
              <w:rPr>
                <w:sz w:val="24"/>
                <w:szCs w:val="24"/>
              </w:rPr>
            </w:pPr>
            <w:r>
              <w:rPr>
                <w:sz w:val="24"/>
                <w:szCs w:val="24"/>
              </w:rPr>
              <w:t>8,12€</w:t>
            </w:r>
            <w:r w:rsidR="007E6E4D">
              <w:rPr>
                <w:rStyle w:val="Funotenzeichen"/>
                <w:sz w:val="24"/>
                <w:szCs w:val="24"/>
              </w:rPr>
              <w:footnoteReference w:id="88"/>
            </w:r>
          </w:p>
        </w:tc>
      </w:tr>
      <w:tr w:rsidR="00AF663F" w14:paraId="70C36ADE" w14:textId="77777777" w:rsidTr="002F18A9">
        <w:tc>
          <w:tcPr>
            <w:tcW w:w="4247" w:type="dxa"/>
            <w:vAlign w:val="center"/>
          </w:tcPr>
          <w:p w14:paraId="4E8199FB" w14:textId="77777777" w:rsidR="00AF663F" w:rsidRDefault="00AF663F" w:rsidP="002F18A9">
            <w:pPr>
              <w:jc w:val="center"/>
              <w:rPr>
                <w:sz w:val="24"/>
                <w:szCs w:val="24"/>
              </w:rPr>
            </w:pPr>
            <w:r>
              <w:rPr>
                <w:sz w:val="24"/>
                <w:szCs w:val="24"/>
              </w:rPr>
              <w:t>Erste Bank</w:t>
            </w:r>
          </w:p>
        </w:tc>
        <w:tc>
          <w:tcPr>
            <w:tcW w:w="4247" w:type="dxa"/>
            <w:vAlign w:val="center"/>
          </w:tcPr>
          <w:p w14:paraId="5CFCFEAF" w14:textId="589486C9" w:rsidR="00AF663F" w:rsidRDefault="00A378E2" w:rsidP="002F18A9">
            <w:pPr>
              <w:jc w:val="center"/>
              <w:rPr>
                <w:sz w:val="24"/>
                <w:szCs w:val="24"/>
              </w:rPr>
            </w:pPr>
            <w:r>
              <w:rPr>
                <w:sz w:val="24"/>
                <w:szCs w:val="24"/>
              </w:rPr>
              <w:t>4,88€</w:t>
            </w:r>
            <w:r w:rsidR="007E6E4D">
              <w:rPr>
                <w:rStyle w:val="Funotenzeichen"/>
                <w:sz w:val="24"/>
                <w:szCs w:val="24"/>
              </w:rPr>
              <w:footnoteReference w:id="89"/>
            </w:r>
          </w:p>
        </w:tc>
      </w:tr>
      <w:tr w:rsidR="00AF663F" w14:paraId="52AEA9C9" w14:textId="77777777" w:rsidTr="002F18A9">
        <w:tc>
          <w:tcPr>
            <w:tcW w:w="4247" w:type="dxa"/>
            <w:vAlign w:val="center"/>
          </w:tcPr>
          <w:p w14:paraId="13E7CB0D" w14:textId="12A650E7" w:rsidR="00AF663F" w:rsidRDefault="00AF663F" w:rsidP="002F18A9">
            <w:pPr>
              <w:jc w:val="center"/>
              <w:rPr>
                <w:sz w:val="24"/>
                <w:szCs w:val="24"/>
              </w:rPr>
            </w:pPr>
            <w:r>
              <w:rPr>
                <w:sz w:val="24"/>
                <w:szCs w:val="24"/>
              </w:rPr>
              <w:t>Raiffeisen</w:t>
            </w:r>
            <w:r w:rsidR="00F26922">
              <w:rPr>
                <w:sz w:val="24"/>
                <w:szCs w:val="24"/>
              </w:rPr>
              <w:t>bank</w:t>
            </w:r>
          </w:p>
        </w:tc>
        <w:tc>
          <w:tcPr>
            <w:tcW w:w="4247" w:type="dxa"/>
            <w:vAlign w:val="center"/>
          </w:tcPr>
          <w:p w14:paraId="3E6563B3" w14:textId="1229CB95" w:rsidR="00AF663F" w:rsidRDefault="003C3111" w:rsidP="002F18A9">
            <w:pPr>
              <w:jc w:val="center"/>
              <w:rPr>
                <w:sz w:val="24"/>
                <w:szCs w:val="24"/>
              </w:rPr>
            </w:pPr>
            <w:r>
              <w:rPr>
                <w:sz w:val="24"/>
                <w:szCs w:val="24"/>
              </w:rPr>
              <w:t>13,72</w:t>
            </w:r>
            <w:r w:rsidR="00A378E2">
              <w:rPr>
                <w:sz w:val="24"/>
                <w:szCs w:val="24"/>
              </w:rPr>
              <w:t>€</w:t>
            </w:r>
            <w:r w:rsidR="007E6E4D">
              <w:rPr>
                <w:rStyle w:val="Funotenzeichen"/>
                <w:sz w:val="24"/>
                <w:szCs w:val="24"/>
              </w:rPr>
              <w:footnoteReference w:id="90"/>
            </w:r>
          </w:p>
        </w:tc>
      </w:tr>
      <w:tr w:rsidR="00AF663F" w14:paraId="60229EF4" w14:textId="77777777" w:rsidTr="002F18A9">
        <w:tc>
          <w:tcPr>
            <w:tcW w:w="4247" w:type="dxa"/>
            <w:vAlign w:val="center"/>
          </w:tcPr>
          <w:p w14:paraId="11B4631B" w14:textId="77777777" w:rsidR="00AF663F" w:rsidRDefault="00AF663F" w:rsidP="002F18A9">
            <w:pPr>
              <w:jc w:val="center"/>
              <w:rPr>
                <w:sz w:val="24"/>
                <w:szCs w:val="24"/>
              </w:rPr>
            </w:pPr>
            <w:r>
              <w:rPr>
                <w:sz w:val="24"/>
                <w:szCs w:val="24"/>
              </w:rPr>
              <w:t>Easy Bank</w:t>
            </w:r>
          </w:p>
        </w:tc>
        <w:tc>
          <w:tcPr>
            <w:tcW w:w="4247" w:type="dxa"/>
            <w:vAlign w:val="center"/>
          </w:tcPr>
          <w:p w14:paraId="504AC98A" w14:textId="4EB59039" w:rsidR="00AF663F" w:rsidRDefault="00A378E2" w:rsidP="00E9386E">
            <w:pPr>
              <w:keepNext/>
              <w:jc w:val="center"/>
              <w:rPr>
                <w:sz w:val="24"/>
                <w:szCs w:val="24"/>
              </w:rPr>
            </w:pPr>
            <w:r>
              <w:rPr>
                <w:sz w:val="24"/>
                <w:szCs w:val="24"/>
              </w:rPr>
              <w:t>8,12€</w:t>
            </w:r>
            <w:r w:rsidR="007E6E4D">
              <w:rPr>
                <w:rStyle w:val="Funotenzeichen"/>
                <w:sz w:val="24"/>
                <w:szCs w:val="24"/>
              </w:rPr>
              <w:footnoteReference w:id="91"/>
            </w:r>
          </w:p>
        </w:tc>
      </w:tr>
    </w:tbl>
    <w:p w14:paraId="523BB9EB" w14:textId="63E240AE" w:rsidR="00A0133C" w:rsidRDefault="00E9386E" w:rsidP="00E9386E">
      <w:pPr>
        <w:pStyle w:val="Beschriftung"/>
      </w:pPr>
      <w:bookmarkStart w:id="84" w:name="_Toc72442161"/>
      <w:r>
        <w:t xml:space="preserve">Tabelle </w:t>
      </w:r>
      <w:r w:rsidR="00623D3F">
        <w:fldChar w:fldCharType="begin"/>
      </w:r>
      <w:r w:rsidR="00623D3F">
        <w:instrText xml:space="preserve"> SEQ Tabelle \* ARABIC </w:instrText>
      </w:r>
      <w:r w:rsidR="00623D3F">
        <w:fldChar w:fldCharType="separate"/>
      </w:r>
      <w:r w:rsidR="00670350">
        <w:rPr>
          <w:noProof/>
        </w:rPr>
        <w:t>7</w:t>
      </w:r>
      <w:r w:rsidR="00623D3F">
        <w:rPr>
          <w:noProof/>
        </w:rPr>
        <w:fldChar w:fldCharType="end"/>
      </w:r>
      <w:r>
        <w:t>: Gebühren für die Nachbestellung einer Karte</w:t>
      </w:r>
      <w:bookmarkEnd w:id="84"/>
    </w:p>
    <w:p w14:paraId="12DEEB43" w14:textId="77777777" w:rsidR="007B003F" w:rsidRDefault="007B003F" w:rsidP="00AF663F">
      <w:pPr>
        <w:jc w:val="both"/>
        <w:rPr>
          <w:sz w:val="24"/>
          <w:szCs w:val="24"/>
        </w:rPr>
      </w:pPr>
    </w:p>
    <w:p w14:paraId="67356B5E" w14:textId="3968653C" w:rsidR="007620BE" w:rsidRDefault="00E72233" w:rsidP="007620BE">
      <w:pPr>
        <w:jc w:val="both"/>
        <w:rPr>
          <w:sz w:val="24"/>
          <w:szCs w:val="24"/>
        </w:rPr>
      </w:pPr>
      <w:r w:rsidRPr="00E72233">
        <w:rPr>
          <w:sz w:val="24"/>
          <w:szCs w:val="24"/>
        </w:rPr>
        <w:t xml:space="preserve">Betrachtet man den Prozess der Nachbestellung einer Bankkarte, so sieht man, dass auch in diesem Fall Personalkosten anfallen. </w:t>
      </w:r>
      <w:r w:rsidR="00AF663F">
        <w:rPr>
          <w:sz w:val="24"/>
          <w:szCs w:val="24"/>
        </w:rPr>
        <w:t>Es wird angenommen, dass das Gespräch zwischen dem Mitarbeiter der Bank und dem Kunden nicht länger als 4 Minuten dauert. In diesen 4 Minuten schafft der Angestellte die Identität und die Daten des Kunden zu verifizieren und eine neue Karte zu beantragen.</w:t>
      </w:r>
      <w:r w:rsidR="00AF663F">
        <w:rPr>
          <w:rStyle w:val="Funotenzeichen"/>
          <w:sz w:val="24"/>
          <w:szCs w:val="24"/>
        </w:rPr>
        <w:footnoteReference w:id="92"/>
      </w:r>
      <w:r w:rsidR="007620BE">
        <w:rPr>
          <w:sz w:val="24"/>
          <w:szCs w:val="24"/>
        </w:rPr>
        <w:t xml:space="preserve"> Die Gesamtkosten für die Nachbestellung einer Karte beträgt 1,342€. </w:t>
      </w:r>
    </w:p>
    <w:p w14:paraId="4B0512AB" w14:textId="77777777" w:rsidR="005963B4" w:rsidRDefault="005963B4" w:rsidP="007620BE">
      <w:pPr>
        <w:jc w:val="both"/>
        <w:rPr>
          <w:sz w:val="24"/>
          <w:szCs w:val="24"/>
        </w:rPr>
      </w:pPr>
    </w:p>
    <w:p w14:paraId="4B621E73" w14:textId="493D61FB" w:rsidR="007620BE" w:rsidRPr="007620BE" w:rsidRDefault="005963B4" w:rsidP="007620BE">
      <w:pPr>
        <w:jc w:val="both"/>
        <w:rPr>
          <w:sz w:val="24"/>
          <w:szCs w:val="24"/>
        </w:rPr>
      </w:pPr>
      <w:r w:rsidRPr="005963B4">
        <w:rPr>
          <w:sz w:val="24"/>
          <w:szCs w:val="24"/>
        </w:rPr>
        <w:t>Anhand der obigen Berechnung kann man auf einen Blick erkennen, dass die Gebühren aller fünf Banken in keiner Weise ähnlich sind. Bei den fünf Banken sind die Preise, die Kunden im Falle einer Nachbestellung zahlen müssen, übertrieben hoch</w:t>
      </w:r>
      <w:r w:rsidR="002403CB">
        <w:rPr>
          <w:sz w:val="24"/>
          <w:szCs w:val="24"/>
        </w:rPr>
        <w:t xml:space="preserve"> und nicht gerechtfertigt</w:t>
      </w:r>
      <w:r w:rsidRPr="005963B4">
        <w:rPr>
          <w:sz w:val="24"/>
          <w:szCs w:val="24"/>
        </w:rPr>
        <w:t>.</w:t>
      </w:r>
    </w:p>
    <w:p w14:paraId="05AA817F" w14:textId="0FEA45FE" w:rsidR="00A90ECB" w:rsidRPr="00850FAF" w:rsidRDefault="00A90ECB" w:rsidP="003A25BC">
      <w:pPr>
        <w:pStyle w:val="berschrift3"/>
        <w:spacing w:after="120"/>
        <w:jc w:val="both"/>
        <w:rPr>
          <w:sz w:val="28"/>
          <w:szCs w:val="24"/>
        </w:rPr>
      </w:pPr>
      <w:bookmarkStart w:id="85" w:name="_Toc73014971"/>
      <w:r w:rsidRPr="00850FAF">
        <w:rPr>
          <w:sz w:val="28"/>
          <w:szCs w:val="24"/>
        </w:rPr>
        <w:lastRenderedPageBreak/>
        <w:t>Sperrung einer Karte</w:t>
      </w:r>
      <w:bookmarkEnd w:id="85"/>
    </w:p>
    <w:p w14:paraId="298BDE57" w14:textId="5B8CF932" w:rsidR="00A90ECB" w:rsidRPr="00850FAF" w:rsidRDefault="00A90ECB" w:rsidP="003A25BC">
      <w:pPr>
        <w:pStyle w:val="berschrift3"/>
        <w:spacing w:after="120"/>
        <w:jc w:val="both"/>
        <w:rPr>
          <w:sz w:val="28"/>
          <w:szCs w:val="24"/>
        </w:rPr>
      </w:pPr>
      <w:bookmarkStart w:id="86" w:name="_Toc73014972"/>
      <w:r w:rsidRPr="00850FAF">
        <w:rPr>
          <w:sz w:val="28"/>
          <w:szCs w:val="24"/>
        </w:rPr>
        <w:t>Überblick</w:t>
      </w:r>
      <w:bookmarkEnd w:id="86"/>
    </w:p>
    <w:p w14:paraId="201B5BAA" w14:textId="5BED4A59" w:rsidR="00AF663F" w:rsidRDefault="00AF663F" w:rsidP="00AF663F">
      <w:pPr>
        <w:jc w:val="both"/>
        <w:rPr>
          <w:sz w:val="24"/>
          <w:szCs w:val="24"/>
        </w:rPr>
      </w:pPr>
      <w:r w:rsidRPr="00674D7F">
        <w:rPr>
          <w:sz w:val="24"/>
          <w:szCs w:val="24"/>
        </w:rPr>
        <w:t>Verliert der Bankkunde seine Karte oder wird die Karte gestohlen, muss sofort die Bank kontaktiert werden, um die Karte schnellstmöglich zu sperren. Für solche Notfälle bieten die Banken eine Notfallleitstelle an. Die Nummer der Notrufzentrale kann jederzeit im Internet abgerufen werden.</w:t>
      </w:r>
      <w:r>
        <w:rPr>
          <w:rStyle w:val="Funotenzeichen"/>
          <w:sz w:val="24"/>
          <w:szCs w:val="24"/>
        </w:rPr>
        <w:footnoteReference w:id="93"/>
      </w:r>
      <w:r w:rsidRPr="00674D7F">
        <w:rPr>
          <w:sz w:val="24"/>
          <w:szCs w:val="24"/>
        </w:rPr>
        <w:t xml:space="preserve"> </w:t>
      </w:r>
    </w:p>
    <w:p w14:paraId="4A40DADD" w14:textId="77777777" w:rsidR="00A0133C" w:rsidRPr="00A0133C" w:rsidRDefault="00A0133C" w:rsidP="00A0133C"/>
    <w:p w14:paraId="29626074" w14:textId="6855C72E" w:rsidR="00A90ECB" w:rsidRPr="00850FAF" w:rsidRDefault="00A90ECB" w:rsidP="003A25BC">
      <w:pPr>
        <w:pStyle w:val="berschrift3"/>
        <w:spacing w:after="120"/>
        <w:jc w:val="both"/>
        <w:rPr>
          <w:sz w:val="28"/>
          <w:szCs w:val="24"/>
        </w:rPr>
      </w:pPr>
      <w:bookmarkStart w:id="87" w:name="_Toc73014973"/>
      <w:r w:rsidRPr="00850FAF">
        <w:rPr>
          <w:sz w:val="28"/>
          <w:szCs w:val="24"/>
        </w:rPr>
        <w:t>Die geschätzten Kosten</w:t>
      </w:r>
      <w:bookmarkEnd w:id="87"/>
      <w:r w:rsidRPr="00850FAF">
        <w:rPr>
          <w:sz w:val="28"/>
          <w:szCs w:val="24"/>
        </w:rPr>
        <w:t xml:space="preserve"> </w:t>
      </w:r>
    </w:p>
    <w:p w14:paraId="2D4F0A32" w14:textId="77777777" w:rsidR="00BE05A2" w:rsidRPr="00C11697" w:rsidRDefault="00BE05A2" w:rsidP="00BE05A2">
      <w:pPr>
        <w:rPr>
          <w:sz w:val="24"/>
          <w:szCs w:val="24"/>
        </w:rPr>
      </w:pPr>
      <w:r>
        <w:rPr>
          <w:sz w:val="24"/>
          <w:szCs w:val="24"/>
        </w:rPr>
        <w:t xml:space="preserve">Die Kosten für die folgende Banken lauten: </w:t>
      </w:r>
    </w:p>
    <w:tbl>
      <w:tblPr>
        <w:tblStyle w:val="Tabellenraster"/>
        <w:tblW w:w="0" w:type="auto"/>
        <w:tblLook w:val="04A0" w:firstRow="1" w:lastRow="0" w:firstColumn="1" w:lastColumn="0" w:noHBand="0" w:noVBand="1"/>
      </w:tblPr>
      <w:tblGrid>
        <w:gridCol w:w="4247"/>
        <w:gridCol w:w="4247"/>
      </w:tblGrid>
      <w:tr w:rsidR="00BE05A2" w14:paraId="6557938A" w14:textId="77777777" w:rsidTr="002F18A9">
        <w:tc>
          <w:tcPr>
            <w:tcW w:w="4247" w:type="dxa"/>
            <w:shd w:val="clear" w:color="auto" w:fill="B8CCE4" w:themeFill="accent1" w:themeFillTint="66"/>
            <w:vAlign w:val="center"/>
          </w:tcPr>
          <w:p w14:paraId="4C46EBB1" w14:textId="77777777" w:rsidR="00BE05A2" w:rsidRPr="00FB3B3D" w:rsidRDefault="00BE05A2" w:rsidP="002F18A9">
            <w:pPr>
              <w:jc w:val="center"/>
              <w:rPr>
                <w:b/>
                <w:bCs/>
                <w:sz w:val="24"/>
                <w:szCs w:val="24"/>
              </w:rPr>
            </w:pPr>
            <w:r w:rsidRPr="00FB3B3D">
              <w:rPr>
                <w:b/>
                <w:bCs/>
                <w:sz w:val="24"/>
                <w:szCs w:val="24"/>
              </w:rPr>
              <w:t>Name der Bank</w:t>
            </w:r>
          </w:p>
        </w:tc>
        <w:tc>
          <w:tcPr>
            <w:tcW w:w="4247" w:type="dxa"/>
            <w:shd w:val="clear" w:color="auto" w:fill="B8CCE4" w:themeFill="accent1" w:themeFillTint="66"/>
            <w:vAlign w:val="center"/>
          </w:tcPr>
          <w:p w14:paraId="57CCC2BC" w14:textId="77777777" w:rsidR="00BE05A2" w:rsidRPr="00FB3B3D" w:rsidRDefault="00BE05A2" w:rsidP="002F18A9">
            <w:pPr>
              <w:jc w:val="center"/>
              <w:rPr>
                <w:b/>
                <w:bCs/>
                <w:sz w:val="24"/>
                <w:szCs w:val="24"/>
              </w:rPr>
            </w:pPr>
            <w:r w:rsidRPr="00FB3B3D">
              <w:rPr>
                <w:b/>
                <w:bCs/>
                <w:sz w:val="24"/>
                <w:szCs w:val="24"/>
              </w:rPr>
              <w:t>Höhe de</w:t>
            </w:r>
            <w:r>
              <w:rPr>
                <w:b/>
                <w:bCs/>
                <w:sz w:val="24"/>
                <w:szCs w:val="24"/>
              </w:rPr>
              <w:t>s Entgelts</w:t>
            </w:r>
          </w:p>
        </w:tc>
      </w:tr>
      <w:tr w:rsidR="00BE05A2" w14:paraId="440C38CD" w14:textId="77777777" w:rsidTr="002F18A9">
        <w:tc>
          <w:tcPr>
            <w:tcW w:w="4247" w:type="dxa"/>
            <w:vAlign w:val="center"/>
          </w:tcPr>
          <w:p w14:paraId="6BC40EE4" w14:textId="77777777" w:rsidR="00BE05A2" w:rsidRDefault="00BE05A2" w:rsidP="002F18A9">
            <w:pPr>
              <w:jc w:val="center"/>
              <w:rPr>
                <w:sz w:val="24"/>
                <w:szCs w:val="24"/>
              </w:rPr>
            </w:pPr>
            <w:r>
              <w:rPr>
                <w:sz w:val="24"/>
                <w:szCs w:val="24"/>
              </w:rPr>
              <w:t>UniCredit Bank Austria</w:t>
            </w:r>
          </w:p>
        </w:tc>
        <w:tc>
          <w:tcPr>
            <w:tcW w:w="4247" w:type="dxa"/>
            <w:vAlign w:val="center"/>
          </w:tcPr>
          <w:p w14:paraId="5B7C2109" w14:textId="15FDAC07" w:rsidR="00BE05A2" w:rsidRDefault="00A378E2" w:rsidP="002F18A9">
            <w:pPr>
              <w:jc w:val="center"/>
              <w:rPr>
                <w:sz w:val="24"/>
                <w:szCs w:val="24"/>
              </w:rPr>
            </w:pPr>
            <w:r>
              <w:rPr>
                <w:sz w:val="24"/>
                <w:szCs w:val="24"/>
              </w:rPr>
              <w:t>kostenlos</w:t>
            </w:r>
            <w:r w:rsidR="007E6E4D">
              <w:rPr>
                <w:rStyle w:val="Funotenzeichen"/>
                <w:sz w:val="24"/>
                <w:szCs w:val="24"/>
              </w:rPr>
              <w:footnoteReference w:id="94"/>
            </w:r>
          </w:p>
        </w:tc>
      </w:tr>
      <w:tr w:rsidR="00A378E2" w14:paraId="25A863AB" w14:textId="77777777" w:rsidTr="002F18A9">
        <w:tc>
          <w:tcPr>
            <w:tcW w:w="4247" w:type="dxa"/>
            <w:vAlign w:val="center"/>
          </w:tcPr>
          <w:p w14:paraId="23EBE4D8" w14:textId="77777777" w:rsidR="00A378E2" w:rsidRDefault="00A378E2" w:rsidP="00A378E2">
            <w:pPr>
              <w:jc w:val="center"/>
              <w:rPr>
                <w:sz w:val="24"/>
                <w:szCs w:val="24"/>
              </w:rPr>
            </w:pPr>
            <w:r>
              <w:rPr>
                <w:sz w:val="24"/>
                <w:szCs w:val="24"/>
              </w:rPr>
              <w:t>BAWAG PSK</w:t>
            </w:r>
          </w:p>
        </w:tc>
        <w:tc>
          <w:tcPr>
            <w:tcW w:w="4247" w:type="dxa"/>
          </w:tcPr>
          <w:p w14:paraId="2BB6FA2D" w14:textId="591F70B8" w:rsidR="00A378E2" w:rsidRDefault="00A378E2" w:rsidP="00A378E2">
            <w:pPr>
              <w:jc w:val="center"/>
              <w:rPr>
                <w:sz w:val="24"/>
                <w:szCs w:val="24"/>
              </w:rPr>
            </w:pPr>
            <w:r w:rsidRPr="00676B80">
              <w:rPr>
                <w:sz w:val="24"/>
                <w:szCs w:val="24"/>
              </w:rPr>
              <w:t>kostenlos</w:t>
            </w:r>
            <w:r w:rsidR="00095F5A">
              <w:rPr>
                <w:rStyle w:val="Funotenzeichen"/>
                <w:sz w:val="24"/>
                <w:szCs w:val="24"/>
              </w:rPr>
              <w:footnoteReference w:id="95"/>
            </w:r>
          </w:p>
        </w:tc>
      </w:tr>
      <w:tr w:rsidR="00A378E2" w14:paraId="4C0D8CE6" w14:textId="77777777" w:rsidTr="002F18A9">
        <w:tc>
          <w:tcPr>
            <w:tcW w:w="4247" w:type="dxa"/>
            <w:vAlign w:val="center"/>
          </w:tcPr>
          <w:p w14:paraId="4804705C" w14:textId="77777777" w:rsidR="00A378E2" w:rsidRDefault="00A378E2" w:rsidP="00A378E2">
            <w:pPr>
              <w:jc w:val="center"/>
              <w:rPr>
                <w:sz w:val="24"/>
                <w:szCs w:val="24"/>
              </w:rPr>
            </w:pPr>
            <w:r>
              <w:rPr>
                <w:sz w:val="24"/>
                <w:szCs w:val="24"/>
              </w:rPr>
              <w:t>Erste Bank</w:t>
            </w:r>
          </w:p>
        </w:tc>
        <w:tc>
          <w:tcPr>
            <w:tcW w:w="4247" w:type="dxa"/>
          </w:tcPr>
          <w:p w14:paraId="6D576012" w14:textId="3D6E9412" w:rsidR="00A378E2" w:rsidRDefault="00A378E2" w:rsidP="00A378E2">
            <w:pPr>
              <w:jc w:val="center"/>
              <w:rPr>
                <w:sz w:val="24"/>
                <w:szCs w:val="24"/>
              </w:rPr>
            </w:pPr>
            <w:r w:rsidRPr="00676B80">
              <w:rPr>
                <w:sz w:val="24"/>
                <w:szCs w:val="24"/>
              </w:rPr>
              <w:t>kostenlos</w:t>
            </w:r>
            <w:r w:rsidR="00095F5A">
              <w:rPr>
                <w:rStyle w:val="Funotenzeichen"/>
                <w:sz w:val="24"/>
                <w:szCs w:val="24"/>
              </w:rPr>
              <w:footnoteReference w:id="96"/>
            </w:r>
          </w:p>
        </w:tc>
      </w:tr>
      <w:tr w:rsidR="00A378E2" w14:paraId="34B58363" w14:textId="77777777" w:rsidTr="002F18A9">
        <w:tc>
          <w:tcPr>
            <w:tcW w:w="4247" w:type="dxa"/>
            <w:vAlign w:val="center"/>
          </w:tcPr>
          <w:p w14:paraId="3EE31EDC" w14:textId="1194A109" w:rsidR="00A378E2" w:rsidRDefault="00A378E2" w:rsidP="00A378E2">
            <w:pPr>
              <w:jc w:val="center"/>
              <w:rPr>
                <w:sz w:val="24"/>
                <w:szCs w:val="24"/>
              </w:rPr>
            </w:pPr>
            <w:r>
              <w:rPr>
                <w:sz w:val="24"/>
                <w:szCs w:val="24"/>
              </w:rPr>
              <w:t>Raiffeisen</w:t>
            </w:r>
            <w:r w:rsidR="008D7D46">
              <w:rPr>
                <w:sz w:val="24"/>
                <w:szCs w:val="24"/>
              </w:rPr>
              <w:t>bank</w:t>
            </w:r>
          </w:p>
        </w:tc>
        <w:tc>
          <w:tcPr>
            <w:tcW w:w="4247" w:type="dxa"/>
          </w:tcPr>
          <w:p w14:paraId="2A23A674" w14:textId="3A8BA33A" w:rsidR="00A378E2" w:rsidRDefault="00A378E2" w:rsidP="00A378E2">
            <w:pPr>
              <w:jc w:val="center"/>
              <w:rPr>
                <w:sz w:val="24"/>
                <w:szCs w:val="24"/>
              </w:rPr>
            </w:pPr>
            <w:r w:rsidRPr="00676B80">
              <w:rPr>
                <w:sz w:val="24"/>
                <w:szCs w:val="24"/>
              </w:rPr>
              <w:t>kostenlos</w:t>
            </w:r>
            <w:r w:rsidR="00095F5A">
              <w:rPr>
                <w:rStyle w:val="Funotenzeichen"/>
                <w:sz w:val="24"/>
                <w:szCs w:val="24"/>
              </w:rPr>
              <w:footnoteReference w:id="97"/>
            </w:r>
          </w:p>
        </w:tc>
      </w:tr>
      <w:tr w:rsidR="00A378E2" w14:paraId="0D2A73AA" w14:textId="77777777" w:rsidTr="002F18A9">
        <w:tc>
          <w:tcPr>
            <w:tcW w:w="4247" w:type="dxa"/>
            <w:vAlign w:val="center"/>
          </w:tcPr>
          <w:p w14:paraId="327E3F3D" w14:textId="77777777" w:rsidR="00A378E2" w:rsidRDefault="00A378E2" w:rsidP="00A378E2">
            <w:pPr>
              <w:jc w:val="center"/>
              <w:rPr>
                <w:sz w:val="24"/>
                <w:szCs w:val="24"/>
              </w:rPr>
            </w:pPr>
            <w:r>
              <w:rPr>
                <w:sz w:val="24"/>
                <w:szCs w:val="24"/>
              </w:rPr>
              <w:t>Easy Bank</w:t>
            </w:r>
          </w:p>
        </w:tc>
        <w:tc>
          <w:tcPr>
            <w:tcW w:w="4247" w:type="dxa"/>
          </w:tcPr>
          <w:p w14:paraId="304CCB92" w14:textId="7166DC8F" w:rsidR="00A378E2" w:rsidRDefault="00A378E2" w:rsidP="00E9386E">
            <w:pPr>
              <w:keepNext/>
              <w:jc w:val="center"/>
              <w:rPr>
                <w:sz w:val="24"/>
                <w:szCs w:val="24"/>
              </w:rPr>
            </w:pPr>
            <w:r w:rsidRPr="00676B80">
              <w:rPr>
                <w:sz w:val="24"/>
                <w:szCs w:val="24"/>
              </w:rPr>
              <w:t>kostenlos</w:t>
            </w:r>
            <w:r w:rsidR="00095F5A">
              <w:rPr>
                <w:rStyle w:val="Funotenzeichen"/>
                <w:sz w:val="24"/>
                <w:szCs w:val="24"/>
              </w:rPr>
              <w:footnoteReference w:id="98"/>
            </w:r>
          </w:p>
        </w:tc>
      </w:tr>
    </w:tbl>
    <w:p w14:paraId="2E2A7266" w14:textId="256DC948" w:rsidR="00BE05A2" w:rsidRDefault="00E9386E" w:rsidP="00E9386E">
      <w:pPr>
        <w:pStyle w:val="Beschriftung"/>
        <w:rPr>
          <w:sz w:val="24"/>
          <w:szCs w:val="24"/>
        </w:rPr>
      </w:pPr>
      <w:bookmarkStart w:id="88" w:name="_Toc72442162"/>
      <w:r>
        <w:t xml:space="preserve">Tabelle </w:t>
      </w:r>
      <w:r w:rsidR="00623D3F">
        <w:fldChar w:fldCharType="begin"/>
      </w:r>
      <w:r w:rsidR="00623D3F">
        <w:instrText xml:space="preserve"> SEQ Tabelle \* ARABIC </w:instrText>
      </w:r>
      <w:r w:rsidR="00623D3F">
        <w:fldChar w:fldCharType="separate"/>
      </w:r>
      <w:r w:rsidR="00670350">
        <w:rPr>
          <w:noProof/>
        </w:rPr>
        <w:t>8</w:t>
      </w:r>
      <w:r w:rsidR="00623D3F">
        <w:rPr>
          <w:noProof/>
        </w:rPr>
        <w:fldChar w:fldCharType="end"/>
      </w:r>
      <w:r>
        <w:t>: Gebühren für die Sperrung einer Karte</w:t>
      </w:r>
      <w:bookmarkEnd w:id="88"/>
    </w:p>
    <w:p w14:paraId="5C0726EE" w14:textId="77777777" w:rsidR="005866E2" w:rsidRDefault="005866E2" w:rsidP="00BE05A2">
      <w:pPr>
        <w:spacing w:after="120"/>
        <w:jc w:val="both"/>
        <w:rPr>
          <w:sz w:val="24"/>
          <w:szCs w:val="24"/>
        </w:rPr>
      </w:pPr>
    </w:p>
    <w:p w14:paraId="1B34069D" w14:textId="32435456" w:rsidR="00BE05A2" w:rsidRDefault="00BE05A2" w:rsidP="00BE05A2">
      <w:pPr>
        <w:spacing w:after="120"/>
        <w:jc w:val="both"/>
        <w:rPr>
          <w:sz w:val="24"/>
          <w:szCs w:val="24"/>
        </w:rPr>
      </w:pPr>
      <w:r w:rsidRPr="00B67957">
        <w:rPr>
          <w:sz w:val="24"/>
          <w:szCs w:val="24"/>
        </w:rPr>
        <w:t>Da die Kunden die Zentrale kontaktieren und dort Mitarbeiter sitzen, fallen Personalkosten an.  Das Notrufgespräch zwischen dem Kunden und den Mitarbeitern dauert nicht länger als 3 Minuten, da hauptsächlich nur kundenspezifische Daten abgefragt werden, um sicherzustellen, dass es sich um den echten Karteninhaber handelt.</w:t>
      </w:r>
      <w:r>
        <w:rPr>
          <w:rStyle w:val="Funotenzeichen"/>
          <w:sz w:val="24"/>
          <w:szCs w:val="24"/>
        </w:rPr>
        <w:footnoteReference w:id="99"/>
      </w:r>
      <w:r w:rsidRPr="00B67957">
        <w:rPr>
          <w:sz w:val="24"/>
          <w:szCs w:val="24"/>
        </w:rPr>
        <w:t xml:space="preserve"> Die gesamten Personalkosten betragen 1,0065€.</w:t>
      </w:r>
    </w:p>
    <w:p w14:paraId="18A4C4EE" w14:textId="32332CE0" w:rsidR="007B003F" w:rsidRPr="00795ACE" w:rsidRDefault="009D24BF" w:rsidP="003A25BC">
      <w:pPr>
        <w:spacing w:after="120"/>
        <w:jc w:val="both"/>
      </w:pPr>
      <w:r w:rsidRPr="009D24BF">
        <w:rPr>
          <w:sz w:val="24"/>
          <w:szCs w:val="24"/>
        </w:rPr>
        <w:t>Hier kann man sofort sehen, dass die fünf analysierten Banken keine Gebühren für die Sperrung der Karten verlangen. Dies ist eine erfreuliche Nachricht für die Kunden.</w:t>
      </w:r>
    </w:p>
    <w:p w14:paraId="43D58AE9" w14:textId="7C0B7A48" w:rsidR="00C1115F" w:rsidRPr="00850FAF" w:rsidRDefault="00121560" w:rsidP="00850FAF">
      <w:pPr>
        <w:pStyle w:val="berschrift2"/>
        <w:spacing w:after="120"/>
        <w:rPr>
          <w:sz w:val="32"/>
          <w:szCs w:val="28"/>
        </w:rPr>
      </w:pPr>
      <w:bookmarkStart w:id="89" w:name="_Toc73014974"/>
      <w:r w:rsidRPr="00850FAF">
        <w:rPr>
          <w:sz w:val="32"/>
          <w:szCs w:val="28"/>
        </w:rPr>
        <w:lastRenderedPageBreak/>
        <w:t xml:space="preserve">Gebühren für Bareinzahlungen </w:t>
      </w:r>
      <w:r w:rsidR="00ED3A3D" w:rsidRPr="00850FAF">
        <w:rPr>
          <w:sz w:val="32"/>
          <w:szCs w:val="28"/>
        </w:rPr>
        <w:t>an der Kassa/Selbstbedienungszone</w:t>
      </w:r>
      <w:bookmarkEnd w:id="89"/>
    </w:p>
    <w:p w14:paraId="1CF1A3F8" w14:textId="443C0F95" w:rsidR="00641A43" w:rsidRPr="00850FAF" w:rsidRDefault="00641A43" w:rsidP="003A25BC">
      <w:pPr>
        <w:pStyle w:val="berschrift3"/>
        <w:spacing w:after="120"/>
        <w:jc w:val="both"/>
        <w:rPr>
          <w:sz w:val="28"/>
          <w:szCs w:val="24"/>
        </w:rPr>
      </w:pPr>
      <w:bookmarkStart w:id="90" w:name="_Toc73014975"/>
      <w:r w:rsidRPr="00850FAF">
        <w:rPr>
          <w:sz w:val="28"/>
          <w:szCs w:val="24"/>
        </w:rPr>
        <w:t>Überblick</w:t>
      </w:r>
      <w:bookmarkEnd w:id="90"/>
      <w:r w:rsidRPr="00850FAF">
        <w:rPr>
          <w:sz w:val="28"/>
          <w:szCs w:val="24"/>
        </w:rPr>
        <w:t xml:space="preserve"> </w:t>
      </w:r>
    </w:p>
    <w:p w14:paraId="4F2EABD5" w14:textId="276D7F87" w:rsidR="0077652D" w:rsidRDefault="0077652D" w:rsidP="0077652D">
      <w:pPr>
        <w:spacing w:after="120"/>
        <w:jc w:val="both"/>
        <w:rPr>
          <w:sz w:val="24"/>
          <w:szCs w:val="24"/>
        </w:rPr>
      </w:pPr>
      <w:r w:rsidRPr="009B3195">
        <w:rPr>
          <w:sz w:val="24"/>
          <w:szCs w:val="24"/>
        </w:rPr>
        <w:t>Wenn der Bankkunde eine Bareinzahlung an eine Bank oder einen anderen Zahlungsempfänger vornimmt, kann der Kunde zum Schalter in der Bankfiliale gehen und einen Mitarbeiter ansprechen. Nach Überprüfung der Daten des Kunden und des Geldes wird das Bargeld zu Buchgeld. Der Bankkunde hat die Möglichkeit, das Bargeld entweder auf sein eigenes Konto oder auf ein fremdes Konto zu überweisen.</w:t>
      </w:r>
      <w:r>
        <w:rPr>
          <w:rStyle w:val="Funotenzeichen"/>
          <w:sz w:val="24"/>
          <w:szCs w:val="24"/>
        </w:rPr>
        <w:footnoteReference w:id="100"/>
      </w:r>
    </w:p>
    <w:p w14:paraId="2EC21D5C" w14:textId="22DDEDFB" w:rsidR="0077652D" w:rsidRPr="0077652D" w:rsidRDefault="0077652D" w:rsidP="0077652D">
      <w:pPr>
        <w:spacing w:after="120"/>
        <w:jc w:val="both"/>
        <w:rPr>
          <w:sz w:val="24"/>
          <w:szCs w:val="24"/>
        </w:rPr>
      </w:pPr>
      <w:r>
        <w:rPr>
          <w:sz w:val="24"/>
          <w:szCs w:val="24"/>
        </w:rPr>
        <w:t xml:space="preserve">Seit einigen Jahren gibt es auch mehrere Selbstbedienungszonen in den Banken, in denen die Kunden die Möglichkeit haben, selbst Bargeld einzuzahlen. </w:t>
      </w:r>
    </w:p>
    <w:p w14:paraId="553201BD" w14:textId="77777777" w:rsidR="0077652D" w:rsidRPr="0077652D" w:rsidRDefault="0077652D" w:rsidP="0077652D"/>
    <w:p w14:paraId="1325671E" w14:textId="7D942A8E" w:rsidR="00641A43" w:rsidRPr="00850FAF" w:rsidRDefault="00641A43" w:rsidP="003A25BC">
      <w:pPr>
        <w:pStyle w:val="berschrift3"/>
        <w:spacing w:after="120"/>
        <w:jc w:val="both"/>
        <w:rPr>
          <w:sz w:val="28"/>
          <w:szCs w:val="24"/>
        </w:rPr>
      </w:pPr>
      <w:bookmarkStart w:id="91" w:name="_Toc73014976"/>
      <w:r w:rsidRPr="00850FAF">
        <w:rPr>
          <w:sz w:val="28"/>
          <w:szCs w:val="24"/>
        </w:rPr>
        <w:t>Die geschätzten Kosten</w:t>
      </w:r>
      <w:bookmarkEnd w:id="91"/>
    </w:p>
    <w:p w14:paraId="325CCBB5" w14:textId="77777777" w:rsidR="0077652D" w:rsidRPr="00C11697" w:rsidRDefault="0077652D" w:rsidP="0077652D">
      <w:pPr>
        <w:rPr>
          <w:sz w:val="24"/>
          <w:szCs w:val="24"/>
        </w:rPr>
      </w:pPr>
      <w:r>
        <w:rPr>
          <w:sz w:val="24"/>
          <w:szCs w:val="24"/>
        </w:rPr>
        <w:t xml:space="preserve">Die Kosten für die folgende Banken lauten: </w:t>
      </w:r>
    </w:p>
    <w:tbl>
      <w:tblPr>
        <w:tblStyle w:val="Tabellenraster"/>
        <w:tblW w:w="0" w:type="auto"/>
        <w:tblLook w:val="04A0" w:firstRow="1" w:lastRow="0" w:firstColumn="1" w:lastColumn="0" w:noHBand="0" w:noVBand="1"/>
      </w:tblPr>
      <w:tblGrid>
        <w:gridCol w:w="4247"/>
        <w:gridCol w:w="4247"/>
      </w:tblGrid>
      <w:tr w:rsidR="0077652D" w14:paraId="600B0BF3" w14:textId="77777777" w:rsidTr="002F18A9">
        <w:tc>
          <w:tcPr>
            <w:tcW w:w="4247" w:type="dxa"/>
            <w:shd w:val="clear" w:color="auto" w:fill="B8CCE4" w:themeFill="accent1" w:themeFillTint="66"/>
            <w:vAlign w:val="center"/>
          </w:tcPr>
          <w:p w14:paraId="2CFFB380" w14:textId="77777777" w:rsidR="0077652D" w:rsidRPr="00FB3B3D" w:rsidRDefault="0077652D" w:rsidP="002F18A9">
            <w:pPr>
              <w:jc w:val="center"/>
              <w:rPr>
                <w:b/>
                <w:bCs/>
                <w:sz w:val="24"/>
                <w:szCs w:val="24"/>
              </w:rPr>
            </w:pPr>
            <w:r w:rsidRPr="00FB3B3D">
              <w:rPr>
                <w:b/>
                <w:bCs/>
                <w:sz w:val="24"/>
                <w:szCs w:val="24"/>
              </w:rPr>
              <w:t>Name der Bank</w:t>
            </w:r>
          </w:p>
        </w:tc>
        <w:tc>
          <w:tcPr>
            <w:tcW w:w="4247" w:type="dxa"/>
            <w:shd w:val="clear" w:color="auto" w:fill="B8CCE4" w:themeFill="accent1" w:themeFillTint="66"/>
            <w:vAlign w:val="center"/>
          </w:tcPr>
          <w:p w14:paraId="689610B0" w14:textId="77777777" w:rsidR="0077652D" w:rsidRPr="00FB3B3D" w:rsidRDefault="0077652D" w:rsidP="002F18A9">
            <w:pPr>
              <w:jc w:val="center"/>
              <w:rPr>
                <w:b/>
                <w:bCs/>
                <w:sz w:val="24"/>
                <w:szCs w:val="24"/>
              </w:rPr>
            </w:pPr>
            <w:r w:rsidRPr="00FB3B3D">
              <w:rPr>
                <w:b/>
                <w:bCs/>
                <w:sz w:val="24"/>
                <w:szCs w:val="24"/>
              </w:rPr>
              <w:t>Höhe de</w:t>
            </w:r>
            <w:r>
              <w:rPr>
                <w:b/>
                <w:bCs/>
                <w:sz w:val="24"/>
                <w:szCs w:val="24"/>
              </w:rPr>
              <w:t>s Entgelts</w:t>
            </w:r>
          </w:p>
        </w:tc>
      </w:tr>
      <w:tr w:rsidR="00A378E2" w14:paraId="18B1FA5F" w14:textId="77777777" w:rsidTr="002F18A9">
        <w:tc>
          <w:tcPr>
            <w:tcW w:w="4247" w:type="dxa"/>
            <w:vAlign w:val="center"/>
          </w:tcPr>
          <w:p w14:paraId="22D64537" w14:textId="77777777" w:rsidR="00A378E2" w:rsidRDefault="00A378E2" w:rsidP="00A378E2">
            <w:pPr>
              <w:jc w:val="center"/>
              <w:rPr>
                <w:sz w:val="24"/>
                <w:szCs w:val="24"/>
              </w:rPr>
            </w:pPr>
            <w:r>
              <w:rPr>
                <w:sz w:val="24"/>
                <w:szCs w:val="24"/>
              </w:rPr>
              <w:t>UniCredit Bank Austria</w:t>
            </w:r>
          </w:p>
        </w:tc>
        <w:tc>
          <w:tcPr>
            <w:tcW w:w="4247" w:type="dxa"/>
          </w:tcPr>
          <w:p w14:paraId="112A23F4" w14:textId="1116961D" w:rsidR="00A378E2" w:rsidRDefault="00A378E2" w:rsidP="00A378E2">
            <w:pPr>
              <w:jc w:val="center"/>
              <w:rPr>
                <w:sz w:val="24"/>
                <w:szCs w:val="24"/>
              </w:rPr>
            </w:pPr>
            <w:r w:rsidRPr="00555B20">
              <w:rPr>
                <w:sz w:val="24"/>
                <w:szCs w:val="24"/>
              </w:rPr>
              <w:t>kostenlos</w:t>
            </w:r>
            <w:r w:rsidR="00C02073">
              <w:rPr>
                <w:rStyle w:val="Funotenzeichen"/>
                <w:sz w:val="24"/>
                <w:szCs w:val="24"/>
              </w:rPr>
              <w:footnoteReference w:id="101"/>
            </w:r>
          </w:p>
        </w:tc>
      </w:tr>
      <w:tr w:rsidR="00A378E2" w14:paraId="1E95713C" w14:textId="77777777" w:rsidTr="002F18A9">
        <w:tc>
          <w:tcPr>
            <w:tcW w:w="4247" w:type="dxa"/>
            <w:vAlign w:val="center"/>
          </w:tcPr>
          <w:p w14:paraId="7EDEC0DC" w14:textId="77777777" w:rsidR="00A378E2" w:rsidRDefault="00A378E2" w:rsidP="00A378E2">
            <w:pPr>
              <w:jc w:val="center"/>
              <w:rPr>
                <w:sz w:val="24"/>
                <w:szCs w:val="24"/>
              </w:rPr>
            </w:pPr>
            <w:r>
              <w:rPr>
                <w:sz w:val="24"/>
                <w:szCs w:val="24"/>
              </w:rPr>
              <w:t>BAWAG PSK</w:t>
            </w:r>
          </w:p>
        </w:tc>
        <w:tc>
          <w:tcPr>
            <w:tcW w:w="4247" w:type="dxa"/>
          </w:tcPr>
          <w:p w14:paraId="4299BA86" w14:textId="3BD9D117" w:rsidR="00A378E2" w:rsidRDefault="00A378E2" w:rsidP="00A378E2">
            <w:pPr>
              <w:jc w:val="center"/>
              <w:rPr>
                <w:sz w:val="24"/>
                <w:szCs w:val="24"/>
              </w:rPr>
            </w:pPr>
            <w:r w:rsidRPr="00555B20">
              <w:rPr>
                <w:sz w:val="24"/>
                <w:szCs w:val="24"/>
              </w:rPr>
              <w:t>kostenlos</w:t>
            </w:r>
            <w:r w:rsidR="00C02073">
              <w:rPr>
                <w:rStyle w:val="Funotenzeichen"/>
                <w:sz w:val="24"/>
                <w:szCs w:val="24"/>
              </w:rPr>
              <w:footnoteReference w:id="102"/>
            </w:r>
          </w:p>
        </w:tc>
      </w:tr>
      <w:tr w:rsidR="00A378E2" w14:paraId="444FBCD5" w14:textId="77777777" w:rsidTr="002F18A9">
        <w:tc>
          <w:tcPr>
            <w:tcW w:w="4247" w:type="dxa"/>
            <w:vAlign w:val="center"/>
          </w:tcPr>
          <w:p w14:paraId="6625DA5E" w14:textId="77777777" w:rsidR="00A378E2" w:rsidRDefault="00A378E2" w:rsidP="00A378E2">
            <w:pPr>
              <w:jc w:val="center"/>
              <w:rPr>
                <w:sz w:val="24"/>
                <w:szCs w:val="24"/>
              </w:rPr>
            </w:pPr>
            <w:r>
              <w:rPr>
                <w:sz w:val="24"/>
                <w:szCs w:val="24"/>
              </w:rPr>
              <w:t>Erste Bank</w:t>
            </w:r>
          </w:p>
        </w:tc>
        <w:tc>
          <w:tcPr>
            <w:tcW w:w="4247" w:type="dxa"/>
          </w:tcPr>
          <w:p w14:paraId="5537449A" w14:textId="1C30D57C" w:rsidR="00A378E2" w:rsidRDefault="00A378E2" w:rsidP="00A378E2">
            <w:pPr>
              <w:jc w:val="center"/>
              <w:rPr>
                <w:sz w:val="24"/>
                <w:szCs w:val="24"/>
              </w:rPr>
            </w:pPr>
            <w:r w:rsidRPr="00555B20">
              <w:rPr>
                <w:sz w:val="24"/>
                <w:szCs w:val="24"/>
              </w:rPr>
              <w:t>kostenlos</w:t>
            </w:r>
            <w:r w:rsidR="00C02073">
              <w:rPr>
                <w:rStyle w:val="Funotenzeichen"/>
                <w:sz w:val="24"/>
                <w:szCs w:val="24"/>
              </w:rPr>
              <w:footnoteReference w:id="103"/>
            </w:r>
          </w:p>
        </w:tc>
      </w:tr>
      <w:tr w:rsidR="00A378E2" w14:paraId="4D6885B9" w14:textId="77777777" w:rsidTr="002F18A9">
        <w:tc>
          <w:tcPr>
            <w:tcW w:w="4247" w:type="dxa"/>
            <w:vAlign w:val="center"/>
          </w:tcPr>
          <w:p w14:paraId="420C1F01" w14:textId="6862BBAB" w:rsidR="00A378E2" w:rsidRDefault="00A378E2" w:rsidP="00A378E2">
            <w:pPr>
              <w:jc w:val="center"/>
              <w:rPr>
                <w:sz w:val="24"/>
                <w:szCs w:val="24"/>
              </w:rPr>
            </w:pPr>
            <w:r>
              <w:rPr>
                <w:sz w:val="24"/>
                <w:szCs w:val="24"/>
              </w:rPr>
              <w:t>Raiffeisen</w:t>
            </w:r>
            <w:r w:rsidR="00335F8D">
              <w:rPr>
                <w:sz w:val="24"/>
                <w:szCs w:val="24"/>
              </w:rPr>
              <w:t>bank</w:t>
            </w:r>
          </w:p>
        </w:tc>
        <w:tc>
          <w:tcPr>
            <w:tcW w:w="4247" w:type="dxa"/>
          </w:tcPr>
          <w:p w14:paraId="660E4B38" w14:textId="3D6033F9" w:rsidR="00A378E2" w:rsidRDefault="00A378E2" w:rsidP="00A378E2">
            <w:pPr>
              <w:jc w:val="center"/>
              <w:rPr>
                <w:sz w:val="24"/>
                <w:szCs w:val="24"/>
              </w:rPr>
            </w:pPr>
            <w:r w:rsidRPr="00555B20">
              <w:rPr>
                <w:sz w:val="24"/>
                <w:szCs w:val="24"/>
              </w:rPr>
              <w:t>kostenlos</w:t>
            </w:r>
            <w:r w:rsidR="00C02073">
              <w:rPr>
                <w:rStyle w:val="Funotenzeichen"/>
                <w:sz w:val="24"/>
                <w:szCs w:val="24"/>
              </w:rPr>
              <w:footnoteReference w:id="104"/>
            </w:r>
          </w:p>
        </w:tc>
      </w:tr>
      <w:tr w:rsidR="00A378E2" w14:paraId="54BD1CA2" w14:textId="77777777" w:rsidTr="002F18A9">
        <w:tc>
          <w:tcPr>
            <w:tcW w:w="4247" w:type="dxa"/>
            <w:vAlign w:val="center"/>
          </w:tcPr>
          <w:p w14:paraId="3DDEF701" w14:textId="77777777" w:rsidR="00A378E2" w:rsidRDefault="00A378E2" w:rsidP="00A378E2">
            <w:pPr>
              <w:jc w:val="center"/>
              <w:rPr>
                <w:sz w:val="24"/>
                <w:szCs w:val="24"/>
              </w:rPr>
            </w:pPr>
            <w:r>
              <w:rPr>
                <w:sz w:val="24"/>
                <w:szCs w:val="24"/>
              </w:rPr>
              <w:t>Easy Bank</w:t>
            </w:r>
          </w:p>
        </w:tc>
        <w:tc>
          <w:tcPr>
            <w:tcW w:w="4247" w:type="dxa"/>
          </w:tcPr>
          <w:p w14:paraId="2DB6B150" w14:textId="5E9F34F1" w:rsidR="00A378E2" w:rsidRDefault="00A378E2" w:rsidP="00E9386E">
            <w:pPr>
              <w:keepNext/>
              <w:jc w:val="center"/>
              <w:rPr>
                <w:sz w:val="24"/>
                <w:szCs w:val="24"/>
              </w:rPr>
            </w:pPr>
            <w:r w:rsidRPr="00555B20">
              <w:rPr>
                <w:sz w:val="24"/>
                <w:szCs w:val="24"/>
              </w:rPr>
              <w:t>kostenlos</w:t>
            </w:r>
            <w:r w:rsidR="00C02073">
              <w:rPr>
                <w:rStyle w:val="Funotenzeichen"/>
                <w:sz w:val="24"/>
                <w:szCs w:val="24"/>
              </w:rPr>
              <w:footnoteReference w:id="105"/>
            </w:r>
          </w:p>
        </w:tc>
      </w:tr>
    </w:tbl>
    <w:p w14:paraId="3CEF84AA" w14:textId="199B45EE" w:rsidR="0077652D" w:rsidRDefault="00E9386E" w:rsidP="000C647E">
      <w:pPr>
        <w:pStyle w:val="Beschriftung"/>
      </w:pPr>
      <w:bookmarkStart w:id="92" w:name="_Toc72442163"/>
      <w:r>
        <w:t xml:space="preserve">Tabelle </w:t>
      </w:r>
      <w:r w:rsidR="00623D3F">
        <w:fldChar w:fldCharType="begin"/>
      </w:r>
      <w:r w:rsidR="00623D3F">
        <w:instrText xml:space="preserve"> SEQ Tabelle \* ARABIC </w:instrText>
      </w:r>
      <w:r w:rsidR="00623D3F">
        <w:fldChar w:fldCharType="separate"/>
      </w:r>
      <w:r w:rsidR="00670350">
        <w:rPr>
          <w:noProof/>
        </w:rPr>
        <w:t>9</w:t>
      </w:r>
      <w:r w:rsidR="00623D3F">
        <w:rPr>
          <w:noProof/>
        </w:rPr>
        <w:fldChar w:fldCharType="end"/>
      </w:r>
      <w:r>
        <w:t xml:space="preserve">: Gebühren für Bareinzahlungen </w:t>
      </w:r>
      <w:proofErr w:type="gramStart"/>
      <w:r>
        <w:t>zugunsten eigenes Konto</w:t>
      </w:r>
      <w:bookmarkEnd w:id="92"/>
      <w:proofErr w:type="gramEnd"/>
    </w:p>
    <w:p w14:paraId="0AF86B90" w14:textId="023CCED5" w:rsidR="007B003F" w:rsidRDefault="007B003F" w:rsidP="007B003F"/>
    <w:p w14:paraId="71D7609F" w14:textId="6EA2AA26" w:rsidR="007B003F" w:rsidRDefault="007B003F" w:rsidP="007B003F"/>
    <w:p w14:paraId="7166646B" w14:textId="00275D61" w:rsidR="007B003F" w:rsidRDefault="007B003F" w:rsidP="007B003F"/>
    <w:p w14:paraId="0135F323" w14:textId="0DBD2F3B" w:rsidR="007B003F" w:rsidRDefault="007B003F" w:rsidP="007B003F"/>
    <w:p w14:paraId="2DC99E0C" w14:textId="2AC10695" w:rsidR="007B003F" w:rsidRDefault="007B003F" w:rsidP="007B003F"/>
    <w:p w14:paraId="4A263BE6" w14:textId="77777777" w:rsidR="007B003F" w:rsidRPr="007B003F" w:rsidRDefault="007B003F" w:rsidP="007B003F"/>
    <w:tbl>
      <w:tblPr>
        <w:tblStyle w:val="Tabellenraster"/>
        <w:tblW w:w="0" w:type="auto"/>
        <w:tblLook w:val="04A0" w:firstRow="1" w:lastRow="0" w:firstColumn="1" w:lastColumn="0" w:noHBand="0" w:noVBand="1"/>
      </w:tblPr>
      <w:tblGrid>
        <w:gridCol w:w="4247"/>
        <w:gridCol w:w="4247"/>
      </w:tblGrid>
      <w:tr w:rsidR="0077652D" w14:paraId="7D9EF47E" w14:textId="77777777" w:rsidTr="002F18A9">
        <w:tc>
          <w:tcPr>
            <w:tcW w:w="4247" w:type="dxa"/>
            <w:shd w:val="clear" w:color="auto" w:fill="B8CCE4" w:themeFill="accent1" w:themeFillTint="66"/>
            <w:vAlign w:val="center"/>
          </w:tcPr>
          <w:p w14:paraId="058228DB" w14:textId="77777777" w:rsidR="0077652D" w:rsidRPr="00FB3B3D" w:rsidRDefault="0077652D" w:rsidP="002F18A9">
            <w:pPr>
              <w:jc w:val="center"/>
              <w:rPr>
                <w:b/>
                <w:bCs/>
                <w:sz w:val="24"/>
                <w:szCs w:val="24"/>
              </w:rPr>
            </w:pPr>
            <w:r w:rsidRPr="00FB3B3D">
              <w:rPr>
                <w:b/>
                <w:bCs/>
                <w:sz w:val="24"/>
                <w:szCs w:val="24"/>
              </w:rPr>
              <w:lastRenderedPageBreak/>
              <w:t>Name der Bank</w:t>
            </w:r>
          </w:p>
        </w:tc>
        <w:tc>
          <w:tcPr>
            <w:tcW w:w="4247" w:type="dxa"/>
            <w:shd w:val="clear" w:color="auto" w:fill="B8CCE4" w:themeFill="accent1" w:themeFillTint="66"/>
            <w:vAlign w:val="center"/>
          </w:tcPr>
          <w:p w14:paraId="6D660371" w14:textId="77777777" w:rsidR="0077652D" w:rsidRPr="00FB3B3D" w:rsidRDefault="0077652D" w:rsidP="002F18A9">
            <w:pPr>
              <w:jc w:val="center"/>
              <w:rPr>
                <w:b/>
                <w:bCs/>
                <w:sz w:val="24"/>
                <w:szCs w:val="24"/>
              </w:rPr>
            </w:pPr>
            <w:r w:rsidRPr="00FB3B3D">
              <w:rPr>
                <w:b/>
                <w:bCs/>
                <w:sz w:val="24"/>
                <w:szCs w:val="24"/>
              </w:rPr>
              <w:t>Höhe de</w:t>
            </w:r>
            <w:r>
              <w:rPr>
                <w:b/>
                <w:bCs/>
                <w:sz w:val="24"/>
                <w:szCs w:val="24"/>
              </w:rPr>
              <w:t>s Entgelts</w:t>
            </w:r>
          </w:p>
        </w:tc>
      </w:tr>
      <w:tr w:rsidR="0077652D" w14:paraId="09A79678" w14:textId="77777777" w:rsidTr="002F18A9">
        <w:tc>
          <w:tcPr>
            <w:tcW w:w="4247" w:type="dxa"/>
            <w:vAlign w:val="center"/>
          </w:tcPr>
          <w:p w14:paraId="56167C16" w14:textId="77777777" w:rsidR="0077652D" w:rsidRDefault="0077652D" w:rsidP="002F18A9">
            <w:pPr>
              <w:jc w:val="center"/>
              <w:rPr>
                <w:sz w:val="24"/>
                <w:szCs w:val="24"/>
              </w:rPr>
            </w:pPr>
            <w:r>
              <w:rPr>
                <w:sz w:val="24"/>
                <w:szCs w:val="24"/>
              </w:rPr>
              <w:t>UniCredit Bank Austria</w:t>
            </w:r>
          </w:p>
        </w:tc>
        <w:tc>
          <w:tcPr>
            <w:tcW w:w="4247" w:type="dxa"/>
            <w:vAlign w:val="center"/>
          </w:tcPr>
          <w:p w14:paraId="37A32AA4" w14:textId="3AAA67EB" w:rsidR="0077652D" w:rsidRDefault="00A378E2" w:rsidP="002F18A9">
            <w:pPr>
              <w:jc w:val="center"/>
              <w:rPr>
                <w:sz w:val="24"/>
                <w:szCs w:val="24"/>
              </w:rPr>
            </w:pPr>
            <w:r>
              <w:rPr>
                <w:sz w:val="24"/>
                <w:szCs w:val="24"/>
              </w:rPr>
              <w:t>7,50€</w:t>
            </w:r>
            <w:r w:rsidR="00C02073">
              <w:rPr>
                <w:rStyle w:val="Funotenzeichen"/>
                <w:sz w:val="24"/>
                <w:szCs w:val="24"/>
              </w:rPr>
              <w:footnoteReference w:id="106"/>
            </w:r>
          </w:p>
        </w:tc>
      </w:tr>
      <w:tr w:rsidR="0077652D" w14:paraId="566BED2B" w14:textId="77777777" w:rsidTr="002F18A9">
        <w:tc>
          <w:tcPr>
            <w:tcW w:w="4247" w:type="dxa"/>
            <w:vAlign w:val="center"/>
          </w:tcPr>
          <w:p w14:paraId="7D44389B" w14:textId="77777777" w:rsidR="0077652D" w:rsidRDefault="0077652D" w:rsidP="002F18A9">
            <w:pPr>
              <w:jc w:val="center"/>
              <w:rPr>
                <w:sz w:val="24"/>
                <w:szCs w:val="24"/>
              </w:rPr>
            </w:pPr>
            <w:r>
              <w:rPr>
                <w:sz w:val="24"/>
                <w:szCs w:val="24"/>
              </w:rPr>
              <w:t>BAWAG PSK</w:t>
            </w:r>
          </w:p>
        </w:tc>
        <w:tc>
          <w:tcPr>
            <w:tcW w:w="4247" w:type="dxa"/>
            <w:vAlign w:val="center"/>
          </w:tcPr>
          <w:p w14:paraId="3D3C894C" w14:textId="1DF42B46" w:rsidR="0077652D" w:rsidRDefault="00A378E2" w:rsidP="002F18A9">
            <w:pPr>
              <w:jc w:val="center"/>
              <w:rPr>
                <w:sz w:val="24"/>
                <w:szCs w:val="24"/>
              </w:rPr>
            </w:pPr>
            <w:r>
              <w:rPr>
                <w:sz w:val="24"/>
                <w:szCs w:val="24"/>
              </w:rPr>
              <w:t>3,50€</w:t>
            </w:r>
            <w:r w:rsidR="00C02073">
              <w:rPr>
                <w:rStyle w:val="Funotenzeichen"/>
                <w:sz w:val="24"/>
                <w:szCs w:val="24"/>
              </w:rPr>
              <w:footnoteReference w:id="107"/>
            </w:r>
          </w:p>
        </w:tc>
      </w:tr>
      <w:tr w:rsidR="0077652D" w14:paraId="28532643" w14:textId="77777777" w:rsidTr="002F18A9">
        <w:tc>
          <w:tcPr>
            <w:tcW w:w="4247" w:type="dxa"/>
            <w:vAlign w:val="center"/>
          </w:tcPr>
          <w:p w14:paraId="05766C2E" w14:textId="77777777" w:rsidR="0077652D" w:rsidRDefault="0077652D" w:rsidP="002F18A9">
            <w:pPr>
              <w:jc w:val="center"/>
              <w:rPr>
                <w:sz w:val="24"/>
                <w:szCs w:val="24"/>
              </w:rPr>
            </w:pPr>
            <w:r>
              <w:rPr>
                <w:sz w:val="24"/>
                <w:szCs w:val="24"/>
              </w:rPr>
              <w:t>Erste Bank</w:t>
            </w:r>
          </w:p>
        </w:tc>
        <w:tc>
          <w:tcPr>
            <w:tcW w:w="4247" w:type="dxa"/>
            <w:vAlign w:val="center"/>
          </w:tcPr>
          <w:p w14:paraId="2B20E738" w14:textId="4C3972E9" w:rsidR="0077652D" w:rsidRDefault="00A378E2" w:rsidP="002F18A9">
            <w:pPr>
              <w:jc w:val="center"/>
              <w:rPr>
                <w:sz w:val="24"/>
                <w:szCs w:val="24"/>
              </w:rPr>
            </w:pPr>
            <w:r>
              <w:rPr>
                <w:sz w:val="24"/>
                <w:szCs w:val="24"/>
              </w:rPr>
              <w:t>4,00€</w:t>
            </w:r>
            <w:r w:rsidR="00C02073">
              <w:rPr>
                <w:rStyle w:val="Funotenzeichen"/>
                <w:sz w:val="24"/>
                <w:szCs w:val="24"/>
              </w:rPr>
              <w:footnoteReference w:id="108"/>
            </w:r>
          </w:p>
        </w:tc>
      </w:tr>
      <w:tr w:rsidR="0077652D" w14:paraId="3D16899C" w14:textId="77777777" w:rsidTr="002F18A9">
        <w:tc>
          <w:tcPr>
            <w:tcW w:w="4247" w:type="dxa"/>
            <w:vAlign w:val="center"/>
          </w:tcPr>
          <w:p w14:paraId="18EFA6CB" w14:textId="16E89344" w:rsidR="0077652D" w:rsidRDefault="0077652D" w:rsidP="002F18A9">
            <w:pPr>
              <w:jc w:val="center"/>
              <w:rPr>
                <w:sz w:val="24"/>
                <w:szCs w:val="24"/>
              </w:rPr>
            </w:pPr>
            <w:r>
              <w:rPr>
                <w:sz w:val="24"/>
                <w:szCs w:val="24"/>
              </w:rPr>
              <w:t>Raiffeisen</w:t>
            </w:r>
            <w:r w:rsidR="00335F8D">
              <w:rPr>
                <w:sz w:val="24"/>
                <w:szCs w:val="24"/>
              </w:rPr>
              <w:t>bank</w:t>
            </w:r>
          </w:p>
        </w:tc>
        <w:tc>
          <w:tcPr>
            <w:tcW w:w="4247" w:type="dxa"/>
            <w:vAlign w:val="center"/>
          </w:tcPr>
          <w:p w14:paraId="3CDE740A" w14:textId="7072F237" w:rsidR="0077652D" w:rsidRDefault="00A378E2" w:rsidP="002F18A9">
            <w:pPr>
              <w:jc w:val="center"/>
              <w:rPr>
                <w:sz w:val="24"/>
                <w:szCs w:val="24"/>
              </w:rPr>
            </w:pPr>
            <w:r>
              <w:rPr>
                <w:sz w:val="24"/>
                <w:szCs w:val="24"/>
              </w:rPr>
              <w:t>2,53€</w:t>
            </w:r>
            <w:r w:rsidR="00C02073">
              <w:rPr>
                <w:rStyle w:val="Funotenzeichen"/>
                <w:sz w:val="24"/>
                <w:szCs w:val="24"/>
              </w:rPr>
              <w:footnoteReference w:id="109"/>
            </w:r>
          </w:p>
        </w:tc>
      </w:tr>
      <w:tr w:rsidR="0077652D" w14:paraId="46A9F7D0" w14:textId="77777777" w:rsidTr="002F18A9">
        <w:tc>
          <w:tcPr>
            <w:tcW w:w="4247" w:type="dxa"/>
            <w:vAlign w:val="center"/>
          </w:tcPr>
          <w:p w14:paraId="24AA07AE" w14:textId="77777777" w:rsidR="0077652D" w:rsidRDefault="0077652D" w:rsidP="002F18A9">
            <w:pPr>
              <w:jc w:val="center"/>
              <w:rPr>
                <w:sz w:val="24"/>
                <w:szCs w:val="24"/>
              </w:rPr>
            </w:pPr>
            <w:r>
              <w:rPr>
                <w:sz w:val="24"/>
                <w:szCs w:val="24"/>
              </w:rPr>
              <w:t>Easy Bank</w:t>
            </w:r>
          </w:p>
        </w:tc>
        <w:tc>
          <w:tcPr>
            <w:tcW w:w="4247" w:type="dxa"/>
            <w:vAlign w:val="center"/>
          </w:tcPr>
          <w:p w14:paraId="29F5682B" w14:textId="71F6947D" w:rsidR="0077652D" w:rsidRDefault="00A378E2" w:rsidP="00E9386E">
            <w:pPr>
              <w:keepNext/>
              <w:jc w:val="center"/>
              <w:rPr>
                <w:sz w:val="24"/>
                <w:szCs w:val="24"/>
              </w:rPr>
            </w:pPr>
            <w:r>
              <w:rPr>
                <w:sz w:val="24"/>
                <w:szCs w:val="24"/>
              </w:rPr>
              <w:t>3,90€</w:t>
            </w:r>
            <w:r w:rsidR="00C02073">
              <w:rPr>
                <w:rStyle w:val="Funotenzeichen"/>
                <w:sz w:val="24"/>
                <w:szCs w:val="24"/>
              </w:rPr>
              <w:footnoteReference w:id="110"/>
            </w:r>
          </w:p>
        </w:tc>
      </w:tr>
    </w:tbl>
    <w:p w14:paraId="2238E17A" w14:textId="1F3D9397" w:rsidR="0077652D" w:rsidRDefault="00E9386E" w:rsidP="00E9386E">
      <w:pPr>
        <w:pStyle w:val="Beschriftung"/>
        <w:rPr>
          <w:sz w:val="24"/>
          <w:szCs w:val="24"/>
        </w:rPr>
      </w:pPr>
      <w:bookmarkStart w:id="93" w:name="_Toc72442164"/>
      <w:r>
        <w:t xml:space="preserve">Tabelle </w:t>
      </w:r>
      <w:r w:rsidR="00623D3F">
        <w:fldChar w:fldCharType="begin"/>
      </w:r>
      <w:r w:rsidR="00623D3F">
        <w:instrText xml:space="preserve"> SEQ Tabelle \* ARABIC </w:instrText>
      </w:r>
      <w:r w:rsidR="00623D3F">
        <w:fldChar w:fldCharType="separate"/>
      </w:r>
      <w:r w:rsidR="00670350">
        <w:rPr>
          <w:noProof/>
        </w:rPr>
        <w:t>10</w:t>
      </w:r>
      <w:r w:rsidR="00623D3F">
        <w:rPr>
          <w:noProof/>
        </w:rPr>
        <w:fldChar w:fldCharType="end"/>
      </w:r>
      <w:r>
        <w:t xml:space="preserve">: Gebühren für Bareinzahlungen </w:t>
      </w:r>
      <w:proofErr w:type="gramStart"/>
      <w:r>
        <w:t>zugunsten fremdes Konto</w:t>
      </w:r>
      <w:bookmarkEnd w:id="93"/>
      <w:proofErr w:type="gramEnd"/>
    </w:p>
    <w:p w14:paraId="143FCB86" w14:textId="77777777" w:rsidR="005866E2" w:rsidRDefault="005866E2" w:rsidP="0077652D">
      <w:pPr>
        <w:spacing w:after="120"/>
        <w:jc w:val="both"/>
        <w:rPr>
          <w:sz w:val="24"/>
          <w:szCs w:val="24"/>
        </w:rPr>
      </w:pPr>
    </w:p>
    <w:p w14:paraId="414750DE" w14:textId="196D6170" w:rsidR="0077652D" w:rsidRDefault="0077652D" w:rsidP="0077652D">
      <w:pPr>
        <w:spacing w:after="120"/>
        <w:jc w:val="both"/>
        <w:rPr>
          <w:sz w:val="24"/>
          <w:szCs w:val="24"/>
        </w:rPr>
      </w:pPr>
      <w:r>
        <w:rPr>
          <w:sz w:val="24"/>
          <w:szCs w:val="24"/>
        </w:rPr>
        <w:t xml:space="preserve">Anhand der obigen Tabellen kann man sehen, dass jede Bank unterschiedliche Konditionen hat. Einige verlangen keine Gebühren für die Bareinzahlung an der Kassa und die anderen verlangen Gebühren, die recht teuer sind. Für die Selbstbedienung an den SB-Zonen werden keine Gebühren erhoben. </w:t>
      </w:r>
    </w:p>
    <w:p w14:paraId="68C4C398" w14:textId="6651D0C0" w:rsidR="005866E2" w:rsidRDefault="0077652D" w:rsidP="0077652D">
      <w:pPr>
        <w:spacing w:after="120"/>
        <w:jc w:val="both"/>
        <w:rPr>
          <w:sz w:val="24"/>
          <w:szCs w:val="24"/>
        </w:rPr>
      </w:pPr>
      <w:r>
        <w:rPr>
          <w:sz w:val="24"/>
          <w:szCs w:val="24"/>
        </w:rPr>
        <w:t xml:space="preserve">Die Bankmitarbeiter am Schalter brauchen ungefähr 5 Minuten, um die Daten der Kunden zu kontrollieren, abzutippen und die Belege abzulegen. Die Personalkosten belaufen sich insgesamt auf 1,6775€. </w:t>
      </w:r>
    </w:p>
    <w:p w14:paraId="3AB89B4B" w14:textId="74A9FD29" w:rsidR="00845EF1" w:rsidRDefault="0077652D" w:rsidP="000801E8">
      <w:pPr>
        <w:spacing w:after="120"/>
        <w:jc w:val="both"/>
        <w:rPr>
          <w:sz w:val="24"/>
          <w:szCs w:val="24"/>
        </w:rPr>
      </w:pPr>
      <w:r w:rsidRPr="00F846C5">
        <w:rPr>
          <w:sz w:val="24"/>
          <w:szCs w:val="24"/>
        </w:rPr>
        <w:t>Hinzu kommen noch die Kosten für den Ausdruck der Belege für den Kunden, damit dieser eine Bestätigung erhält. Diese belaufen sich auf 0,17€ pro Rechnung. In der Regel ist die Quittung nicht länger als eine Seite.</w:t>
      </w:r>
      <w:r w:rsidR="00BE5934">
        <w:rPr>
          <w:rStyle w:val="Funotenzeichen"/>
          <w:sz w:val="24"/>
          <w:szCs w:val="24"/>
        </w:rPr>
        <w:footnoteReference w:id="111"/>
      </w:r>
      <w:r w:rsidR="000801E8">
        <w:rPr>
          <w:sz w:val="24"/>
          <w:szCs w:val="24"/>
        </w:rPr>
        <w:t xml:space="preserve"> Somit</w:t>
      </w:r>
      <w:r w:rsidR="00DA4DDA">
        <w:rPr>
          <w:sz w:val="24"/>
          <w:szCs w:val="24"/>
        </w:rPr>
        <w:t xml:space="preserve"> belaufen sich </w:t>
      </w:r>
      <w:r w:rsidR="000801E8">
        <w:rPr>
          <w:sz w:val="24"/>
          <w:szCs w:val="24"/>
        </w:rPr>
        <w:t xml:space="preserve">die Gesamtkosten </w:t>
      </w:r>
      <w:r w:rsidR="00DA4DDA">
        <w:rPr>
          <w:sz w:val="24"/>
          <w:szCs w:val="24"/>
        </w:rPr>
        <w:t xml:space="preserve">auf 1,8475€. </w:t>
      </w:r>
    </w:p>
    <w:p w14:paraId="3352F342" w14:textId="54C49DFE" w:rsidR="00690B81" w:rsidRPr="00845EF1" w:rsidRDefault="002403CB" w:rsidP="002403CB">
      <w:pPr>
        <w:jc w:val="both"/>
        <w:rPr>
          <w:sz w:val="24"/>
          <w:szCs w:val="24"/>
        </w:rPr>
        <w:sectPr w:rsidR="00690B81" w:rsidRPr="00845EF1" w:rsidSect="00311B73">
          <w:footerReference w:type="default" r:id="rId13"/>
          <w:footerReference w:type="first" r:id="rId14"/>
          <w:pgSz w:w="11906" w:h="16838"/>
          <w:pgMar w:top="1701" w:right="1134" w:bottom="1134" w:left="2268" w:header="708" w:footer="708" w:gutter="0"/>
          <w:pgNumType w:start="0"/>
          <w:cols w:space="708"/>
          <w:titlePg/>
          <w:docGrid w:linePitch="360"/>
        </w:sectPr>
      </w:pPr>
      <w:r w:rsidRPr="002403CB">
        <w:rPr>
          <w:sz w:val="24"/>
          <w:szCs w:val="24"/>
        </w:rPr>
        <w:t>Die Gebühr, die die Bank Austria von ihren Kunden verlangt, ist nicht gerechtfertigt, da der Preis fast 4-mal höher ist als die obige Berechnung. Die niedrigste Gebühr verlangt die Raiffeisenbank, aber auch diese ist nicht fair, da sie ebenfalls über dem Limit liegt.</w:t>
      </w:r>
      <w:r w:rsidR="00F37441">
        <w:rPr>
          <w:sz w:val="24"/>
          <w:szCs w:val="24"/>
        </w:rPr>
        <w:t xml:space="preserve"> </w:t>
      </w:r>
    </w:p>
    <w:p w14:paraId="3B74EBD0" w14:textId="387C30F2" w:rsidR="002226FC" w:rsidRPr="00850FAF" w:rsidRDefault="006D6F8B" w:rsidP="003A25BC">
      <w:pPr>
        <w:pStyle w:val="berschrift2"/>
        <w:spacing w:after="120"/>
        <w:jc w:val="both"/>
        <w:rPr>
          <w:sz w:val="32"/>
          <w:szCs w:val="28"/>
        </w:rPr>
      </w:pPr>
      <w:bookmarkStart w:id="94" w:name="_Toc73014977"/>
      <w:r w:rsidRPr="00850FAF">
        <w:rPr>
          <w:sz w:val="32"/>
          <w:szCs w:val="28"/>
        </w:rPr>
        <w:lastRenderedPageBreak/>
        <w:t>Übersicht der Gebühren diverser Anbieter</w:t>
      </w:r>
      <w:bookmarkEnd w:id="94"/>
    </w:p>
    <w:tbl>
      <w:tblPr>
        <w:tblStyle w:val="Tabellenraster"/>
        <w:tblW w:w="14922" w:type="dxa"/>
        <w:tblInd w:w="-147" w:type="dxa"/>
        <w:tblLook w:val="04A0" w:firstRow="1" w:lastRow="0" w:firstColumn="1" w:lastColumn="0" w:noHBand="0" w:noVBand="1"/>
      </w:tblPr>
      <w:tblGrid>
        <w:gridCol w:w="2836"/>
        <w:gridCol w:w="2693"/>
        <w:gridCol w:w="2551"/>
        <w:gridCol w:w="2410"/>
        <w:gridCol w:w="2156"/>
        <w:gridCol w:w="2276"/>
      </w:tblGrid>
      <w:tr w:rsidR="00F172F6" w:rsidRPr="00125C2F" w14:paraId="02EADA81" w14:textId="77777777" w:rsidTr="002F18A9">
        <w:trPr>
          <w:trHeight w:val="603"/>
        </w:trPr>
        <w:tc>
          <w:tcPr>
            <w:tcW w:w="2836" w:type="dxa"/>
            <w:tcBorders>
              <w:tl2br w:val="single" w:sz="4" w:space="0" w:color="auto"/>
            </w:tcBorders>
            <w:shd w:val="clear" w:color="auto" w:fill="B8CCE4" w:themeFill="accent1" w:themeFillTint="66"/>
          </w:tcPr>
          <w:bookmarkEnd w:id="57"/>
          <w:p w14:paraId="40B03686" w14:textId="77777777" w:rsidR="00F172F6" w:rsidRPr="00125C2F" w:rsidRDefault="00F172F6" w:rsidP="002F18A9">
            <w:pPr>
              <w:jc w:val="right"/>
              <w:rPr>
                <w:b/>
                <w:bCs/>
                <w:sz w:val="18"/>
                <w:szCs w:val="18"/>
              </w:rPr>
            </w:pPr>
            <w:r w:rsidRPr="00125C2F">
              <w:rPr>
                <w:b/>
                <w:bCs/>
                <w:sz w:val="18"/>
                <w:szCs w:val="18"/>
              </w:rPr>
              <w:t>Banken</w:t>
            </w:r>
          </w:p>
          <w:p w14:paraId="43289104" w14:textId="77777777" w:rsidR="00F172F6" w:rsidRPr="00125C2F" w:rsidRDefault="00F172F6" w:rsidP="002F18A9">
            <w:pPr>
              <w:rPr>
                <w:b/>
                <w:bCs/>
                <w:sz w:val="18"/>
                <w:szCs w:val="18"/>
              </w:rPr>
            </w:pPr>
            <w:r w:rsidRPr="00125C2F">
              <w:rPr>
                <w:b/>
                <w:bCs/>
                <w:sz w:val="18"/>
                <w:szCs w:val="18"/>
              </w:rPr>
              <w:t>Gebühren</w:t>
            </w:r>
          </w:p>
        </w:tc>
        <w:tc>
          <w:tcPr>
            <w:tcW w:w="2693" w:type="dxa"/>
            <w:shd w:val="clear" w:color="auto" w:fill="B8CCE4" w:themeFill="accent1" w:themeFillTint="66"/>
            <w:vAlign w:val="center"/>
          </w:tcPr>
          <w:p w14:paraId="0650143C" w14:textId="77777777" w:rsidR="00F172F6" w:rsidRPr="00125C2F" w:rsidRDefault="00F172F6" w:rsidP="002F18A9">
            <w:pPr>
              <w:jc w:val="center"/>
              <w:rPr>
                <w:b/>
                <w:bCs/>
                <w:sz w:val="18"/>
                <w:szCs w:val="18"/>
              </w:rPr>
            </w:pPr>
            <w:r w:rsidRPr="00125C2F">
              <w:rPr>
                <w:b/>
                <w:bCs/>
                <w:sz w:val="18"/>
                <w:szCs w:val="18"/>
              </w:rPr>
              <w:t>UniCredit Bank Austria</w:t>
            </w:r>
          </w:p>
        </w:tc>
        <w:tc>
          <w:tcPr>
            <w:tcW w:w="2551" w:type="dxa"/>
            <w:shd w:val="clear" w:color="auto" w:fill="B8CCE4" w:themeFill="accent1" w:themeFillTint="66"/>
            <w:vAlign w:val="center"/>
          </w:tcPr>
          <w:p w14:paraId="4924E3BD" w14:textId="77777777" w:rsidR="00F172F6" w:rsidRPr="00125C2F" w:rsidRDefault="00F172F6" w:rsidP="002F18A9">
            <w:pPr>
              <w:jc w:val="center"/>
              <w:rPr>
                <w:b/>
                <w:bCs/>
                <w:sz w:val="18"/>
                <w:szCs w:val="18"/>
              </w:rPr>
            </w:pPr>
            <w:r w:rsidRPr="00125C2F">
              <w:rPr>
                <w:b/>
                <w:bCs/>
                <w:sz w:val="18"/>
                <w:szCs w:val="18"/>
              </w:rPr>
              <w:t>BAWAG PSK</w:t>
            </w:r>
          </w:p>
        </w:tc>
        <w:tc>
          <w:tcPr>
            <w:tcW w:w="2410" w:type="dxa"/>
            <w:shd w:val="clear" w:color="auto" w:fill="B8CCE4" w:themeFill="accent1" w:themeFillTint="66"/>
            <w:vAlign w:val="center"/>
          </w:tcPr>
          <w:p w14:paraId="2741AE5E" w14:textId="77777777" w:rsidR="00F172F6" w:rsidRPr="00125C2F" w:rsidRDefault="00F172F6" w:rsidP="002F18A9">
            <w:pPr>
              <w:jc w:val="center"/>
              <w:rPr>
                <w:b/>
                <w:bCs/>
                <w:sz w:val="18"/>
                <w:szCs w:val="18"/>
              </w:rPr>
            </w:pPr>
            <w:r w:rsidRPr="00125C2F">
              <w:rPr>
                <w:b/>
                <w:bCs/>
                <w:sz w:val="18"/>
                <w:szCs w:val="18"/>
              </w:rPr>
              <w:t>Erste Bank</w:t>
            </w:r>
          </w:p>
        </w:tc>
        <w:tc>
          <w:tcPr>
            <w:tcW w:w="2156" w:type="dxa"/>
            <w:shd w:val="clear" w:color="auto" w:fill="B8CCE4" w:themeFill="accent1" w:themeFillTint="66"/>
            <w:vAlign w:val="center"/>
          </w:tcPr>
          <w:p w14:paraId="1DCB046C" w14:textId="77777777" w:rsidR="00F172F6" w:rsidRPr="00125C2F" w:rsidRDefault="00F172F6" w:rsidP="002F18A9">
            <w:pPr>
              <w:jc w:val="center"/>
              <w:rPr>
                <w:b/>
                <w:bCs/>
                <w:sz w:val="18"/>
                <w:szCs w:val="18"/>
              </w:rPr>
            </w:pPr>
            <w:r w:rsidRPr="00125C2F">
              <w:rPr>
                <w:b/>
                <w:bCs/>
                <w:sz w:val="18"/>
                <w:szCs w:val="18"/>
              </w:rPr>
              <w:t>Raiffeisen</w:t>
            </w:r>
          </w:p>
        </w:tc>
        <w:tc>
          <w:tcPr>
            <w:tcW w:w="2276" w:type="dxa"/>
            <w:shd w:val="clear" w:color="auto" w:fill="B8CCE4" w:themeFill="accent1" w:themeFillTint="66"/>
            <w:vAlign w:val="center"/>
          </w:tcPr>
          <w:p w14:paraId="10756686" w14:textId="77777777" w:rsidR="00F172F6" w:rsidRPr="00125C2F" w:rsidRDefault="00F172F6" w:rsidP="002F18A9">
            <w:pPr>
              <w:jc w:val="center"/>
              <w:rPr>
                <w:b/>
                <w:bCs/>
                <w:sz w:val="18"/>
                <w:szCs w:val="18"/>
              </w:rPr>
            </w:pPr>
            <w:r w:rsidRPr="00125C2F">
              <w:rPr>
                <w:b/>
                <w:bCs/>
                <w:sz w:val="18"/>
                <w:szCs w:val="18"/>
              </w:rPr>
              <w:t>Easy Bank</w:t>
            </w:r>
          </w:p>
        </w:tc>
      </w:tr>
      <w:tr w:rsidR="00F172F6" w:rsidRPr="00125C2F" w14:paraId="0C1E37F2" w14:textId="77777777" w:rsidTr="002F18A9">
        <w:tc>
          <w:tcPr>
            <w:tcW w:w="14922" w:type="dxa"/>
            <w:gridSpan w:val="6"/>
            <w:shd w:val="clear" w:color="auto" w:fill="B8CCE4" w:themeFill="accent1" w:themeFillTint="66"/>
          </w:tcPr>
          <w:p w14:paraId="06CD46B5" w14:textId="77777777" w:rsidR="00F172F6" w:rsidRPr="00125C2F" w:rsidRDefault="00F172F6" w:rsidP="002F18A9">
            <w:pPr>
              <w:rPr>
                <w:sz w:val="18"/>
                <w:szCs w:val="18"/>
              </w:rPr>
            </w:pPr>
          </w:p>
        </w:tc>
      </w:tr>
      <w:tr w:rsidR="00F172F6" w:rsidRPr="00125C2F" w14:paraId="156CA358" w14:textId="77777777" w:rsidTr="002F18A9">
        <w:tc>
          <w:tcPr>
            <w:tcW w:w="2836" w:type="dxa"/>
            <w:shd w:val="clear" w:color="auto" w:fill="B8CCE4" w:themeFill="accent1" w:themeFillTint="66"/>
          </w:tcPr>
          <w:p w14:paraId="7E54ED22" w14:textId="77777777" w:rsidR="00F172F6" w:rsidRPr="00125C2F" w:rsidRDefault="00F172F6" w:rsidP="002F18A9">
            <w:pPr>
              <w:rPr>
                <w:b/>
                <w:bCs/>
                <w:sz w:val="18"/>
                <w:szCs w:val="18"/>
              </w:rPr>
            </w:pPr>
            <w:r w:rsidRPr="00125C2F">
              <w:rPr>
                <w:b/>
                <w:bCs/>
                <w:sz w:val="18"/>
                <w:szCs w:val="18"/>
              </w:rPr>
              <w:t>Kontoführung pro Quartal</w:t>
            </w:r>
          </w:p>
        </w:tc>
        <w:tc>
          <w:tcPr>
            <w:tcW w:w="2693" w:type="dxa"/>
            <w:vAlign w:val="center"/>
          </w:tcPr>
          <w:p w14:paraId="1B1A2512" w14:textId="77777777" w:rsidR="00F172F6" w:rsidRPr="00125C2F" w:rsidRDefault="00F172F6" w:rsidP="002F18A9">
            <w:pPr>
              <w:jc w:val="center"/>
              <w:rPr>
                <w:sz w:val="18"/>
                <w:szCs w:val="18"/>
              </w:rPr>
            </w:pPr>
            <w:r>
              <w:rPr>
                <w:sz w:val="18"/>
                <w:szCs w:val="18"/>
              </w:rPr>
              <w:t>0,03% von der größeren Umsatzseite, min. 18,75€</w:t>
            </w:r>
          </w:p>
        </w:tc>
        <w:tc>
          <w:tcPr>
            <w:tcW w:w="2551" w:type="dxa"/>
            <w:vAlign w:val="center"/>
          </w:tcPr>
          <w:p w14:paraId="550CEFE4" w14:textId="77777777" w:rsidR="00F172F6" w:rsidRPr="00125C2F" w:rsidRDefault="00F172F6" w:rsidP="002F18A9">
            <w:pPr>
              <w:jc w:val="center"/>
              <w:rPr>
                <w:sz w:val="18"/>
                <w:szCs w:val="18"/>
              </w:rPr>
            </w:pPr>
            <w:r>
              <w:rPr>
                <w:sz w:val="18"/>
                <w:szCs w:val="18"/>
              </w:rPr>
              <w:t>13,50€</w:t>
            </w:r>
          </w:p>
        </w:tc>
        <w:tc>
          <w:tcPr>
            <w:tcW w:w="2410" w:type="dxa"/>
            <w:vAlign w:val="center"/>
          </w:tcPr>
          <w:p w14:paraId="6C5BDB30" w14:textId="77777777" w:rsidR="00F172F6" w:rsidRPr="00125C2F" w:rsidRDefault="00F172F6" w:rsidP="002F18A9">
            <w:pPr>
              <w:jc w:val="center"/>
              <w:rPr>
                <w:sz w:val="18"/>
                <w:szCs w:val="18"/>
              </w:rPr>
            </w:pPr>
            <w:r>
              <w:rPr>
                <w:sz w:val="18"/>
                <w:szCs w:val="18"/>
              </w:rPr>
              <w:t>11,92€</w:t>
            </w:r>
          </w:p>
        </w:tc>
        <w:tc>
          <w:tcPr>
            <w:tcW w:w="2156" w:type="dxa"/>
            <w:vAlign w:val="center"/>
          </w:tcPr>
          <w:p w14:paraId="1AF4A6B8" w14:textId="77777777" w:rsidR="00F172F6" w:rsidRPr="00125C2F" w:rsidRDefault="00F172F6" w:rsidP="002F18A9">
            <w:pPr>
              <w:jc w:val="center"/>
              <w:rPr>
                <w:sz w:val="18"/>
                <w:szCs w:val="18"/>
              </w:rPr>
            </w:pPr>
            <w:r>
              <w:rPr>
                <w:sz w:val="18"/>
                <w:szCs w:val="18"/>
              </w:rPr>
              <w:t>14,70€</w:t>
            </w:r>
          </w:p>
        </w:tc>
        <w:tc>
          <w:tcPr>
            <w:tcW w:w="2276" w:type="dxa"/>
            <w:vAlign w:val="center"/>
          </w:tcPr>
          <w:p w14:paraId="36AC9213" w14:textId="77777777" w:rsidR="00F172F6" w:rsidRPr="00125C2F" w:rsidRDefault="00F172F6" w:rsidP="002F18A9">
            <w:pPr>
              <w:jc w:val="center"/>
              <w:rPr>
                <w:sz w:val="18"/>
                <w:szCs w:val="18"/>
              </w:rPr>
            </w:pPr>
            <w:r>
              <w:rPr>
                <w:sz w:val="18"/>
                <w:szCs w:val="18"/>
              </w:rPr>
              <w:t>18,00€</w:t>
            </w:r>
          </w:p>
        </w:tc>
      </w:tr>
      <w:tr w:rsidR="00F172F6" w:rsidRPr="00125C2F" w14:paraId="7947CB30" w14:textId="77777777" w:rsidTr="002F18A9">
        <w:trPr>
          <w:trHeight w:val="547"/>
        </w:trPr>
        <w:tc>
          <w:tcPr>
            <w:tcW w:w="14922" w:type="dxa"/>
            <w:gridSpan w:val="6"/>
            <w:shd w:val="clear" w:color="auto" w:fill="B8CCE4" w:themeFill="accent1" w:themeFillTint="66"/>
            <w:vAlign w:val="center"/>
          </w:tcPr>
          <w:p w14:paraId="0A5851D3" w14:textId="77777777" w:rsidR="00F172F6" w:rsidRPr="00125C2F" w:rsidRDefault="00F172F6" w:rsidP="002F18A9">
            <w:pPr>
              <w:rPr>
                <w:sz w:val="18"/>
                <w:szCs w:val="18"/>
              </w:rPr>
            </w:pPr>
            <w:r w:rsidRPr="00125C2F">
              <w:rPr>
                <w:b/>
                <w:bCs/>
                <w:sz w:val="18"/>
                <w:szCs w:val="18"/>
              </w:rPr>
              <w:t>Kontoauszug</w:t>
            </w:r>
          </w:p>
        </w:tc>
      </w:tr>
      <w:tr w:rsidR="00F172F6" w:rsidRPr="00125C2F" w14:paraId="47900DA4" w14:textId="77777777" w:rsidTr="002F18A9">
        <w:tc>
          <w:tcPr>
            <w:tcW w:w="2836" w:type="dxa"/>
            <w:shd w:val="clear" w:color="auto" w:fill="B8CCE4" w:themeFill="accent1" w:themeFillTint="66"/>
          </w:tcPr>
          <w:p w14:paraId="524AF1D6" w14:textId="77777777" w:rsidR="00F172F6" w:rsidRPr="00125C2F" w:rsidRDefault="00F172F6" w:rsidP="002F18A9">
            <w:pPr>
              <w:rPr>
                <w:sz w:val="18"/>
                <w:szCs w:val="18"/>
              </w:rPr>
            </w:pPr>
            <w:r w:rsidRPr="00125C2F">
              <w:rPr>
                <w:sz w:val="18"/>
                <w:szCs w:val="18"/>
              </w:rPr>
              <w:t>Bei einem SB-Automat</w:t>
            </w:r>
          </w:p>
        </w:tc>
        <w:tc>
          <w:tcPr>
            <w:tcW w:w="2693" w:type="dxa"/>
            <w:vAlign w:val="center"/>
          </w:tcPr>
          <w:p w14:paraId="202C9342" w14:textId="77777777" w:rsidR="00F172F6" w:rsidRPr="00125C2F" w:rsidRDefault="00F172F6" w:rsidP="002F18A9">
            <w:pPr>
              <w:jc w:val="center"/>
              <w:rPr>
                <w:sz w:val="18"/>
                <w:szCs w:val="18"/>
              </w:rPr>
            </w:pPr>
            <w:r>
              <w:rPr>
                <w:sz w:val="18"/>
                <w:szCs w:val="18"/>
              </w:rPr>
              <w:t>kostenlos</w:t>
            </w:r>
          </w:p>
        </w:tc>
        <w:tc>
          <w:tcPr>
            <w:tcW w:w="2551" w:type="dxa"/>
          </w:tcPr>
          <w:p w14:paraId="691A0FC2" w14:textId="77777777" w:rsidR="00F172F6" w:rsidRPr="00125C2F" w:rsidRDefault="00F172F6" w:rsidP="002F18A9">
            <w:pPr>
              <w:jc w:val="center"/>
              <w:rPr>
                <w:sz w:val="18"/>
                <w:szCs w:val="18"/>
              </w:rPr>
            </w:pPr>
            <w:r w:rsidRPr="002E4E64">
              <w:rPr>
                <w:sz w:val="18"/>
                <w:szCs w:val="18"/>
              </w:rPr>
              <w:t>kostenlos</w:t>
            </w:r>
          </w:p>
        </w:tc>
        <w:tc>
          <w:tcPr>
            <w:tcW w:w="2410" w:type="dxa"/>
          </w:tcPr>
          <w:p w14:paraId="27DB7BF1" w14:textId="73187663" w:rsidR="00F172F6" w:rsidRPr="00125C2F" w:rsidRDefault="0031508D" w:rsidP="002F18A9">
            <w:pPr>
              <w:jc w:val="center"/>
              <w:rPr>
                <w:sz w:val="18"/>
                <w:szCs w:val="18"/>
              </w:rPr>
            </w:pPr>
            <w:r w:rsidRPr="002E4E64">
              <w:rPr>
                <w:sz w:val="18"/>
                <w:szCs w:val="18"/>
              </w:rPr>
              <w:t>K</w:t>
            </w:r>
            <w:r w:rsidR="00F172F6" w:rsidRPr="002E4E64">
              <w:rPr>
                <w:sz w:val="18"/>
                <w:szCs w:val="18"/>
              </w:rPr>
              <w:t>ostenlos</w:t>
            </w:r>
          </w:p>
        </w:tc>
        <w:tc>
          <w:tcPr>
            <w:tcW w:w="2156" w:type="dxa"/>
          </w:tcPr>
          <w:p w14:paraId="2A2E86B2" w14:textId="77777777" w:rsidR="00F172F6" w:rsidRPr="00125C2F" w:rsidRDefault="00F172F6" w:rsidP="002F18A9">
            <w:pPr>
              <w:jc w:val="center"/>
              <w:rPr>
                <w:sz w:val="18"/>
                <w:szCs w:val="18"/>
              </w:rPr>
            </w:pPr>
            <w:r w:rsidRPr="002E4E64">
              <w:rPr>
                <w:sz w:val="18"/>
                <w:szCs w:val="18"/>
              </w:rPr>
              <w:t>kostenlos</w:t>
            </w:r>
          </w:p>
        </w:tc>
        <w:tc>
          <w:tcPr>
            <w:tcW w:w="2276" w:type="dxa"/>
          </w:tcPr>
          <w:p w14:paraId="55F232B4" w14:textId="77777777" w:rsidR="00F172F6" w:rsidRPr="00125C2F" w:rsidRDefault="00F172F6" w:rsidP="002F18A9">
            <w:pPr>
              <w:jc w:val="center"/>
              <w:rPr>
                <w:sz w:val="18"/>
                <w:szCs w:val="18"/>
              </w:rPr>
            </w:pPr>
            <w:r w:rsidRPr="002E4E64">
              <w:rPr>
                <w:sz w:val="18"/>
                <w:szCs w:val="18"/>
              </w:rPr>
              <w:t>kostenlos</w:t>
            </w:r>
          </w:p>
        </w:tc>
      </w:tr>
      <w:tr w:rsidR="00F172F6" w:rsidRPr="00125C2F" w14:paraId="6ED0F646" w14:textId="77777777" w:rsidTr="002F18A9">
        <w:tc>
          <w:tcPr>
            <w:tcW w:w="2836" w:type="dxa"/>
            <w:shd w:val="clear" w:color="auto" w:fill="B8CCE4" w:themeFill="accent1" w:themeFillTint="66"/>
          </w:tcPr>
          <w:p w14:paraId="7C6815C8" w14:textId="77777777" w:rsidR="00F172F6" w:rsidRPr="00125C2F" w:rsidRDefault="00F172F6" w:rsidP="002F18A9">
            <w:pPr>
              <w:rPr>
                <w:sz w:val="18"/>
                <w:szCs w:val="18"/>
              </w:rPr>
            </w:pPr>
            <w:r w:rsidRPr="00125C2F">
              <w:rPr>
                <w:sz w:val="18"/>
                <w:szCs w:val="18"/>
              </w:rPr>
              <w:t xml:space="preserve">Duplikat </w:t>
            </w:r>
          </w:p>
        </w:tc>
        <w:tc>
          <w:tcPr>
            <w:tcW w:w="2693" w:type="dxa"/>
            <w:vAlign w:val="center"/>
          </w:tcPr>
          <w:p w14:paraId="40188541" w14:textId="77777777" w:rsidR="00F172F6" w:rsidRPr="00125C2F" w:rsidRDefault="00F172F6" w:rsidP="002F18A9">
            <w:pPr>
              <w:jc w:val="center"/>
              <w:rPr>
                <w:sz w:val="18"/>
                <w:szCs w:val="18"/>
              </w:rPr>
            </w:pPr>
            <w:r>
              <w:rPr>
                <w:sz w:val="18"/>
                <w:szCs w:val="18"/>
              </w:rPr>
              <w:t>0,65€ - 1,32€</w:t>
            </w:r>
          </w:p>
        </w:tc>
        <w:tc>
          <w:tcPr>
            <w:tcW w:w="2551" w:type="dxa"/>
            <w:vAlign w:val="center"/>
          </w:tcPr>
          <w:p w14:paraId="07BCE229" w14:textId="77777777" w:rsidR="00F172F6" w:rsidRPr="00125C2F" w:rsidRDefault="00F172F6" w:rsidP="002F18A9">
            <w:pPr>
              <w:jc w:val="center"/>
              <w:rPr>
                <w:sz w:val="18"/>
                <w:szCs w:val="18"/>
              </w:rPr>
            </w:pPr>
            <w:r>
              <w:rPr>
                <w:sz w:val="18"/>
                <w:szCs w:val="18"/>
              </w:rPr>
              <w:t>0,40€</w:t>
            </w:r>
          </w:p>
        </w:tc>
        <w:tc>
          <w:tcPr>
            <w:tcW w:w="2410" w:type="dxa"/>
            <w:vAlign w:val="center"/>
          </w:tcPr>
          <w:p w14:paraId="743D06AC" w14:textId="77777777" w:rsidR="00F172F6" w:rsidRPr="00125C2F" w:rsidRDefault="00F172F6" w:rsidP="002F18A9">
            <w:pPr>
              <w:jc w:val="center"/>
              <w:rPr>
                <w:sz w:val="18"/>
                <w:szCs w:val="18"/>
              </w:rPr>
            </w:pPr>
            <w:r>
              <w:rPr>
                <w:sz w:val="18"/>
                <w:szCs w:val="18"/>
              </w:rPr>
              <w:t>2,14€</w:t>
            </w:r>
          </w:p>
        </w:tc>
        <w:tc>
          <w:tcPr>
            <w:tcW w:w="2156" w:type="dxa"/>
            <w:vAlign w:val="center"/>
          </w:tcPr>
          <w:p w14:paraId="6435F522" w14:textId="77777777" w:rsidR="00F172F6" w:rsidRPr="00125C2F" w:rsidRDefault="00F172F6" w:rsidP="002F18A9">
            <w:pPr>
              <w:jc w:val="center"/>
              <w:rPr>
                <w:sz w:val="18"/>
                <w:szCs w:val="18"/>
              </w:rPr>
            </w:pPr>
            <w:r>
              <w:rPr>
                <w:sz w:val="18"/>
                <w:szCs w:val="18"/>
              </w:rPr>
              <w:t>0,87€</w:t>
            </w:r>
          </w:p>
        </w:tc>
        <w:tc>
          <w:tcPr>
            <w:tcW w:w="2276" w:type="dxa"/>
            <w:vAlign w:val="center"/>
          </w:tcPr>
          <w:p w14:paraId="050A14EA" w14:textId="77777777" w:rsidR="00F172F6" w:rsidRPr="00125C2F" w:rsidRDefault="00F172F6" w:rsidP="002F18A9">
            <w:pPr>
              <w:jc w:val="center"/>
              <w:rPr>
                <w:sz w:val="18"/>
                <w:szCs w:val="18"/>
              </w:rPr>
            </w:pPr>
            <w:r>
              <w:rPr>
                <w:sz w:val="18"/>
                <w:szCs w:val="18"/>
              </w:rPr>
              <w:t>3,75€</w:t>
            </w:r>
          </w:p>
        </w:tc>
      </w:tr>
      <w:tr w:rsidR="00F172F6" w:rsidRPr="00125C2F" w14:paraId="037FAC11" w14:textId="77777777" w:rsidTr="002F18A9">
        <w:tc>
          <w:tcPr>
            <w:tcW w:w="2836" w:type="dxa"/>
            <w:shd w:val="clear" w:color="auto" w:fill="B8CCE4" w:themeFill="accent1" w:themeFillTint="66"/>
          </w:tcPr>
          <w:p w14:paraId="6184CE25" w14:textId="77777777" w:rsidR="00F172F6" w:rsidRPr="00125C2F" w:rsidRDefault="00F172F6" w:rsidP="002F18A9">
            <w:pPr>
              <w:rPr>
                <w:sz w:val="18"/>
                <w:szCs w:val="18"/>
              </w:rPr>
            </w:pPr>
            <w:r w:rsidRPr="00125C2F">
              <w:rPr>
                <w:sz w:val="18"/>
                <w:szCs w:val="18"/>
              </w:rPr>
              <w:t xml:space="preserve">Zusendung </w:t>
            </w:r>
          </w:p>
        </w:tc>
        <w:tc>
          <w:tcPr>
            <w:tcW w:w="2693" w:type="dxa"/>
            <w:vAlign w:val="center"/>
          </w:tcPr>
          <w:p w14:paraId="3EE53EE1" w14:textId="77777777" w:rsidR="00F172F6" w:rsidRPr="00125C2F" w:rsidRDefault="00F172F6" w:rsidP="002F18A9">
            <w:pPr>
              <w:jc w:val="center"/>
              <w:rPr>
                <w:sz w:val="18"/>
                <w:szCs w:val="18"/>
              </w:rPr>
            </w:pPr>
            <w:r>
              <w:rPr>
                <w:sz w:val="18"/>
                <w:szCs w:val="18"/>
              </w:rPr>
              <w:t>Briefporto</w:t>
            </w:r>
          </w:p>
        </w:tc>
        <w:tc>
          <w:tcPr>
            <w:tcW w:w="2551" w:type="dxa"/>
            <w:vAlign w:val="center"/>
          </w:tcPr>
          <w:p w14:paraId="7BAA049E" w14:textId="77777777" w:rsidR="00F172F6" w:rsidRPr="00125C2F" w:rsidRDefault="00F172F6" w:rsidP="002F18A9">
            <w:pPr>
              <w:jc w:val="center"/>
              <w:rPr>
                <w:sz w:val="18"/>
                <w:szCs w:val="18"/>
              </w:rPr>
            </w:pPr>
            <w:r>
              <w:rPr>
                <w:sz w:val="18"/>
                <w:szCs w:val="18"/>
              </w:rPr>
              <w:t>Briefporto</w:t>
            </w:r>
          </w:p>
        </w:tc>
        <w:tc>
          <w:tcPr>
            <w:tcW w:w="2410" w:type="dxa"/>
            <w:vAlign w:val="center"/>
          </w:tcPr>
          <w:p w14:paraId="44801B28" w14:textId="77777777" w:rsidR="00F172F6" w:rsidRPr="00125C2F" w:rsidRDefault="00F172F6" w:rsidP="002F18A9">
            <w:pPr>
              <w:jc w:val="center"/>
              <w:rPr>
                <w:sz w:val="18"/>
                <w:szCs w:val="18"/>
              </w:rPr>
            </w:pPr>
            <w:r>
              <w:rPr>
                <w:sz w:val="18"/>
                <w:szCs w:val="18"/>
              </w:rPr>
              <w:t>0,97€ + Briefporto</w:t>
            </w:r>
          </w:p>
        </w:tc>
        <w:tc>
          <w:tcPr>
            <w:tcW w:w="2156" w:type="dxa"/>
            <w:vAlign w:val="center"/>
          </w:tcPr>
          <w:p w14:paraId="019EADD1" w14:textId="77777777" w:rsidR="00F172F6" w:rsidRPr="00125C2F" w:rsidRDefault="00F172F6" w:rsidP="002F18A9">
            <w:pPr>
              <w:jc w:val="center"/>
              <w:rPr>
                <w:sz w:val="18"/>
                <w:szCs w:val="18"/>
              </w:rPr>
            </w:pPr>
            <w:r>
              <w:rPr>
                <w:sz w:val="18"/>
                <w:szCs w:val="18"/>
              </w:rPr>
              <w:t>Briefporto</w:t>
            </w:r>
          </w:p>
        </w:tc>
        <w:tc>
          <w:tcPr>
            <w:tcW w:w="2276" w:type="dxa"/>
            <w:vAlign w:val="center"/>
          </w:tcPr>
          <w:p w14:paraId="3F7EEE10" w14:textId="77777777" w:rsidR="00F172F6" w:rsidRPr="00125C2F" w:rsidRDefault="00F172F6" w:rsidP="002F18A9">
            <w:pPr>
              <w:jc w:val="center"/>
              <w:rPr>
                <w:sz w:val="18"/>
                <w:szCs w:val="18"/>
              </w:rPr>
            </w:pPr>
            <w:r>
              <w:rPr>
                <w:sz w:val="18"/>
                <w:szCs w:val="18"/>
              </w:rPr>
              <w:t>0,75€ + Briefporto</w:t>
            </w:r>
          </w:p>
        </w:tc>
      </w:tr>
      <w:tr w:rsidR="00F172F6" w:rsidRPr="00125C2F" w14:paraId="07525235" w14:textId="77777777" w:rsidTr="002F18A9">
        <w:trPr>
          <w:trHeight w:val="547"/>
        </w:trPr>
        <w:tc>
          <w:tcPr>
            <w:tcW w:w="14922" w:type="dxa"/>
            <w:gridSpan w:val="6"/>
            <w:shd w:val="clear" w:color="auto" w:fill="B8CCE4" w:themeFill="accent1" w:themeFillTint="66"/>
            <w:vAlign w:val="center"/>
          </w:tcPr>
          <w:p w14:paraId="53F8B55B" w14:textId="77777777" w:rsidR="00F172F6" w:rsidRPr="00125C2F" w:rsidRDefault="00F172F6" w:rsidP="002F18A9">
            <w:pPr>
              <w:rPr>
                <w:sz w:val="18"/>
                <w:szCs w:val="18"/>
              </w:rPr>
            </w:pPr>
            <w:r w:rsidRPr="00125C2F">
              <w:rPr>
                <w:b/>
                <w:bCs/>
                <w:sz w:val="18"/>
                <w:szCs w:val="18"/>
              </w:rPr>
              <w:t>Dauer-/Einziehungsauftrag</w:t>
            </w:r>
          </w:p>
        </w:tc>
      </w:tr>
      <w:tr w:rsidR="00F172F6" w:rsidRPr="00125C2F" w14:paraId="1364294F" w14:textId="77777777" w:rsidTr="002F18A9">
        <w:tc>
          <w:tcPr>
            <w:tcW w:w="2836" w:type="dxa"/>
            <w:shd w:val="clear" w:color="auto" w:fill="B8CCE4" w:themeFill="accent1" w:themeFillTint="66"/>
          </w:tcPr>
          <w:p w14:paraId="7C286F2D" w14:textId="77777777" w:rsidR="00F172F6" w:rsidRPr="00125C2F" w:rsidRDefault="00F172F6" w:rsidP="002F18A9">
            <w:pPr>
              <w:rPr>
                <w:sz w:val="18"/>
                <w:szCs w:val="18"/>
              </w:rPr>
            </w:pPr>
            <w:r w:rsidRPr="00125C2F">
              <w:rPr>
                <w:sz w:val="18"/>
                <w:szCs w:val="18"/>
              </w:rPr>
              <w:t xml:space="preserve">Änderung/Löschung </w:t>
            </w:r>
          </w:p>
        </w:tc>
        <w:tc>
          <w:tcPr>
            <w:tcW w:w="2693" w:type="dxa"/>
            <w:vAlign w:val="center"/>
          </w:tcPr>
          <w:p w14:paraId="363E0CD5" w14:textId="77777777" w:rsidR="00F172F6" w:rsidRPr="00125C2F" w:rsidRDefault="00F172F6" w:rsidP="002F18A9">
            <w:pPr>
              <w:jc w:val="center"/>
              <w:rPr>
                <w:sz w:val="18"/>
                <w:szCs w:val="18"/>
              </w:rPr>
            </w:pPr>
            <w:r>
              <w:rPr>
                <w:sz w:val="18"/>
                <w:szCs w:val="18"/>
              </w:rPr>
              <w:t>3,99€</w:t>
            </w:r>
          </w:p>
        </w:tc>
        <w:tc>
          <w:tcPr>
            <w:tcW w:w="2551" w:type="dxa"/>
            <w:vAlign w:val="center"/>
          </w:tcPr>
          <w:p w14:paraId="057F080C" w14:textId="77777777" w:rsidR="00F172F6" w:rsidRPr="00125C2F" w:rsidRDefault="00F172F6" w:rsidP="002F18A9">
            <w:pPr>
              <w:jc w:val="center"/>
              <w:rPr>
                <w:sz w:val="18"/>
                <w:szCs w:val="18"/>
              </w:rPr>
            </w:pPr>
            <w:r>
              <w:rPr>
                <w:sz w:val="18"/>
                <w:szCs w:val="18"/>
              </w:rPr>
              <w:t>2,39€</w:t>
            </w:r>
          </w:p>
        </w:tc>
        <w:tc>
          <w:tcPr>
            <w:tcW w:w="2410" w:type="dxa"/>
            <w:vAlign w:val="center"/>
          </w:tcPr>
          <w:p w14:paraId="75645E77" w14:textId="0C60B1B8" w:rsidR="00F172F6" w:rsidRPr="00125C2F" w:rsidRDefault="0031508D" w:rsidP="002F18A9">
            <w:pPr>
              <w:jc w:val="center"/>
              <w:rPr>
                <w:sz w:val="18"/>
                <w:szCs w:val="18"/>
              </w:rPr>
            </w:pPr>
            <w:r>
              <w:rPr>
                <w:sz w:val="18"/>
                <w:szCs w:val="18"/>
              </w:rPr>
              <w:t>K</w:t>
            </w:r>
            <w:r w:rsidR="00F172F6">
              <w:rPr>
                <w:sz w:val="18"/>
                <w:szCs w:val="18"/>
              </w:rPr>
              <w:t>ostenlos</w:t>
            </w:r>
          </w:p>
        </w:tc>
        <w:tc>
          <w:tcPr>
            <w:tcW w:w="2156" w:type="dxa"/>
            <w:vAlign w:val="center"/>
          </w:tcPr>
          <w:p w14:paraId="2688FE95" w14:textId="77777777" w:rsidR="00F172F6" w:rsidRPr="00125C2F" w:rsidRDefault="00F172F6" w:rsidP="002F18A9">
            <w:pPr>
              <w:jc w:val="center"/>
              <w:rPr>
                <w:sz w:val="18"/>
                <w:szCs w:val="18"/>
              </w:rPr>
            </w:pPr>
            <w:r>
              <w:rPr>
                <w:sz w:val="18"/>
                <w:szCs w:val="18"/>
              </w:rPr>
              <w:t>2,24€</w:t>
            </w:r>
          </w:p>
        </w:tc>
        <w:tc>
          <w:tcPr>
            <w:tcW w:w="2276" w:type="dxa"/>
            <w:vAlign w:val="center"/>
          </w:tcPr>
          <w:p w14:paraId="709B5DA3" w14:textId="77777777" w:rsidR="00F172F6" w:rsidRPr="00125C2F" w:rsidRDefault="00F172F6" w:rsidP="002F18A9">
            <w:pPr>
              <w:jc w:val="center"/>
              <w:rPr>
                <w:sz w:val="18"/>
                <w:szCs w:val="18"/>
              </w:rPr>
            </w:pPr>
            <w:r>
              <w:rPr>
                <w:sz w:val="18"/>
                <w:szCs w:val="18"/>
              </w:rPr>
              <w:t>kostenlos</w:t>
            </w:r>
          </w:p>
        </w:tc>
      </w:tr>
      <w:tr w:rsidR="00F172F6" w:rsidRPr="00125C2F" w14:paraId="66BC73A3" w14:textId="77777777" w:rsidTr="002F18A9">
        <w:tc>
          <w:tcPr>
            <w:tcW w:w="2836" w:type="dxa"/>
            <w:shd w:val="clear" w:color="auto" w:fill="B8CCE4" w:themeFill="accent1" w:themeFillTint="66"/>
          </w:tcPr>
          <w:p w14:paraId="04916F2E" w14:textId="77777777" w:rsidR="00F172F6" w:rsidRPr="00125C2F" w:rsidRDefault="00F172F6" w:rsidP="002F18A9">
            <w:pPr>
              <w:rPr>
                <w:sz w:val="18"/>
                <w:szCs w:val="18"/>
              </w:rPr>
            </w:pPr>
            <w:r w:rsidRPr="00125C2F">
              <w:rPr>
                <w:sz w:val="18"/>
                <w:szCs w:val="18"/>
              </w:rPr>
              <w:t xml:space="preserve">Nichtdurchführung </w:t>
            </w:r>
          </w:p>
        </w:tc>
        <w:tc>
          <w:tcPr>
            <w:tcW w:w="2693" w:type="dxa"/>
            <w:vAlign w:val="center"/>
          </w:tcPr>
          <w:p w14:paraId="5A62E305" w14:textId="23AD8E33" w:rsidR="00F172F6" w:rsidRPr="00125C2F" w:rsidRDefault="00F172F6" w:rsidP="002F18A9">
            <w:pPr>
              <w:jc w:val="center"/>
              <w:rPr>
                <w:sz w:val="18"/>
                <w:szCs w:val="18"/>
              </w:rPr>
            </w:pPr>
            <w:r>
              <w:rPr>
                <w:sz w:val="18"/>
                <w:szCs w:val="18"/>
              </w:rPr>
              <w:t>8,</w:t>
            </w:r>
            <w:r w:rsidR="00B20634">
              <w:rPr>
                <w:sz w:val="18"/>
                <w:szCs w:val="18"/>
              </w:rPr>
              <w:t>5</w:t>
            </w:r>
            <w:r>
              <w:rPr>
                <w:sz w:val="18"/>
                <w:szCs w:val="18"/>
              </w:rPr>
              <w:t>0€</w:t>
            </w:r>
          </w:p>
        </w:tc>
        <w:tc>
          <w:tcPr>
            <w:tcW w:w="2551" w:type="dxa"/>
            <w:vAlign w:val="center"/>
          </w:tcPr>
          <w:p w14:paraId="1EAC1035" w14:textId="77777777" w:rsidR="00F172F6" w:rsidRPr="00125C2F" w:rsidRDefault="00F172F6" w:rsidP="002F18A9">
            <w:pPr>
              <w:jc w:val="center"/>
              <w:rPr>
                <w:sz w:val="18"/>
                <w:szCs w:val="18"/>
              </w:rPr>
            </w:pPr>
            <w:r>
              <w:rPr>
                <w:sz w:val="18"/>
                <w:szCs w:val="18"/>
              </w:rPr>
              <w:t>7,50€</w:t>
            </w:r>
          </w:p>
        </w:tc>
        <w:tc>
          <w:tcPr>
            <w:tcW w:w="2410" w:type="dxa"/>
            <w:vAlign w:val="center"/>
          </w:tcPr>
          <w:p w14:paraId="49F68F7B" w14:textId="77777777" w:rsidR="00F172F6" w:rsidRPr="00125C2F" w:rsidRDefault="00F172F6" w:rsidP="002F18A9">
            <w:pPr>
              <w:jc w:val="center"/>
              <w:rPr>
                <w:sz w:val="18"/>
                <w:szCs w:val="18"/>
              </w:rPr>
            </w:pPr>
            <w:r>
              <w:rPr>
                <w:sz w:val="18"/>
                <w:szCs w:val="18"/>
              </w:rPr>
              <w:t>5,88€</w:t>
            </w:r>
          </w:p>
        </w:tc>
        <w:tc>
          <w:tcPr>
            <w:tcW w:w="2156" w:type="dxa"/>
            <w:vAlign w:val="center"/>
          </w:tcPr>
          <w:p w14:paraId="12EB2D70" w14:textId="77777777" w:rsidR="00F172F6" w:rsidRPr="00125C2F" w:rsidRDefault="00F172F6" w:rsidP="002F18A9">
            <w:pPr>
              <w:jc w:val="center"/>
              <w:rPr>
                <w:sz w:val="18"/>
                <w:szCs w:val="18"/>
              </w:rPr>
            </w:pPr>
            <w:r>
              <w:rPr>
                <w:sz w:val="18"/>
                <w:szCs w:val="18"/>
              </w:rPr>
              <w:t>6,23€</w:t>
            </w:r>
          </w:p>
        </w:tc>
        <w:tc>
          <w:tcPr>
            <w:tcW w:w="2276" w:type="dxa"/>
            <w:vAlign w:val="center"/>
          </w:tcPr>
          <w:p w14:paraId="633AEDAA" w14:textId="77777777" w:rsidR="00F172F6" w:rsidRPr="00125C2F" w:rsidRDefault="00F172F6" w:rsidP="002F18A9">
            <w:pPr>
              <w:jc w:val="center"/>
              <w:rPr>
                <w:sz w:val="18"/>
                <w:szCs w:val="18"/>
              </w:rPr>
            </w:pPr>
            <w:r>
              <w:rPr>
                <w:sz w:val="18"/>
                <w:szCs w:val="18"/>
              </w:rPr>
              <w:t>6,90€</w:t>
            </w:r>
          </w:p>
        </w:tc>
      </w:tr>
      <w:tr w:rsidR="00F172F6" w:rsidRPr="00125C2F" w14:paraId="1CF4A7BA" w14:textId="77777777" w:rsidTr="002F18A9">
        <w:trPr>
          <w:trHeight w:val="547"/>
        </w:trPr>
        <w:tc>
          <w:tcPr>
            <w:tcW w:w="14922" w:type="dxa"/>
            <w:gridSpan w:val="6"/>
            <w:shd w:val="clear" w:color="auto" w:fill="B8CCE4" w:themeFill="accent1" w:themeFillTint="66"/>
            <w:vAlign w:val="center"/>
          </w:tcPr>
          <w:p w14:paraId="66AD2F18" w14:textId="77777777" w:rsidR="00F172F6" w:rsidRPr="00125C2F" w:rsidRDefault="00F172F6" w:rsidP="002F18A9">
            <w:pPr>
              <w:rPr>
                <w:sz w:val="18"/>
                <w:szCs w:val="18"/>
              </w:rPr>
            </w:pPr>
            <w:r w:rsidRPr="00125C2F">
              <w:rPr>
                <w:b/>
                <w:bCs/>
                <w:sz w:val="18"/>
                <w:szCs w:val="18"/>
              </w:rPr>
              <w:t>Bankkarte (Debitkarte)</w:t>
            </w:r>
          </w:p>
        </w:tc>
      </w:tr>
      <w:tr w:rsidR="00F172F6" w:rsidRPr="00125C2F" w14:paraId="1B8F6FA5" w14:textId="77777777" w:rsidTr="002F18A9">
        <w:tc>
          <w:tcPr>
            <w:tcW w:w="2836" w:type="dxa"/>
            <w:shd w:val="clear" w:color="auto" w:fill="B8CCE4" w:themeFill="accent1" w:themeFillTint="66"/>
          </w:tcPr>
          <w:p w14:paraId="70D355A5" w14:textId="77777777" w:rsidR="00F172F6" w:rsidRPr="00125C2F" w:rsidRDefault="00F172F6" w:rsidP="002F18A9">
            <w:pPr>
              <w:rPr>
                <w:sz w:val="18"/>
                <w:szCs w:val="18"/>
              </w:rPr>
            </w:pPr>
            <w:r w:rsidRPr="00125C2F">
              <w:rPr>
                <w:sz w:val="18"/>
                <w:szCs w:val="18"/>
              </w:rPr>
              <w:t xml:space="preserve">Nachbestellung </w:t>
            </w:r>
          </w:p>
        </w:tc>
        <w:tc>
          <w:tcPr>
            <w:tcW w:w="2693" w:type="dxa"/>
            <w:vAlign w:val="center"/>
          </w:tcPr>
          <w:p w14:paraId="76899B4A" w14:textId="77777777" w:rsidR="00F172F6" w:rsidRPr="00125C2F" w:rsidRDefault="00F172F6" w:rsidP="002F18A9">
            <w:pPr>
              <w:jc w:val="center"/>
              <w:rPr>
                <w:sz w:val="18"/>
                <w:szCs w:val="18"/>
              </w:rPr>
            </w:pPr>
            <w:r>
              <w:rPr>
                <w:sz w:val="18"/>
                <w:szCs w:val="18"/>
              </w:rPr>
              <w:t>14,30€</w:t>
            </w:r>
          </w:p>
        </w:tc>
        <w:tc>
          <w:tcPr>
            <w:tcW w:w="2551" w:type="dxa"/>
            <w:vAlign w:val="center"/>
          </w:tcPr>
          <w:p w14:paraId="18176BEF" w14:textId="77777777" w:rsidR="00F172F6" w:rsidRPr="00125C2F" w:rsidRDefault="00F172F6" w:rsidP="002F18A9">
            <w:pPr>
              <w:jc w:val="center"/>
              <w:rPr>
                <w:sz w:val="18"/>
                <w:szCs w:val="18"/>
              </w:rPr>
            </w:pPr>
            <w:r>
              <w:rPr>
                <w:sz w:val="18"/>
                <w:szCs w:val="18"/>
              </w:rPr>
              <w:t>8,12€</w:t>
            </w:r>
          </w:p>
        </w:tc>
        <w:tc>
          <w:tcPr>
            <w:tcW w:w="2410" w:type="dxa"/>
            <w:vAlign w:val="center"/>
          </w:tcPr>
          <w:p w14:paraId="559461A7" w14:textId="77777777" w:rsidR="00F172F6" w:rsidRPr="00125C2F" w:rsidRDefault="00F172F6" w:rsidP="002F18A9">
            <w:pPr>
              <w:jc w:val="center"/>
              <w:rPr>
                <w:sz w:val="18"/>
                <w:szCs w:val="18"/>
              </w:rPr>
            </w:pPr>
            <w:r>
              <w:rPr>
                <w:sz w:val="18"/>
                <w:szCs w:val="18"/>
              </w:rPr>
              <w:t>4,88€</w:t>
            </w:r>
          </w:p>
        </w:tc>
        <w:tc>
          <w:tcPr>
            <w:tcW w:w="2156" w:type="dxa"/>
            <w:vAlign w:val="center"/>
          </w:tcPr>
          <w:p w14:paraId="3873157E" w14:textId="073015A1" w:rsidR="00F172F6" w:rsidRPr="00125C2F" w:rsidRDefault="003C3111" w:rsidP="002F18A9">
            <w:pPr>
              <w:jc w:val="center"/>
              <w:rPr>
                <w:sz w:val="18"/>
                <w:szCs w:val="18"/>
              </w:rPr>
            </w:pPr>
            <w:r>
              <w:rPr>
                <w:sz w:val="18"/>
                <w:szCs w:val="18"/>
              </w:rPr>
              <w:t>13,72</w:t>
            </w:r>
            <w:r w:rsidR="00F172F6">
              <w:rPr>
                <w:sz w:val="18"/>
                <w:szCs w:val="18"/>
              </w:rPr>
              <w:t>€</w:t>
            </w:r>
          </w:p>
        </w:tc>
        <w:tc>
          <w:tcPr>
            <w:tcW w:w="2276" w:type="dxa"/>
            <w:vAlign w:val="center"/>
          </w:tcPr>
          <w:p w14:paraId="320C43BD" w14:textId="77777777" w:rsidR="00F172F6" w:rsidRPr="00125C2F" w:rsidRDefault="00F172F6" w:rsidP="002F18A9">
            <w:pPr>
              <w:jc w:val="center"/>
              <w:rPr>
                <w:sz w:val="18"/>
                <w:szCs w:val="18"/>
              </w:rPr>
            </w:pPr>
            <w:r>
              <w:rPr>
                <w:sz w:val="18"/>
                <w:szCs w:val="18"/>
              </w:rPr>
              <w:t>8,12€</w:t>
            </w:r>
          </w:p>
        </w:tc>
      </w:tr>
      <w:tr w:rsidR="00F172F6" w:rsidRPr="00125C2F" w14:paraId="4F9D4A10" w14:textId="77777777" w:rsidTr="002F18A9">
        <w:tc>
          <w:tcPr>
            <w:tcW w:w="2836" w:type="dxa"/>
            <w:shd w:val="clear" w:color="auto" w:fill="B8CCE4" w:themeFill="accent1" w:themeFillTint="66"/>
          </w:tcPr>
          <w:p w14:paraId="68BAD971" w14:textId="77777777" w:rsidR="00F172F6" w:rsidRPr="00125C2F" w:rsidRDefault="00F172F6" w:rsidP="002F18A9">
            <w:pPr>
              <w:rPr>
                <w:sz w:val="18"/>
                <w:szCs w:val="18"/>
              </w:rPr>
            </w:pPr>
            <w:r w:rsidRPr="00125C2F">
              <w:rPr>
                <w:sz w:val="18"/>
                <w:szCs w:val="18"/>
              </w:rPr>
              <w:t xml:space="preserve">Sperrung </w:t>
            </w:r>
          </w:p>
        </w:tc>
        <w:tc>
          <w:tcPr>
            <w:tcW w:w="2693" w:type="dxa"/>
            <w:vAlign w:val="center"/>
          </w:tcPr>
          <w:p w14:paraId="6334AF59" w14:textId="77777777" w:rsidR="00F172F6" w:rsidRPr="00125C2F" w:rsidRDefault="00F172F6" w:rsidP="002F18A9">
            <w:pPr>
              <w:jc w:val="center"/>
              <w:rPr>
                <w:sz w:val="18"/>
                <w:szCs w:val="18"/>
              </w:rPr>
            </w:pPr>
            <w:r>
              <w:rPr>
                <w:sz w:val="18"/>
                <w:szCs w:val="18"/>
              </w:rPr>
              <w:t>kostenlos</w:t>
            </w:r>
          </w:p>
        </w:tc>
        <w:tc>
          <w:tcPr>
            <w:tcW w:w="2551" w:type="dxa"/>
            <w:vAlign w:val="center"/>
          </w:tcPr>
          <w:p w14:paraId="7737C75D" w14:textId="77777777" w:rsidR="00F172F6" w:rsidRPr="00125C2F" w:rsidRDefault="00F172F6" w:rsidP="002F18A9">
            <w:pPr>
              <w:jc w:val="center"/>
              <w:rPr>
                <w:sz w:val="18"/>
                <w:szCs w:val="18"/>
              </w:rPr>
            </w:pPr>
            <w:r>
              <w:rPr>
                <w:sz w:val="18"/>
                <w:szCs w:val="18"/>
              </w:rPr>
              <w:t>kostenlos</w:t>
            </w:r>
          </w:p>
        </w:tc>
        <w:tc>
          <w:tcPr>
            <w:tcW w:w="2410" w:type="dxa"/>
            <w:vAlign w:val="center"/>
          </w:tcPr>
          <w:p w14:paraId="31E8396A" w14:textId="1B5AB21D" w:rsidR="00F172F6" w:rsidRPr="00125C2F" w:rsidRDefault="0031508D" w:rsidP="002F18A9">
            <w:pPr>
              <w:jc w:val="center"/>
              <w:rPr>
                <w:sz w:val="18"/>
                <w:szCs w:val="18"/>
              </w:rPr>
            </w:pPr>
            <w:r>
              <w:rPr>
                <w:sz w:val="18"/>
                <w:szCs w:val="18"/>
              </w:rPr>
              <w:t>K</w:t>
            </w:r>
            <w:r w:rsidR="00F172F6">
              <w:rPr>
                <w:sz w:val="18"/>
                <w:szCs w:val="18"/>
              </w:rPr>
              <w:t>ostenlos</w:t>
            </w:r>
          </w:p>
        </w:tc>
        <w:tc>
          <w:tcPr>
            <w:tcW w:w="2156" w:type="dxa"/>
            <w:vAlign w:val="center"/>
          </w:tcPr>
          <w:p w14:paraId="34EF7073" w14:textId="77777777" w:rsidR="00F172F6" w:rsidRPr="00125C2F" w:rsidRDefault="00F172F6" w:rsidP="002F18A9">
            <w:pPr>
              <w:jc w:val="center"/>
              <w:rPr>
                <w:sz w:val="18"/>
                <w:szCs w:val="18"/>
              </w:rPr>
            </w:pPr>
            <w:r>
              <w:rPr>
                <w:sz w:val="18"/>
                <w:szCs w:val="18"/>
              </w:rPr>
              <w:t>kostenlos</w:t>
            </w:r>
          </w:p>
        </w:tc>
        <w:tc>
          <w:tcPr>
            <w:tcW w:w="2276" w:type="dxa"/>
            <w:vAlign w:val="center"/>
          </w:tcPr>
          <w:p w14:paraId="60B9B68E" w14:textId="77777777" w:rsidR="00F172F6" w:rsidRPr="00125C2F" w:rsidRDefault="00F172F6" w:rsidP="002F18A9">
            <w:pPr>
              <w:jc w:val="center"/>
              <w:rPr>
                <w:sz w:val="18"/>
                <w:szCs w:val="18"/>
              </w:rPr>
            </w:pPr>
            <w:r>
              <w:rPr>
                <w:sz w:val="18"/>
                <w:szCs w:val="18"/>
              </w:rPr>
              <w:t>kostenlos</w:t>
            </w:r>
          </w:p>
        </w:tc>
      </w:tr>
      <w:tr w:rsidR="00F172F6" w:rsidRPr="00125C2F" w14:paraId="0E808EEF" w14:textId="77777777" w:rsidTr="002F18A9">
        <w:trPr>
          <w:trHeight w:val="547"/>
        </w:trPr>
        <w:tc>
          <w:tcPr>
            <w:tcW w:w="14922" w:type="dxa"/>
            <w:gridSpan w:val="6"/>
            <w:shd w:val="clear" w:color="auto" w:fill="B8CCE4" w:themeFill="accent1" w:themeFillTint="66"/>
            <w:vAlign w:val="center"/>
          </w:tcPr>
          <w:p w14:paraId="602F37E7" w14:textId="77777777" w:rsidR="00F172F6" w:rsidRPr="00125C2F" w:rsidRDefault="00F172F6" w:rsidP="002F18A9">
            <w:pPr>
              <w:rPr>
                <w:sz w:val="18"/>
                <w:szCs w:val="18"/>
              </w:rPr>
            </w:pPr>
            <w:r w:rsidRPr="00125C2F">
              <w:rPr>
                <w:b/>
                <w:bCs/>
                <w:sz w:val="18"/>
                <w:szCs w:val="18"/>
              </w:rPr>
              <w:t>Bareinzahlung an der Kassa</w:t>
            </w:r>
          </w:p>
        </w:tc>
      </w:tr>
      <w:tr w:rsidR="00F172F6" w:rsidRPr="00125C2F" w14:paraId="581D01DE" w14:textId="77777777" w:rsidTr="002F18A9">
        <w:tc>
          <w:tcPr>
            <w:tcW w:w="2836" w:type="dxa"/>
            <w:shd w:val="clear" w:color="auto" w:fill="B8CCE4" w:themeFill="accent1" w:themeFillTint="66"/>
          </w:tcPr>
          <w:p w14:paraId="74F81D85" w14:textId="77777777" w:rsidR="00F172F6" w:rsidRPr="00125C2F" w:rsidRDefault="00F172F6" w:rsidP="002F18A9">
            <w:pPr>
              <w:rPr>
                <w:sz w:val="18"/>
                <w:szCs w:val="18"/>
              </w:rPr>
            </w:pPr>
            <w:proofErr w:type="gramStart"/>
            <w:r w:rsidRPr="00125C2F">
              <w:rPr>
                <w:sz w:val="18"/>
                <w:szCs w:val="18"/>
              </w:rPr>
              <w:t>Zugunsten eigenes Konto</w:t>
            </w:r>
            <w:proofErr w:type="gramEnd"/>
          </w:p>
        </w:tc>
        <w:tc>
          <w:tcPr>
            <w:tcW w:w="2693" w:type="dxa"/>
            <w:vAlign w:val="center"/>
          </w:tcPr>
          <w:p w14:paraId="6D916815" w14:textId="77777777" w:rsidR="00F172F6" w:rsidRPr="00125C2F" w:rsidRDefault="00F172F6" w:rsidP="002F18A9">
            <w:pPr>
              <w:jc w:val="center"/>
              <w:rPr>
                <w:sz w:val="18"/>
                <w:szCs w:val="18"/>
              </w:rPr>
            </w:pPr>
            <w:r>
              <w:rPr>
                <w:sz w:val="18"/>
                <w:szCs w:val="18"/>
              </w:rPr>
              <w:t>kostenlos</w:t>
            </w:r>
          </w:p>
        </w:tc>
        <w:tc>
          <w:tcPr>
            <w:tcW w:w="2551" w:type="dxa"/>
            <w:vAlign w:val="center"/>
          </w:tcPr>
          <w:p w14:paraId="7E52D5B3" w14:textId="77777777" w:rsidR="00F172F6" w:rsidRPr="00125C2F" w:rsidRDefault="00F172F6" w:rsidP="002F18A9">
            <w:pPr>
              <w:jc w:val="center"/>
              <w:rPr>
                <w:sz w:val="18"/>
                <w:szCs w:val="18"/>
              </w:rPr>
            </w:pPr>
            <w:r>
              <w:rPr>
                <w:sz w:val="18"/>
                <w:szCs w:val="18"/>
              </w:rPr>
              <w:t>kostenlos</w:t>
            </w:r>
          </w:p>
        </w:tc>
        <w:tc>
          <w:tcPr>
            <w:tcW w:w="2410" w:type="dxa"/>
          </w:tcPr>
          <w:p w14:paraId="4ADD3FC5" w14:textId="3595238A" w:rsidR="00F172F6" w:rsidRPr="00125C2F" w:rsidRDefault="0031508D" w:rsidP="002F18A9">
            <w:pPr>
              <w:jc w:val="center"/>
              <w:rPr>
                <w:sz w:val="18"/>
                <w:szCs w:val="18"/>
              </w:rPr>
            </w:pPr>
            <w:r w:rsidRPr="001B6794">
              <w:rPr>
                <w:sz w:val="18"/>
                <w:szCs w:val="18"/>
              </w:rPr>
              <w:t>K</w:t>
            </w:r>
            <w:r w:rsidR="00F172F6" w:rsidRPr="001B6794">
              <w:rPr>
                <w:sz w:val="18"/>
                <w:szCs w:val="18"/>
              </w:rPr>
              <w:t>ostenlos</w:t>
            </w:r>
          </w:p>
        </w:tc>
        <w:tc>
          <w:tcPr>
            <w:tcW w:w="2156" w:type="dxa"/>
          </w:tcPr>
          <w:p w14:paraId="24E43944" w14:textId="77777777" w:rsidR="00F172F6" w:rsidRPr="00125C2F" w:rsidRDefault="00F172F6" w:rsidP="002F18A9">
            <w:pPr>
              <w:jc w:val="center"/>
              <w:rPr>
                <w:sz w:val="18"/>
                <w:szCs w:val="18"/>
              </w:rPr>
            </w:pPr>
            <w:r w:rsidRPr="001B6794">
              <w:rPr>
                <w:sz w:val="18"/>
                <w:szCs w:val="18"/>
              </w:rPr>
              <w:t>kostenlos</w:t>
            </w:r>
          </w:p>
        </w:tc>
        <w:tc>
          <w:tcPr>
            <w:tcW w:w="2276" w:type="dxa"/>
          </w:tcPr>
          <w:p w14:paraId="6275B13B" w14:textId="77777777" w:rsidR="00F172F6" w:rsidRPr="00125C2F" w:rsidRDefault="00F172F6" w:rsidP="002F18A9">
            <w:pPr>
              <w:jc w:val="center"/>
              <w:rPr>
                <w:sz w:val="18"/>
                <w:szCs w:val="18"/>
              </w:rPr>
            </w:pPr>
            <w:r>
              <w:rPr>
                <w:sz w:val="18"/>
                <w:szCs w:val="18"/>
              </w:rPr>
              <w:t>/</w:t>
            </w:r>
          </w:p>
        </w:tc>
      </w:tr>
      <w:tr w:rsidR="00F172F6" w:rsidRPr="00125C2F" w14:paraId="795CC6B2" w14:textId="77777777" w:rsidTr="002F18A9">
        <w:tc>
          <w:tcPr>
            <w:tcW w:w="2836" w:type="dxa"/>
            <w:shd w:val="clear" w:color="auto" w:fill="B8CCE4" w:themeFill="accent1" w:themeFillTint="66"/>
          </w:tcPr>
          <w:p w14:paraId="6BDD8EE4" w14:textId="77777777" w:rsidR="00F172F6" w:rsidRPr="00125C2F" w:rsidRDefault="00F172F6" w:rsidP="002F18A9">
            <w:pPr>
              <w:rPr>
                <w:sz w:val="18"/>
                <w:szCs w:val="18"/>
              </w:rPr>
            </w:pPr>
            <w:r w:rsidRPr="00125C2F">
              <w:rPr>
                <w:sz w:val="18"/>
                <w:szCs w:val="18"/>
              </w:rPr>
              <w:t>Zugunsten fremder Konten</w:t>
            </w:r>
          </w:p>
        </w:tc>
        <w:tc>
          <w:tcPr>
            <w:tcW w:w="2693" w:type="dxa"/>
            <w:vAlign w:val="center"/>
          </w:tcPr>
          <w:p w14:paraId="2DBFBA97" w14:textId="77777777" w:rsidR="00F172F6" w:rsidRPr="00125C2F" w:rsidRDefault="00F172F6" w:rsidP="002F18A9">
            <w:pPr>
              <w:jc w:val="center"/>
              <w:rPr>
                <w:sz w:val="18"/>
                <w:szCs w:val="18"/>
              </w:rPr>
            </w:pPr>
            <w:r w:rsidRPr="00225962">
              <w:rPr>
                <w:sz w:val="18"/>
                <w:szCs w:val="18"/>
              </w:rPr>
              <w:t>7,50€</w:t>
            </w:r>
          </w:p>
        </w:tc>
        <w:tc>
          <w:tcPr>
            <w:tcW w:w="2551" w:type="dxa"/>
            <w:vAlign w:val="center"/>
          </w:tcPr>
          <w:p w14:paraId="2F65ECC7" w14:textId="77777777" w:rsidR="00F172F6" w:rsidRPr="00125C2F" w:rsidRDefault="00F172F6" w:rsidP="002F18A9">
            <w:pPr>
              <w:jc w:val="center"/>
              <w:rPr>
                <w:sz w:val="18"/>
                <w:szCs w:val="18"/>
              </w:rPr>
            </w:pPr>
            <w:r>
              <w:rPr>
                <w:sz w:val="18"/>
                <w:szCs w:val="18"/>
              </w:rPr>
              <w:t>3,50€</w:t>
            </w:r>
          </w:p>
        </w:tc>
        <w:tc>
          <w:tcPr>
            <w:tcW w:w="2410" w:type="dxa"/>
            <w:vAlign w:val="center"/>
          </w:tcPr>
          <w:p w14:paraId="7439516D" w14:textId="77777777" w:rsidR="00F172F6" w:rsidRPr="00125C2F" w:rsidRDefault="00F172F6" w:rsidP="002F18A9">
            <w:pPr>
              <w:jc w:val="center"/>
              <w:rPr>
                <w:sz w:val="18"/>
                <w:szCs w:val="18"/>
              </w:rPr>
            </w:pPr>
            <w:r>
              <w:rPr>
                <w:sz w:val="18"/>
                <w:szCs w:val="18"/>
              </w:rPr>
              <w:t>4,00€</w:t>
            </w:r>
          </w:p>
        </w:tc>
        <w:tc>
          <w:tcPr>
            <w:tcW w:w="2156" w:type="dxa"/>
            <w:vAlign w:val="center"/>
          </w:tcPr>
          <w:p w14:paraId="55F5B935" w14:textId="77777777" w:rsidR="00F172F6" w:rsidRPr="00125C2F" w:rsidRDefault="00F172F6" w:rsidP="002F18A9">
            <w:pPr>
              <w:jc w:val="center"/>
              <w:rPr>
                <w:sz w:val="18"/>
                <w:szCs w:val="18"/>
              </w:rPr>
            </w:pPr>
            <w:r>
              <w:rPr>
                <w:sz w:val="18"/>
                <w:szCs w:val="18"/>
              </w:rPr>
              <w:t>2,53€</w:t>
            </w:r>
          </w:p>
        </w:tc>
        <w:tc>
          <w:tcPr>
            <w:tcW w:w="2276" w:type="dxa"/>
            <w:vAlign w:val="center"/>
          </w:tcPr>
          <w:p w14:paraId="4ECF14C6" w14:textId="77777777" w:rsidR="00F172F6" w:rsidRPr="00125C2F" w:rsidRDefault="00F172F6" w:rsidP="002F18A9">
            <w:pPr>
              <w:jc w:val="center"/>
              <w:rPr>
                <w:sz w:val="18"/>
                <w:szCs w:val="18"/>
              </w:rPr>
            </w:pPr>
            <w:r>
              <w:rPr>
                <w:sz w:val="18"/>
                <w:szCs w:val="18"/>
              </w:rPr>
              <w:t>3,90€</w:t>
            </w:r>
          </w:p>
        </w:tc>
      </w:tr>
      <w:tr w:rsidR="00F172F6" w:rsidRPr="00125C2F" w14:paraId="29D7CDDE" w14:textId="77777777" w:rsidTr="002F18A9">
        <w:tc>
          <w:tcPr>
            <w:tcW w:w="2836" w:type="dxa"/>
            <w:shd w:val="clear" w:color="auto" w:fill="B8CCE4" w:themeFill="accent1" w:themeFillTint="66"/>
          </w:tcPr>
          <w:p w14:paraId="773F818A" w14:textId="77777777" w:rsidR="00F172F6" w:rsidRPr="00125C2F" w:rsidRDefault="00F172F6" w:rsidP="002F18A9">
            <w:pPr>
              <w:rPr>
                <w:sz w:val="18"/>
                <w:szCs w:val="18"/>
              </w:rPr>
            </w:pPr>
            <w:r w:rsidRPr="00125C2F">
              <w:rPr>
                <w:sz w:val="18"/>
                <w:szCs w:val="18"/>
              </w:rPr>
              <w:t xml:space="preserve">Bareinzahlung an der SB-Zone </w:t>
            </w:r>
          </w:p>
        </w:tc>
        <w:tc>
          <w:tcPr>
            <w:tcW w:w="2693" w:type="dxa"/>
            <w:vAlign w:val="center"/>
          </w:tcPr>
          <w:p w14:paraId="5A59741B" w14:textId="77777777" w:rsidR="00F172F6" w:rsidRPr="00125C2F" w:rsidRDefault="00F172F6" w:rsidP="002F18A9">
            <w:pPr>
              <w:jc w:val="center"/>
              <w:rPr>
                <w:sz w:val="18"/>
                <w:szCs w:val="18"/>
              </w:rPr>
            </w:pPr>
            <w:r>
              <w:rPr>
                <w:sz w:val="18"/>
                <w:szCs w:val="18"/>
              </w:rPr>
              <w:t>kostenlos</w:t>
            </w:r>
          </w:p>
        </w:tc>
        <w:tc>
          <w:tcPr>
            <w:tcW w:w="2551" w:type="dxa"/>
            <w:vAlign w:val="center"/>
          </w:tcPr>
          <w:p w14:paraId="34C81C15" w14:textId="77777777" w:rsidR="00F172F6" w:rsidRPr="00125C2F" w:rsidRDefault="00F172F6" w:rsidP="002F18A9">
            <w:pPr>
              <w:jc w:val="center"/>
              <w:rPr>
                <w:sz w:val="18"/>
                <w:szCs w:val="18"/>
              </w:rPr>
            </w:pPr>
            <w:r>
              <w:rPr>
                <w:sz w:val="18"/>
                <w:szCs w:val="18"/>
              </w:rPr>
              <w:t>kostenlos</w:t>
            </w:r>
          </w:p>
        </w:tc>
        <w:tc>
          <w:tcPr>
            <w:tcW w:w="2410" w:type="dxa"/>
            <w:vAlign w:val="center"/>
          </w:tcPr>
          <w:p w14:paraId="7BEA1729" w14:textId="383D4BE8" w:rsidR="00F172F6" w:rsidRPr="00125C2F" w:rsidRDefault="0031508D" w:rsidP="002F18A9">
            <w:pPr>
              <w:jc w:val="center"/>
              <w:rPr>
                <w:sz w:val="18"/>
                <w:szCs w:val="18"/>
              </w:rPr>
            </w:pPr>
            <w:r>
              <w:rPr>
                <w:sz w:val="18"/>
                <w:szCs w:val="18"/>
              </w:rPr>
              <w:t>K</w:t>
            </w:r>
            <w:r w:rsidR="00F172F6">
              <w:rPr>
                <w:sz w:val="18"/>
                <w:szCs w:val="18"/>
              </w:rPr>
              <w:t>ostenlos</w:t>
            </w:r>
          </w:p>
        </w:tc>
        <w:tc>
          <w:tcPr>
            <w:tcW w:w="2156" w:type="dxa"/>
            <w:vAlign w:val="center"/>
          </w:tcPr>
          <w:p w14:paraId="5E876F50" w14:textId="77777777" w:rsidR="00F172F6" w:rsidRPr="00125C2F" w:rsidRDefault="00F172F6" w:rsidP="002F18A9">
            <w:pPr>
              <w:jc w:val="center"/>
              <w:rPr>
                <w:sz w:val="18"/>
                <w:szCs w:val="18"/>
              </w:rPr>
            </w:pPr>
            <w:r>
              <w:rPr>
                <w:sz w:val="18"/>
                <w:szCs w:val="18"/>
              </w:rPr>
              <w:t>kostenlos</w:t>
            </w:r>
          </w:p>
        </w:tc>
        <w:tc>
          <w:tcPr>
            <w:tcW w:w="2276" w:type="dxa"/>
            <w:vAlign w:val="center"/>
          </w:tcPr>
          <w:p w14:paraId="0CC62DCD" w14:textId="77777777" w:rsidR="00F172F6" w:rsidRPr="00125C2F" w:rsidRDefault="00F172F6" w:rsidP="00E9386E">
            <w:pPr>
              <w:keepNext/>
              <w:jc w:val="center"/>
              <w:rPr>
                <w:sz w:val="18"/>
                <w:szCs w:val="18"/>
              </w:rPr>
            </w:pPr>
            <w:r>
              <w:rPr>
                <w:sz w:val="18"/>
                <w:szCs w:val="18"/>
              </w:rPr>
              <w:t>kostenlos</w:t>
            </w:r>
          </w:p>
        </w:tc>
      </w:tr>
    </w:tbl>
    <w:p w14:paraId="1DDA4847" w14:textId="70525D49" w:rsidR="00125C2F" w:rsidRDefault="00E9386E" w:rsidP="00E9386E">
      <w:pPr>
        <w:pStyle w:val="Beschriftung"/>
        <w:sectPr w:rsidR="00125C2F" w:rsidSect="007D582C">
          <w:pgSz w:w="16838" w:h="11906" w:orient="landscape"/>
          <w:pgMar w:top="2268" w:right="1701" w:bottom="1134" w:left="1134" w:header="708" w:footer="708" w:gutter="0"/>
          <w:cols w:space="708"/>
          <w:titlePg/>
          <w:docGrid w:linePitch="360"/>
        </w:sectPr>
      </w:pPr>
      <w:bookmarkStart w:id="95" w:name="_Toc72442165"/>
      <w:r>
        <w:t xml:space="preserve">Tabelle </w:t>
      </w:r>
      <w:r w:rsidR="00623D3F">
        <w:fldChar w:fldCharType="begin"/>
      </w:r>
      <w:r w:rsidR="00623D3F">
        <w:instrText xml:space="preserve"> SEQ Tabelle \* ARABIC </w:instrText>
      </w:r>
      <w:r w:rsidR="00623D3F">
        <w:fldChar w:fldCharType="separate"/>
      </w:r>
      <w:r w:rsidR="00670350">
        <w:rPr>
          <w:noProof/>
        </w:rPr>
        <w:t>11</w:t>
      </w:r>
      <w:r w:rsidR="00623D3F">
        <w:rPr>
          <w:noProof/>
        </w:rPr>
        <w:fldChar w:fldCharType="end"/>
      </w:r>
      <w:r>
        <w:t>: Übersicht der Gebühren diverser Anbieter</w:t>
      </w:r>
      <w:bookmarkEnd w:id="95"/>
    </w:p>
    <w:p w14:paraId="75FD78DE" w14:textId="1CB2AB30" w:rsidR="00333DD3" w:rsidRDefault="00430340" w:rsidP="00FB29B6">
      <w:pPr>
        <w:pStyle w:val="berschrift1"/>
      </w:pPr>
      <w:bookmarkStart w:id="96" w:name="_Toc68526642"/>
      <w:bookmarkStart w:id="97" w:name="_Toc68526664"/>
      <w:bookmarkStart w:id="98" w:name="_Toc68526781"/>
      <w:bookmarkStart w:id="99" w:name="_Toc68527585"/>
      <w:bookmarkStart w:id="100" w:name="_Toc73014978"/>
      <w:r w:rsidRPr="00333527">
        <w:lastRenderedPageBreak/>
        <w:t>Analyse der Bankgebühren innerhalb der EU</w:t>
      </w:r>
      <w:bookmarkEnd w:id="96"/>
      <w:bookmarkEnd w:id="97"/>
      <w:bookmarkEnd w:id="98"/>
      <w:bookmarkEnd w:id="99"/>
      <w:bookmarkEnd w:id="100"/>
    </w:p>
    <w:p w14:paraId="068F4661" w14:textId="11B4D00A" w:rsidR="00933490" w:rsidRDefault="00933490" w:rsidP="005866E2">
      <w:pPr>
        <w:spacing w:after="120"/>
        <w:jc w:val="both"/>
        <w:rPr>
          <w:sz w:val="24"/>
          <w:szCs w:val="24"/>
        </w:rPr>
      </w:pPr>
      <w:r w:rsidRPr="002B3405">
        <w:rPr>
          <w:sz w:val="24"/>
          <w:szCs w:val="24"/>
        </w:rPr>
        <w:t xml:space="preserve">Da in jedem Land unterschiedliche Gebühren erhoben werden und dies nicht vielen Menschen bekannt ist, wurden in diesem Abschnitt der Seminararbeit vier spezifische Grafiken aus verschiedenen Quellen verwendet und analysiert. </w:t>
      </w:r>
    </w:p>
    <w:p w14:paraId="609DD76A" w14:textId="77777777" w:rsidR="00933490" w:rsidRDefault="00933490" w:rsidP="005866E2">
      <w:pPr>
        <w:spacing w:after="120"/>
        <w:jc w:val="both"/>
        <w:rPr>
          <w:sz w:val="24"/>
          <w:szCs w:val="24"/>
        </w:rPr>
      </w:pPr>
    </w:p>
    <w:p w14:paraId="418BA0F9" w14:textId="225DD7CC" w:rsidR="00933490" w:rsidRDefault="00933490" w:rsidP="005866E2">
      <w:pPr>
        <w:spacing w:after="120"/>
        <w:jc w:val="both"/>
        <w:rPr>
          <w:sz w:val="24"/>
          <w:szCs w:val="24"/>
        </w:rPr>
      </w:pPr>
      <w:r w:rsidRPr="002B3405">
        <w:rPr>
          <w:sz w:val="24"/>
          <w:szCs w:val="24"/>
        </w:rPr>
        <w:t>Die erste Grafik gibt einen Überblick über die Höhe der durchschnittlichen Bankgebühren pro Jahr in den 16 ausgewählten europäischen Ländern in absteigender/aufsteigender Reihenfolge.</w:t>
      </w:r>
    </w:p>
    <w:p w14:paraId="052C823B" w14:textId="77777777" w:rsidR="00933490" w:rsidRDefault="00933490" w:rsidP="005866E2">
      <w:pPr>
        <w:spacing w:after="120"/>
        <w:jc w:val="both"/>
        <w:rPr>
          <w:sz w:val="24"/>
          <w:szCs w:val="24"/>
        </w:rPr>
      </w:pPr>
    </w:p>
    <w:p w14:paraId="24AB50F7" w14:textId="178CD219" w:rsidR="00933490" w:rsidRDefault="00933490" w:rsidP="005866E2">
      <w:pPr>
        <w:spacing w:after="120"/>
        <w:jc w:val="both"/>
        <w:rPr>
          <w:sz w:val="24"/>
          <w:szCs w:val="24"/>
        </w:rPr>
      </w:pPr>
      <w:r w:rsidRPr="002B3405">
        <w:rPr>
          <w:sz w:val="24"/>
          <w:szCs w:val="24"/>
        </w:rPr>
        <w:t xml:space="preserve">Die zweite Grafik zeigt, wie viel ein Bankkunde im europäischen Vergleich durchschnittlich für Kontoführungsgebühren zahlt. Zusätzlich werden die Daten von 2010 mit 2016 verglichen, um zu zeigen, wie sich die Zahlen entwickelt haben. Die Gebühren sowohl für den Zahlungsverkehr als auch für Bargeld sind ebenfalls in der gleichen Grafik enthalten und erläutert. </w:t>
      </w:r>
    </w:p>
    <w:p w14:paraId="1064D98F" w14:textId="77777777" w:rsidR="00933490" w:rsidRDefault="00933490" w:rsidP="005866E2">
      <w:pPr>
        <w:spacing w:after="120"/>
        <w:jc w:val="both"/>
        <w:rPr>
          <w:sz w:val="24"/>
          <w:szCs w:val="24"/>
        </w:rPr>
      </w:pPr>
    </w:p>
    <w:p w14:paraId="5B4DEBC5" w14:textId="07FAF993" w:rsidR="00933490" w:rsidRDefault="00933490" w:rsidP="005866E2">
      <w:pPr>
        <w:spacing w:after="120"/>
        <w:jc w:val="both"/>
        <w:rPr>
          <w:sz w:val="24"/>
          <w:szCs w:val="24"/>
        </w:rPr>
      </w:pPr>
      <w:r w:rsidRPr="002B3405">
        <w:rPr>
          <w:sz w:val="24"/>
          <w:szCs w:val="24"/>
        </w:rPr>
        <w:t xml:space="preserve">Die dritte Grafik beschreibt die Antworten auf die Frage "Welche Bankgebühren ärgern Sie am meisten?" und gibt die jeweiligen Prozentwerte der Antworten an, um einen klaren Vergleich zu ermöglichen. </w:t>
      </w:r>
    </w:p>
    <w:p w14:paraId="42453FD7" w14:textId="77777777" w:rsidR="00933490" w:rsidRDefault="00933490" w:rsidP="005866E2">
      <w:pPr>
        <w:spacing w:after="120"/>
        <w:jc w:val="both"/>
        <w:rPr>
          <w:sz w:val="24"/>
          <w:szCs w:val="24"/>
        </w:rPr>
      </w:pPr>
    </w:p>
    <w:p w14:paraId="575ACED0" w14:textId="77777777" w:rsidR="00933490" w:rsidRDefault="00933490" w:rsidP="005866E2">
      <w:pPr>
        <w:spacing w:after="120"/>
        <w:jc w:val="both"/>
        <w:rPr>
          <w:sz w:val="24"/>
          <w:szCs w:val="24"/>
        </w:rPr>
      </w:pPr>
      <w:r w:rsidRPr="002B3405">
        <w:rPr>
          <w:sz w:val="24"/>
          <w:szCs w:val="24"/>
        </w:rPr>
        <w:t>In der letzten Grafik wurden die Österreicher befragt, ob sie Bankgebühren als ungerecht oder gerecht empfinden. Zusätzlich wurden jeweils auch die Gründe dafür angegeben.</w:t>
      </w:r>
    </w:p>
    <w:p w14:paraId="084B5879" w14:textId="77777777" w:rsidR="00933490" w:rsidRDefault="00933490" w:rsidP="005866E2">
      <w:pPr>
        <w:spacing w:after="120"/>
        <w:jc w:val="both"/>
      </w:pPr>
    </w:p>
    <w:p w14:paraId="53541567" w14:textId="77777777" w:rsidR="00933490" w:rsidRDefault="00933490" w:rsidP="003A25BC">
      <w:pPr>
        <w:spacing w:after="120"/>
        <w:jc w:val="both"/>
      </w:pPr>
    </w:p>
    <w:p w14:paraId="7AB213E8" w14:textId="4D8DC890" w:rsidR="00430340" w:rsidRPr="00333DD3" w:rsidRDefault="00333DD3" w:rsidP="003A25BC">
      <w:pPr>
        <w:spacing w:after="120"/>
        <w:jc w:val="both"/>
        <w:rPr>
          <w:rFonts w:eastAsiaTheme="majorEastAsia" w:cstheme="majorBidi"/>
          <w:b/>
          <w:bCs/>
          <w:sz w:val="24"/>
          <w:szCs w:val="28"/>
        </w:rPr>
      </w:pPr>
      <w:r>
        <w:br w:type="page"/>
      </w:r>
    </w:p>
    <w:p w14:paraId="23446628" w14:textId="1A18EE8C" w:rsidR="00E65020" w:rsidRPr="00850FAF" w:rsidRDefault="00850FAF" w:rsidP="00850FAF">
      <w:pPr>
        <w:pStyle w:val="berschrift2"/>
        <w:spacing w:after="120"/>
        <w:rPr>
          <w:szCs w:val="28"/>
        </w:rPr>
      </w:pPr>
      <w:bookmarkStart w:id="101" w:name="_Toc73014979"/>
      <w:bookmarkStart w:id="102" w:name="_Hlk68528309"/>
      <w:r w:rsidRPr="00850FAF">
        <w:rPr>
          <w:noProof/>
          <w:szCs w:val="28"/>
        </w:rPr>
        <w:lastRenderedPageBreak/>
        <mc:AlternateContent>
          <mc:Choice Requires="wps">
            <w:drawing>
              <wp:anchor distT="0" distB="0" distL="114300" distR="114300" simplePos="0" relativeHeight="251665408" behindDoc="0" locked="0" layoutInCell="1" allowOverlap="1" wp14:anchorId="38C65D20" wp14:editId="36F0CE9C">
                <wp:simplePos x="0" y="0"/>
                <wp:positionH relativeFrom="column">
                  <wp:posOffset>1038860</wp:posOffset>
                </wp:positionH>
                <wp:positionV relativeFrom="paragraph">
                  <wp:posOffset>5201285</wp:posOffset>
                </wp:positionV>
                <wp:extent cx="3942080" cy="635"/>
                <wp:effectExtent l="0" t="0" r="1270" b="0"/>
                <wp:wrapTopAndBottom/>
                <wp:docPr id="7" name="Textfeld 7"/>
                <wp:cNvGraphicFramePr/>
                <a:graphic xmlns:a="http://schemas.openxmlformats.org/drawingml/2006/main">
                  <a:graphicData uri="http://schemas.microsoft.com/office/word/2010/wordprocessingShape">
                    <wps:wsp>
                      <wps:cNvSpPr txBox="1"/>
                      <wps:spPr>
                        <a:xfrm>
                          <a:off x="0" y="0"/>
                          <a:ext cx="3942080" cy="635"/>
                        </a:xfrm>
                        <a:prstGeom prst="rect">
                          <a:avLst/>
                        </a:prstGeom>
                        <a:solidFill>
                          <a:prstClr val="white"/>
                        </a:solidFill>
                        <a:ln>
                          <a:noFill/>
                        </a:ln>
                      </wps:spPr>
                      <wps:txbx>
                        <w:txbxContent>
                          <w:p w14:paraId="42681BCD" w14:textId="061E0ED8" w:rsidR="00B57FAB" w:rsidRPr="00117362" w:rsidRDefault="00B57FAB" w:rsidP="00E9386E">
                            <w:pPr>
                              <w:pStyle w:val="Beschriftung"/>
                              <w:rPr>
                                <w:noProof/>
                                <w:color w:val="auto"/>
                                <w:sz w:val="24"/>
                                <w:shd w:val="clear" w:color="auto" w:fill="FFFFFF"/>
                              </w:rPr>
                            </w:pPr>
                            <w:bookmarkStart w:id="103" w:name="_Toc72442211"/>
                            <w:r>
                              <w:t xml:space="preserve">Abbildung </w:t>
                            </w:r>
                            <w:r w:rsidR="00623D3F">
                              <w:fldChar w:fldCharType="begin"/>
                            </w:r>
                            <w:r w:rsidR="00623D3F">
                              <w:instrText xml:space="preserve"> SEQ Abbildung \* ARABIC </w:instrText>
                            </w:r>
                            <w:r w:rsidR="00623D3F">
                              <w:fldChar w:fldCharType="separate"/>
                            </w:r>
                            <w:r w:rsidR="00670350">
                              <w:rPr>
                                <w:noProof/>
                              </w:rPr>
                              <w:t>1</w:t>
                            </w:r>
                            <w:r w:rsidR="00623D3F">
                              <w:rPr>
                                <w:noProof/>
                              </w:rPr>
                              <w:fldChar w:fldCharType="end"/>
                            </w:r>
                            <w:r>
                              <w:t>: Durchschnittliche jährliche Bankgebühren in Europa nach Ländern in Euro (Statista, 2009)</w:t>
                            </w:r>
                            <w:bookmarkEnd w:id="10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C65D20" id="_x0000_t202" coordsize="21600,21600" o:spt="202" path="m,l,21600r21600,l21600,xe">
                <v:stroke joinstyle="miter"/>
                <v:path gradientshapeok="t" o:connecttype="rect"/>
              </v:shapetype>
              <v:shape id="Textfeld 7" o:spid="_x0000_s1026" type="#_x0000_t202" style="position:absolute;left:0;text-align:left;margin-left:81.8pt;margin-top:409.55pt;width:310.4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" stroked="f">
                <v:textbox style="mso-fit-shape-to-text:t" inset="0,0,0,0">
                  <w:txbxContent>
                    <w:p w14:paraId="42681BCD" w14:textId="061E0ED8" w:rsidR="00B57FAB" w:rsidRPr="00117362" w:rsidRDefault="00B57FAB" w:rsidP="00E9386E">
                      <w:pPr>
                        <w:pStyle w:val="Beschriftung"/>
                        <w:rPr>
                          <w:noProof/>
                          <w:color w:val="auto"/>
                          <w:sz w:val="24"/>
                          <w:shd w:val="clear" w:color="auto" w:fill="FFFFFF"/>
                        </w:rPr>
                      </w:pPr>
                      <w:bookmarkStart w:id="104" w:name="_Toc72442211"/>
                      <w:r>
                        <w:t xml:space="preserve">Abbildung </w:t>
                      </w:r>
                      <w:r w:rsidR="00623D3F">
                        <w:fldChar w:fldCharType="begin"/>
                      </w:r>
                      <w:r w:rsidR="00623D3F">
                        <w:instrText xml:space="preserve"> SEQ Abbildung \* ARABIC </w:instrText>
                      </w:r>
                      <w:r w:rsidR="00623D3F">
                        <w:fldChar w:fldCharType="separate"/>
                      </w:r>
                      <w:r w:rsidR="00670350">
                        <w:rPr>
                          <w:noProof/>
                        </w:rPr>
                        <w:t>1</w:t>
                      </w:r>
                      <w:r w:rsidR="00623D3F">
                        <w:rPr>
                          <w:noProof/>
                        </w:rPr>
                        <w:fldChar w:fldCharType="end"/>
                      </w:r>
                      <w:r>
                        <w:t>: Durchschnittliche jährliche Bankgebühren in Europa nach Ländern in Euro (Statista, 2009)</w:t>
                      </w:r>
                      <w:bookmarkEnd w:id="104"/>
                    </w:p>
                  </w:txbxContent>
                </v:textbox>
                <w10:wrap type="topAndBottom"/>
              </v:shape>
            </w:pict>
          </mc:Fallback>
        </mc:AlternateContent>
      </w:r>
      <w:r w:rsidRPr="00850FAF">
        <w:rPr>
          <w:noProof/>
          <w:szCs w:val="28"/>
        </w:rPr>
        <w:drawing>
          <wp:anchor distT="0" distB="0" distL="114300" distR="114300" simplePos="0" relativeHeight="251661312" behindDoc="0" locked="0" layoutInCell="1" allowOverlap="1" wp14:anchorId="414CD5BC" wp14:editId="414A8796">
            <wp:simplePos x="0" y="0"/>
            <wp:positionH relativeFrom="column">
              <wp:posOffset>434719</wp:posOffset>
            </wp:positionH>
            <wp:positionV relativeFrom="paragraph">
              <wp:posOffset>693496</wp:posOffset>
            </wp:positionV>
            <wp:extent cx="4666615" cy="4513580"/>
            <wp:effectExtent l="0" t="0" r="635" b="127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666615" cy="4513580"/>
                    </a:xfrm>
                    <a:prstGeom prst="rect">
                      <a:avLst/>
                    </a:prstGeom>
                  </pic:spPr>
                </pic:pic>
              </a:graphicData>
            </a:graphic>
            <wp14:sizeRelH relativeFrom="margin">
              <wp14:pctWidth>0</wp14:pctWidth>
            </wp14:sizeRelH>
            <wp14:sizeRelV relativeFrom="margin">
              <wp14:pctHeight>0</wp14:pctHeight>
            </wp14:sizeRelV>
          </wp:anchor>
        </w:drawing>
      </w:r>
      <w:r w:rsidR="00430340" w:rsidRPr="00850FAF">
        <w:rPr>
          <w:szCs w:val="28"/>
        </w:rPr>
        <w:t xml:space="preserve">Durchschnittliche jährliche Bankgebühren in </w:t>
      </w:r>
      <w:r w:rsidR="002C69DA" w:rsidRPr="00850FAF">
        <w:rPr>
          <w:szCs w:val="28"/>
        </w:rPr>
        <w:t>Europa</w:t>
      </w:r>
      <w:r w:rsidR="00430340" w:rsidRPr="00850FAF">
        <w:rPr>
          <w:szCs w:val="28"/>
        </w:rPr>
        <w:t xml:space="preserve"> nach</w:t>
      </w:r>
      <w:r w:rsidRPr="00850FAF">
        <w:rPr>
          <w:szCs w:val="28"/>
        </w:rPr>
        <w:t xml:space="preserve"> </w:t>
      </w:r>
      <w:r w:rsidR="00430340" w:rsidRPr="00850FAF">
        <w:rPr>
          <w:szCs w:val="28"/>
        </w:rPr>
        <w:t>Ländern</w:t>
      </w:r>
      <w:bookmarkEnd w:id="101"/>
      <w:r w:rsidR="00430340" w:rsidRPr="00850FAF">
        <w:rPr>
          <w:szCs w:val="28"/>
        </w:rPr>
        <w:t xml:space="preserve"> </w:t>
      </w:r>
    </w:p>
    <w:p w14:paraId="2D74B926" w14:textId="31503718" w:rsidR="0010328E" w:rsidRDefault="0010328E" w:rsidP="00C660EE">
      <w:pPr>
        <w:spacing w:after="120"/>
        <w:jc w:val="both"/>
        <w:rPr>
          <w:sz w:val="24"/>
          <w:szCs w:val="24"/>
        </w:rPr>
      </w:pPr>
    </w:p>
    <w:p w14:paraId="5ED23CFD" w14:textId="008DD640" w:rsidR="0057386C" w:rsidRDefault="00C660EE" w:rsidP="00C660EE">
      <w:pPr>
        <w:spacing w:after="120"/>
        <w:jc w:val="both"/>
        <w:rPr>
          <w:sz w:val="24"/>
          <w:szCs w:val="24"/>
        </w:rPr>
      </w:pPr>
      <w:r w:rsidRPr="005552AB">
        <w:rPr>
          <w:sz w:val="24"/>
          <w:szCs w:val="24"/>
        </w:rPr>
        <w:t xml:space="preserve">Diese Grafik stellt die durchschnittlichen jährlichen Bankgebühren der europäischen Länder aus dem Jahr 2009 gegenüber. Hierfür wurden 16 EU-Länder betrachtet und diese sind Italien, Spanien, Frankreich, Österreich, Großbritannien, Deutschland, Irland, Ungarn, Dänemark, Polen, Schweden, Belgien, Griechenland, Niederlande und Bulgarien. </w:t>
      </w:r>
    </w:p>
    <w:p w14:paraId="3074721E" w14:textId="7D4B9786" w:rsidR="00333DD3" w:rsidRDefault="00C660EE" w:rsidP="0010328E">
      <w:pPr>
        <w:spacing w:after="120"/>
        <w:jc w:val="both"/>
      </w:pPr>
      <w:r w:rsidRPr="005552AB">
        <w:rPr>
          <w:sz w:val="24"/>
          <w:szCs w:val="24"/>
        </w:rPr>
        <w:t xml:space="preserve">Die höchsten Bankgebühren pro Jahr in Höhe von 253 € zahlten die italienischen Bürger.  In Spanien </w:t>
      </w:r>
      <w:r w:rsidR="00D11938">
        <w:rPr>
          <w:sz w:val="24"/>
          <w:szCs w:val="24"/>
        </w:rPr>
        <w:t>betrugen diese</w:t>
      </w:r>
      <w:r w:rsidRPr="005552AB">
        <w:rPr>
          <w:sz w:val="24"/>
          <w:szCs w:val="24"/>
        </w:rPr>
        <w:t xml:space="preserve"> durchschnittlich 178€. In Bulgarien lagen die durchschnittlichen Bankgebühren bei 27€. </w:t>
      </w:r>
      <w:r w:rsidRPr="00B9092D">
        <w:rPr>
          <w:sz w:val="24"/>
          <w:szCs w:val="24"/>
        </w:rPr>
        <w:t xml:space="preserve">Da </w:t>
      </w:r>
      <w:r w:rsidR="00D11938">
        <w:rPr>
          <w:sz w:val="24"/>
          <w:szCs w:val="24"/>
        </w:rPr>
        <w:t>Bulgarien</w:t>
      </w:r>
      <w:r w:rsidRPr="00B9092D">
        <w:rPr>
          <w:sz w:val="24"/>
          <w:szCs w:val="24"/>
        </w:rPr>
        <w:t xml:space="preserve"> auf der Liste ganz unten </w:t>
      </w:r>
      <w:r w:rsidR="00D11938">
        <w:rPr>
          <w:sz w:val="24"/>
          <w:szCs w:val="24"/>
        </w:rPr>
        <w:t>steht</w:t>
      </w:r>
      <w:r w:rsidRPr="00B9092D">
        <w:rPr>
          <w:sz w:val="24"/>
          <w:szCs w:val="24"/>
        </w:rPr>
        <w:t xml:space="preserve">, gehört das Land zu den Ländern, die viel weniger für Bankgebühren zahlen. </w:t>
      </w:r>
      <w:r w:rsidRPr="005552AB">
        <w:rPr>
          <w:sz w:val="24"/>
          <w:szCs w:val="24"/>
        </w:rPr>
        <w:t xml:space="preserve">Österreich befindet sich in dieser Liste in der vierten Reihe, was bedeutet, dass die österreichische Bevölkerung die vierthöchsten Bankgebühren im </w:t>
      </w:r>
      <w:r w:rsidRPr="005552AB">
        <w:rPr>
          <w:sz w:val="24"/>
          <w:szCs w:val="24"/>
        </w:rPr>
        <w:lastRenderedPageBreak/>
        <w:t>Vergleich zu den 15 anderen europäischen Ländern zahlt.</w:t>
      </w:r>
      <w:r w:rsidR="009F4868">
        <w:rPr>
          <w:sz w:val="24"/>
          <w:szCs w:val="24"/>
        </w:rPr>
        <w:t xml:space="preserve"> </w:t>
      </w:r>
      <w:r w:rsidR="009F4868" w:rsidRPr="009F4868">
        <w:rPr>
          <w:sz w:val="24"/>
          <w:szCs w:val="24"/>
        </w:rPr>
        <w:t>Österreich wird gefolgt von Großbritannien (103 €) und Deutschland (89 €). Darüber hinaus fallen in Irland im Vergleich zu Italien drei Mal so wenig Bankgebühren an.</w:t>
      </w:r>
    </w:p>
    <w:p w14:paraId="01857781" w14:textId="77777777" w:rsidR="0010328E" w:rsidRPr="0057386C" w:rsidRDefault="0010328E" w:rsidP="0010328E">
      <w:pPr>
        <w:spacing w:after="120"/>
        <w:jc w:val="both"/>
        <w:rPr>
          <w:sz w:val="24"/>
          <w:szCs w:val="24"/>
        </w:rPr>
      </w:pPr>
    </w:p>
    <w:p w14:paraId="238DC00C" w14:textId="59004DEC" w:rsidR="002925AF" w:rsidRDefault="00841040" w:rsidP="002925AF">
      <w:pPr>
        <w:pStyle w:val="berschrift2"/>
        <w:spacing w:after="120"/>
        <w:jc w:val="both"/>
      </w:pPr>
      <w:bookmarkStart w:id="105" w:name="_Toc73014980"/>
      <w:r>
        <w:rPr>
          <w:noProof/>
        </w:rPr>
        <mc:AlternateContent>
          <mc:Choice Requires="wps">
            <w:drawing>
              <wp:anchor distT="0" distB="0" distL="114300" distR="114300" simplePos="0" relativeHeight="251667456" behindDoc="0" locked="0" layoutInCell="1" allowOverlap="1" wp14:anchorId="5805E4A8" wp14:editId="1E74C7C9">
                <wp:simplePos x="0" y="0"/>
                <wp:positionH relativeFrom="column">
                  <wp:posOffset>400050</wp:posOffset>
                </wp:positionH>
                <wp:positionV relativeFrom="paragraph">
                  <wp:posOffset>4817110</wp:posOffset>
                </wp:positionV>
                <wp:extent cx="3764280" cy="635"/>
                <wp:effectExtent l="0" t="0" r="7620" b="0"/>
                <wp:wrapTopAndBottom/>
                <wp:docPr id="8" name="Textfeld 8"/>
                <wp:cNvGraphicFramePr/>
                <a:graphic xmlns:a="http://schemas.openxmlformats.org/drawingml/2006/main">
                  <a:graphicData uri="http://schemas.microsoft.com/office/word/2010/wordprocessingShape">
                    <wps:wsp>
                      <wps:cNvSpPr txBox="1"/>
                      <wps:spPr>
                        <a:xfrm>
                          <a:off x="0" y="0"/>
                          <a:ext cx="3764280" cy="635"/>
                        </a:xfrm>
                        <a:prstGeom prst="rect">
                          <a:avLst/>
                        </a:prstGeom>
                        <a:solidFill>
                          <a:prstClr val="white"/>
                        </a:solidFill>
                        <a:ln>
                          <a:noFill/>
                        </a:ln>
                      </wps:spPr>
                      <wps:txbx>
                        <w:txbxContent>
                          <w:p w14:paraId="2AABFDE6" w14:textId="6AEE80BA" w:rsidR="00B57FAB" w:rsidRPr="00861B35" w:rsidRDefault="00B57FAB" w:rsidP="002925AF">
                            <w:pPr>
                              <w:pStyle w:val="Beschriftung"/>
                              <w:rPr>
                                <w:noProof/>
                                <w:color w:val="auto"/>
                                <w:sz w:val="24"/>
                                <w:shd w:val="clear" w:color="auto" w:fill="FFFFFF"/>
                              </w:rPr>
                            </w:pPr>
                            <w:bookmarkStart w:id="106" w:name="_Toc72442212"/>
                            <w:r>
                              <w:t xml:space="preserve">Abbildung </w:t>
                            </w:r>
                            <w:r w:rsidR="00623D3F">
                              <w:fldChar w:fldCharType="begin"/>
                            </w:r>
                            <w:r w:rsidR="00623D3F">
                              <w:instrText xml:space="preserve"> SEQ Abbildung \* ARABIC </w:instrText>
                            </w:r>
                            <w:r w:rsidR="00623D3F">
                              <w:fldChar w:fldCharType="separate"/>
                            </w:r>
                            <w:r w:rsidR="00670350">
                              <w:rPr>
                                <w:noProof/>
                              </w:rPr>
                              <w:t>2</w:t>
                            </w:r>
                            <w:r w:rsidR="00623D3F">
                              <w:rPr>
                                <w:noProof/>
                              </w:rPr>
                              <w:fldChar w:fldCharType="end"/>
                            </w:r>
                            <w:r>
                              <w:t>: Durchschnittliche Kontoführungsgebühren 2016 (Wirtschaftskammer Österreich, 2018)</w:t>
                            </w:r>
                            <w:bookmarkEnd w:id="10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05E4A8" id="Textfeld 8" o:spid="_x0000_s1027" type="#_x0000_t202" style="position:absolute;left:0;text-align:left;margin-left:31.5pt;margin-top:379.3pt;width:296.4pt;height:.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" stroked="f">
                <v:textbox style="mso-fit-shape-to-text:t" inset="0,0,0,0">
                  <w:txbxContent>
                    <w:p w14:paraId="2AABFDE6" w14:textId="6AEE80BA" w:rsidR="00B57FAB" w:rsidRPr="00861B35" w:rsidRDefault="00B57FAB" w:rsidP="002925AF">
                      <w:pPr>
                        <w:pStyle w:val="Beschriftung"/>
                        <w:rPr>
                          <w:noProof/>
                          <w:color w:val="auto"/>
                          <w:sz w:val="24"/>
                          <w:shd w:val="clear" w:color="auto" w:fill="FFFFFF"/>
                        </w:rPr>
                      </w:pPr>
                      <w:bookmarkStart w:id="107" w:name="_Toc72442212"/>
                      <w:r>
                        <w:t xml:space="preserve">Abbildung </w:t>
                      </w:r>
                      <w:r w:rsidR="00623D3F">
                        <w:fldChar w:fldCharType="begin"/>
                      </w:r>
                      <w:r w:rsidR="00623D3F">
                        <w:instrText xml:space="preserve"> SEQ Abbildung \* ARABIC </w:instrText>
                      </w:r>
                      <w:r w:rsidR="00623D3F">
                        <w:fldChar w:fldCharType="separate"/>
                      </w:r>
                      <w:r w:rsidR="00670350">
                        <w:rPr>
                          <w:noProof/>
                        </w:rPr>
                        <w:t>2</w:t>
                      </w:r>
                      <w:r w:rsidR="00623D3F">
                        <w:rPr>
                          <w:noProof/>
                        </w:rPr>
                        <w:fldChar w:fldCharType="end"/>
                      </w:r>
                      <w:r>
                        <w:t>: Durchschnittliche Kontoführungsgebühren 2016 (Wirtschaftskammer Österreich, 2018)</w:t>
                      </w:r>
                      <w:bookmarkEnd w:id="107"/>
                    </w:p>
                  </w:txbxContent>
                </v:textbox>
                <w10:wrap type="topAndBottom"/>
              </v:shape>
            </w:pict>
          </mc:Fallback>
        </mc:AlternateContent>
      </w:r>
      <w:r>
        <w:rPr>
          <w:noProof/>
        </w:rPr>
        <w:drawing>
          <wp:anchor distT="0" distB="0" distL="114300" distR="114300" simplePos="0" relativeHeight="251660288" behindDoc="0" locked="0" layoutInCell="1" allowOverlap="1" wp14:anchorId="1AED450C" wp14:editId="27F151E3">
            <wp:simplePos x="0" y="0"/>
            <wp:positionH relativeFrom="column">
              <wp:posOffset>343609</wp:posOffset>
            </wp:positionH>
            <wp:positionV relativeFrom="paragraph">
              <wp:posOffset>4324581</wp:posOffset>
            </wp:positionV>
            <wp:extent cx="4057015" cy="403225"/>
            <wp:effectExtent l="0" t="0" r="635"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057015" cy="403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0C9C23F" wp14:editId="1B21AA2A">
            <wp:simplePos x="0" y="0"/>
            <wp:positionH relativeFrom="column">
              <wp:posOffset>400050</wp:posOffset>
            </wp:positionH>
            <wp:positionV relativeFrom="paragraph">
              <wp:posOffset>304223</wp:posOffset>
            </wp:positionV>
            <wp:extent cx="3843020" cy="3949700"/>
            <wp:effectExtent l="0" t="0" r="508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11520" b="8395"/>
                    <a:stretch/>
                  </pic:blipFill>
                  <pic:spPr bwMode="auto">
                    <a:xfrm>
                      <a:off x="0" y="0"/>
                      <a:ext cx="3843020" cy="394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0340" w:rsidRPr="00333527">
        <w:t>Kontoführung</w:t>
      </w:r>
      <w:r w:rsidR="005E13B0">
        <w:t xml:space="preserve"> – Durchschnittspreis </w:t>
      </w:r>
      <w:r w:rsidR="008F1AC1">
        <w:t xml:space="preserve">Österreich </w:t>
      </w:r>
      <w:r w:rsidR="005E13B0">
        <w:t xml:space="preserve">vs. </w:t>
      </w:r>
      <w:r w:rsidR="00430340" w:rsidRPr="00333527">
        <w:t>EU</w:t>
      </w:r>
      <w:bookmarkEnd w:id="105"/>
    </w:p>
    <w:p w14:paraId="74C907D6" w14:textId="73C78CFD" w:rsidR="0010328E" w:rsidRPr="0010328E" w:rsidRDefault="0010328E" w:rsidP="0010328E"/>
    <w:p w14:paraId="48068F86" w14:textId="77777777" w:rsidR="00E76A7C" w:rsidRPr="00740F4C" w:rsidRDefault="00E76A7C" w:rsidP="00E76A7C">
      <w:pPr>
        <w:spacing w:after="120"/>
        <w:jc w:val="both"/>
        <w:rPr>
          <w:sz w:val="24"/>
          <w:szCs w:val="24"/>
        </w:rPr>
      </w:pPr>
      <w:r w:rsidRPr="00740F4C">
        <w:rPr>
          <w:sz w:val="24"/>
          <w:szCs w:val="24"/>
        </w:rPr>
        <w:t xml:space="preserve">In dieser Grafik ist ersichtlich, dass die Bankkunden in Österreich im Jahr 2016 um 9,50€ höhere Kontoführungsgebühren im Vergleich zu 2010 bezahlen mussten. Die Gebühren für die Kontoführung betrugen im Jahr 2010 durchschnittlich 48,70€ und im Jahr 2016 58,20€. </w:t>
      </w:r>
    </w:p>
    <w:p w14:paraId="3EBCD5FB" w14:textId="30CD4355" w:rsidR="00E76A7C" w:rsidRPr="00740F4C" w:rsidRDefault="00E76A7C" w:rsidP="00E76A7C">
      <w:pPr>
        <w:spacing w:after="120"/>
        <w:jc w:val="both"/>
        <w:rPr>
          <w:sz w:val="24"/>
          <w:szCs w:val="24"/>
        </w:rPr>
      </w:pPr>
      <w:r w:rsidRPr="00740F4C">
        <w:rPr>
          <w:sz w:val="24"/>
          <w:szCs w:val="24"/>
        </w:rPr>
        <w:t xml:space="preserve">In der Europäischen Union ist die Höhe der Kontoführungsgebühren in sechs Jahren rasant um 73,60€ gestiegen. Im Jahr 2010 lagen die Bankgebühren bei 26,30€ und im Jahr 2016 bei 99,9€. </w:t>
      </w:r>
    </w:p>
    <w:p w14:paraId="0F801C24" w14:textId="3B3B6DA6" w:rsidR="00E76A7C" w:rsidRPr="00EC13F2" w:rsidRDefault="00E76A7C" w:rsidP="00E76A7C">
      <w:pPr>
        <w:spacing w:after="120"/>
        <w:jc w:val="both"/>
        <w:rPr>
          <w:sz w:val="24"/>
          <w:szCs w:val="24"/>
        </w:rPr>
      </w:pPr>
      <w:r w:rsidRPr="00740F4C">
        <w:rPr>
          <w:sz w:val="24"/>
          <w:szCs w:val="24"/>
        </w:rPr>
        <w:lastRenderedPageBreak/>
        <w:t xml:space="preserve">Aus der Grafik kann man erkennen, dass sich die Gebühren in sechs Jahren sehr stark entwickelt haben, dies ist auf den Trend der pauschalen Abrechnung zurückzuführen. </w:t>
      </w:r>
      <w:r w:rsidRPr="00EC13F2">
        <w:rPr>
          <w:sz w:val="24"/>
          <w:szCs w:val="24"/>
        </w:rPr>
        <w:t xml:space="preserve">Da die befragten Österreicher in die Filialen gehen, um Bargeld abzuheben, kann man sehen, dass die Bargeldgebühren seit 2010 um 3,40€ gesunken sind. In den EU-Ländern wurden die Bargeldgebühren um beachtliche 18,30 € reduziert. </w:t>
      </w:r>
    </w:p>
    <w:p w14:paraId="1504A240" w14:textId="456205AA" w:rsidR="00430340" w:rsidRPr="000E485C" w:rsidRDefault="00E76A7C" w:rsidP="00841040">
      <w:pPr>
        <w:spacing w:after="120"/>
        <w:jc w:val="both"/>
        <w:rPr>
          <w:sz w:val="24"/>
          <w:szCs w:val="24"/>
        </w:rPr>
      </w:pPr>
      <w:r w:rsidRPr="00EC13F2">
        <w:rPr>
          <w:sz w:val="24"/>
          <w:szCs w:val="24"/>
        </w:rPr>
        <w:t xml:space="preserve">Die Gebühren für Zahlungsvorgänge wie Überweisungen oder Lastschriften sind in Europa höher als in Österreich, sowohl 2010 als auch 2016. Die durchschnittliche österreichische Zahlungsverkehrsgebühr lag 2016 bei 11,40 € und die europäische Gebühr bei 12,20 €. </w:t>
      </w:r>
    </w:p>
    <w:p w14:paraId="706BF1FE" w14:textId="63FC7639" w:rsidR="000E485C" w:rsidRPr="00E76A7C" w:rsidRDefault="000E485C" w:rsidP="003A25BC">
      <w:pPr>
        <w:spacing w:after="120"/>
        <w:jc w:val="both"/>
        <w:rPr>
          <w:sz w:val="24"/>
          <w:szCs w:val="24"/>
        </w:rPr>
      </w:pPr>
    </w:p>
    <w:p w14:paraId="0B9A6C0A" w14:textId="42B19F84" w:rsidR="00556EE8" w:rsidRDefault="00841040" w:rsidP="003A25BC">
      <w:pPr>
        <w:pStyle w:val="berschrift2"/>
        <w:spacing w:after="120"/>
        <w:jc w:val="both"/>
      </w:pPr>
      <w:bookmarkStart w:id="108" w:name="_Toc73014981"/>
      <w:r>
        <w:rPr>
          <w:noProof/>
        </w:rPr>
        <mc:AlternateContent>
          <mc:Choice Requires="wps">
            <w:drawing>
              <wp:anchor distT="0" distB="0" distL="114300" distR="114300" simplePos="0" relativeHeight="251669504" behindDoc="0" locked="0" layoutInCell="1" allowOverlap="1" wp14:anchorId="11402DF2" wp14:editId="3A5BE95E">
                <wp:simplePos x="0" y="0"/>
                <wp:positionH relativeFrom="column">
                  <wp:posOffset>322415</wp:posOffset>
                </wp:positionH>
                <wp:positionV relativeFrom="paragraph">
                  <wp:posOffset>3418205</wp:posOffset>
                </wp:positionV>
                <wp:extent cx="4305935" cy="635"/>
                <wp:effectExtent l="0" t="0" r="0" b="0"/>
                <wp:wrapTopAndBottom/>
                <wp:docPr id="9" name="Textfeld 9"/>
                <wp:cNvGraphicFramePr/>
                <a:graphic xmlns:a="http://schemas.openxmlformats.org/drawingml/2006/main">
                  <a:graphicData uri="http://schemas.microsoft.com/office/word/2010/wordprocessingShape">
                    <wps:wsp>
                      <wps:cNvSpPr txBox="1"/>
                      <wps:spPr>
                        <a:xfrm>
                          <a:off x="0" y="0"/>
                          <a:ext cx="4305935" cy="635"/>
                        </a:xfrm>
                        <a:prstGeom prst="rect">
                          <a:avLst/>
                        </a:prstGeom>
                        <a:solidFill>
                          <a:prstClr val="white"/>
                        </a:solidFill>
                        <a:ln>
                          <a:noFill/>
                        </a:ln>
                      </wps:spPr>
                      <wps:txbx>
                        <w:txbxContent>
                          <w:p w14:paraId="06C6EB59" w14:textId="4EC4141B" w:rsidR="00B57FAB" w:rsidRPr="00206429" w:rsidRDefault="00B57FAB" w:rsidP="000B647B">
                            <w:pPr>
                              <w:pStyle w:val="Beschriftung"/>
                              <w:rPr>
                                <w:noProof/>
                                <w:color w:val="auto"/>
                                <w:sz w:val="24"/>
                                <w:shd w:val="clear" w:color="auto" w:fill="FFFFFF"/>
                              </w:rPr>
                            </w:pPr>
                            <w:bookmarkStart w:id="109" w:name="_Toc72442213"/>
                            <w:r>
                              <w:t xml:space="preserve">Abbildung </w:t>
                            </w:r>
                            <w:r w:rsidR="00623D3F">
                              <w:fldChar w:fldCharType="begin"/>
                            </w:r>
                            <w:r w:rsidR="00623D3F">
                              <w:instrText xml:space="preserve"> SEQ Abbildung \* ARABIC </w:instrText>
                            </w:r>
                            <w:r w:rsidR="00623D3F">
                              <w:fldChar w:fldCharType="separate"/>
                            </w:r>
                            <w:r w:rsidR="00670350">
                              <w:rPr>
                                <w:noProof/>
                              </w:rPr>
                              <w:t>3</w:t>
                            </w:r>
                            <w:r w:rsidR="00623D3F">
                              <w:rPr>
                                <w:noProof/>
                              </w:rPr>
                              <w:fldChar w:fldCharType="end"/>
                            </w:r>
                            <w:r>
                              <w:t>: Kontoführungsgebühren sind unbeliebt (Kostenloser-Girokonto-Vergleich, 2014)</w:t>
                            </w:r>
                            <w:bookmarkEnd w:id="10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402DF2" id="Textfeld 9" o:spid="_x0000_s1028" type="#_x0000_t202" style="position:absolute;left:0;text-align:left;margin-left:25.4pt;margin-top:269.15pt;width:339.0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" stroked="f">
                <v:textbox style="mso-fit-shape-to-text:t" inset="0,0,0,0">
                  <w:txbxContent>
                    <w:p w14:paraId="06C6EB59" w14:textId="4EC4141B" w:rsidR="00B57FAB" w:rsidRPr="00206429" w:rsidRDefault="00B57FAB" w:rsidP="000B647B">
                      <w:pPr>
                        <w:pStyle w:val="Beschriftung"/>
                        <w:rPr>
                          <w:noProof/>
                          <w:color w:val="auto"/>
                          <w:sz w:val="24"/>
                          <w:shd w:val="clear" w:color="auto" w:fill="FFFFFF"/>
                        </w:rPr>
                      </w:pPr>
                      <w:bookmarkStart w:id="110" w:name="_Toc72442213"/>
                      <w:r>
                        <w:t xml:space="preserve">Abbildung </w:t>
                      </w:r>
                      <w:r w:rsidR="00623D3F">
                        <w:fldChar w:fldCharType="begin"/>
                      </w:r>
                      <w:r w:rsidR="00623D3F">
                        <w:instrText xml:space="preserve"> SEQ Abbildung \* ARABIC </w:instrText>
                      </w:r>
                      <w:r w:rsidR="00623D3F">
                        <w:fldChar w:fldCharType="separate"/>
                      </w:r>
                      <w:r w:rsidR="00670350">
                        <w:rPr>
                          <w:noProof/>
                        </w:rPr>
                        <w:t>3</w:t>
                      </w:r>
                      <w:r w:rsidR="00623D3F">
                        <w:rPr>
                          <w:noProof/>
                        </w:rPr>
                        <w:fldChar w:fldCharType="end"/>
                      </w:r>
                      <w:r>
                        <w:t>: Kontoführungsgebühren sind unbeliebt (Kostenloser-Girokonto-Vergleich, 2014)</w:t>
                      </w:r>
                      <w:bookmarkEnd w:id="110"/>
                    </w:p>
                  </w:txbxContent>
                </v:textbox>
                <w10:wrap type="topAndBottom"/>
              </v:shape>
            </w:pict>
          </mc:Fallback>
        </mc:AlternateContent>
      </w:r>
      <w:r>
        <w:rPr>
          <w:noProof/>
        </w:rPr>
        <w:drawing>
          <wp:anchor distT="0" distB="0" distL="114300" distR="114300" simplePos="0" relativeHeight="251663360" behindDoc="0" locked="0" layoutInCell="1" allowOverlap="1" wp14:anchorId="3BE2C844" wp14:editId="7698F6AE">
            <wp:simplePos x="0" y="0"/>
            <wp:positionH relativeFrom="column">
              <wp:posOffset>317204</wp:posOffset>
            </wp:positionH>
            <wp:positionV relativeFrom="paragraph">
              <wp:posOffset>313690</wp:posOffset>
            </wp:positionV>
            <wp:extent cx="4043045" cy="3027680"/>
            <wp:effectExtent l="0" t="0" r="0" b="1270"/>
            <wp:wrapTopAndBottom/>
            <wp:docPr id="4" name="Grafik 4" descr="Neue Vorschriften bei den Kontokosten - Mehr Transparenz für Ku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ue Vorschriften bei den Kontokosten - Mehr Transparenz für Kund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3045" cy="302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340" w:rsidRPr="00333527">
        <w:t>Kontoführungsgebühren sind unbeliebt</w:t>
      </w:r>
      <w:bookmarkEnd w:id="108"/>
    </w:p>
    <w:p w14:paraId="20FA3E3B" w14:textId="672DAB2B" w:rsidR="000B647B" w:rsidRDefault="000B647B" w:rsidP="00C2449C">
      <w:pPr>
        <w:spacing w:after="120"/>
        <w:jc w:val="both"/>
      </w:pPr>
    </w:p>
    <w:p w14:paraId="5A870F52" w14:textId="130E3239" w:rsidR="00C2449C" w:rsidRPr="003F7F05" w:rsidRDefault="00C2449C" w:rsidP="00C2449C">
      <w:pPr>
        <w:spacing w:after="120"/>
        <w:jc w:val="both"/>
        <w:rPr>
          <w:sz w:val="24"/>
          <w:szCs w:val="24"/>
        </w:rPr>
      </w:pPr>
      <w:r w:rsidRPr="003F7F05">
        <w:rPr>
          <w:sz w:val="24"/>
          <w:szCs w:val="24"/>
        </w:rPr>
        <w:t>Da viele Menschen mit den anfallenden Bankgebühren nicht zufrieden sind, wurde im Auftrag der ING-</w:t>
      </w:r>
      <w:proofErr w:type="spellStart"/>
      <w:r w:rsidRPr="003F7F05">
        <w:rPr>
          <w:sz w:val="24"/>
          <w:szCs w:val="24"/>
        </w:rPr>
        <w:t>Diba</w:t>
      </w:r>
      <w:proofErr w:type="spellEnd"/>
      <w:r w:rsidRPr="003F7F05">
        <w:rPr>
          <w:sz w:val="24"/>
          <w:szCs w:val="24"/>
        </w:rPr>
        <w:t xml:space="preserve"> Direktbank eine Umfrage durchgeführt, um die betroffenen Gebühren zu ermitteln.  Etwa 1000 deutsche Bürger wurden im Jahr 2014 befragt, um herauszufinden, was diese Leute darüber denken. </w:t>
      </w:r>
    </w:p>
    <w:p w14:paraId="0A63A94A" w14:textId="2251DD58" w:rsidR="00C2449C" w:rsidRPr="003F7F05" w:rsidRDefault="00C2449C" w:rsidP="00C2449C">
      <w:pPr>
        <w:spacing w:after="120"/>
        <w:jc w:val="both"/>
        <w:rPr>
          <w:sz w:val="24"/>
          <w:szCs w:val="24"/>
        </w:rPr>
      </w:pPr>
      <w:r w:rsidRPr="003F7F05">
        <w:rPr>
          <w:sz w:val="24"/>
          <w:szCs w:val="24"/>
        </w:rPr>
        <w:lastRenderedPageBreak/>
        <w:t xml:space="preserve">Die Mehrheit (38%) der Befragten ist mit den Kontoführungsgebühren nicht zufrieden. 22% der Teilnehmer finden es nicht in Ordnung, dass Banken Strafzinsen bei Kontoüberziehung verlangen. </w:t>
      </w:r>
    </w:p>
    <w:p w14:paraId="2C622FF6" w14:textId="668F7C04" w:rsidR="00C2449C" w:rsidRPr="003F7F05" w:rsidRDefault="00C2449C" w:rsidP="00C2449C">
      <w:pPr>
        <w:spacing w:after="120"/>
        <w:jc w:val="both"/>
        <w:rPr>
          <w:sz w:val="24"/>
          <w:szCs w:val="24"/>
        </w:rPr>
      </w:pPr>
      <w:r w:rsidRPr="003F7F05">
        <w:rPr>
          <w:sz w:val="24"/>
          <w:szCs w:val="24"/>
        </w:rPr>
        <w:t xml:space="preserve">25% der Teilnehmer, die in die Bankfiliale gehen, um Geld </w:t>
      </w:r>
      <w:r w:rsidR="006F2A3D">
        <w:rPr>
          <w:sz w:val="24"/>
          <w:szCs w:val="24"/>
        </w:rPr>
        <w:t>vom</w:t>
      </w:r>
      <w:r w:rsidRPr="003F7F05">
        <w:rPr>
          <w:sz w:val="24"/>
          <w:szCs w:val="24"/>
        </w:rPr>
        <w:t xml:space="preserve"> Geldautomaten abzuheben, sind sehr verärgert, weil die Gebühren zu hoch und unfair sind. </w:t>
      </w:r>
    </w:p>
    <w:p w14:paraId="4DD6AD0F" w14:textId="115D930A" w:rsidR="00C2449C" w:rsidRPr="003F7F05" w:rsidRDefault="00C2449C" w:rsidP="00C2449C">
      <w:pPr>
        <w:spacing w:after="120"/>
        <w:jc w:val="both"/>
        <w:rPr>
          <w:sz w:val="24"/>
          <w:szCs w:val="24"/>
        </w:rPr>
      </w:pPr>
      <w:r w:rsidRPr="003F7F05">
        <w:rPr>
          <w:sz w:val="24"/>
          <w:szCs w:val="24"/>
        </w:rPr>
        <w:t xml:space="preserve">Alle anderen Gebühren, die in diesem Abschnitt nicht genannt wurden, werden von 8% der Deutschen nicht gern gesehen. </w:t>
      </w:r>
    </w:p>
    <w:p w14:paraId="746ACF2E" w14:textId="4984350B" w:rsidR="000E485C" w:rsidRDefault="00C2449C" w:rsidP="003A25BC">
      <w:pPr>
        <w:spacing w:after="120"/>
        <w:jc w:val="both"/>
        <w:rPr>
          <w:sz w:val="24"/>
          <w:szCs w:val="24"/>
        </w:rPr>
      </w:pPr>
      <w:r w:rsidRPr="003F7F05">
        <w:rPr>
          <w:sz w:val="24"/>
          <w:szCs w:val="24"/>
        </w:rPr>
        <w:t>Die Minderheit der befragten Gruppe, mit 7%, steht den Gebühren generell neutral gegenüber und beschwert sich überhaupt nicht über die Höhe der Gebühren</w:t>
      </w:r>
      <w:r w:rsidR="00841040">
        <w:rPr>
          <w:sz w:val="24"/>
          <w:szCs w:val="24"/>
        </w:rPr>
        <w:t>.</w:t>
      </w:r>
    </w:p>
    <w:p w14:paraId="6FF3CC12" w14:textId="77777777" w:rsidR="00850FAF" w:rsidRPr="00841040" w:rsidRDefault="00850FAF" w:rsidP="003A25BC">
      <w:pPr>
        <w:spacing w:after="120"/>
        <w:jc w:val="both"/>
      </w:pPr>
    </w:p>
    <w:p w14:paraId="0FD9C248" w14:textId="48910453" w:rsidR="009255CF" w:rsidRDefault="00841040" w:rsidP="001436E1">
      <w:pPr>
        <w:pStyle w:val="berschrift2"/>
        <w:spacing w:after="120"/>
        <w:jc w:val="both"/>
      </w:pPr>
      <w:bookmarkStart w:id="111" w:name="_Toc73014982"/>
      <w:r>
        <w:rPr>
          <w:noProof/>
        </w:rPr>
        <mc:AlternateContent>
          <mc:Choice Requires="wps">
            <w:drawing>
              <wp:anchor distT="0" distB="0" distL="114300" distR="114300" simplePos="0" relativeHeight="251671552" behindDoc="0" locked="0" layoutInCell="1" allowOverlap="1" wp14:anchorId="7E333228" wp14:editId="76C13617">
                <wp:simplePos x="0" y="0"/>
                <wp:positionH relativeFrom="column">
                  <wp:posOffset>257810</wp:posOffset>
                </wp:positionH>
                <wp:positionV relativeFrom="paragraph">
                  <wp:posOffset>4179570</wp:posOffset>
                </wp:positionV>
                <wp:extent cx="3902075" cy="635"/>
                <wp:effectExtent l="0" t="0" r="0" b="0"/>
                <wp:wrapTopAndBottom/>
                <wp:docPr id="10" name="Textfeld 10"/>
                <wp:cNvGraphicFramePr/>
                <a:graphic xmlns:a="http://schemas.openxmlformats.org/drawingml/2006/main">
                  <a:graphicData uri="http://schemas.microsoft.com/office/word/2010/wordprocessingShape">
                    <wps:wsp>
                      <wps:cNvSpPr txBox="1"/>
                      <wps:spPr>
                        <a:xfrm>
                          <a:off x="0" y="0"/>
                          <a:ext cx="3902075" cy="635"/>
                        </a:xfrm>
                        <a:prstGeom prst="rect">
                          <a:avLst/>
                        </a:prstGeom>
                        <a:solidFill>
                          <a:prstClr val="white"/>
                        </a:solidFill>
                        <a:ln>
                          <a:noFill/>
                        </a:ln>
                      </wps:spPr>
                      <wps:txbx>
                        <w:txbxContent>
                          <w:p w14:paraId="1E40D4CC" w14:textId="0817BE7C" w:rsidR="00B57FAB" w:rsidRPr="00A512D3" w:rsidRDefault="00B57FAB" w:rsidP="009255CF">
                            <w:pPr>
                              <w:pStyle w:val="Beschriftung"/>
                              <w:rPr>
                                <w:noProof/>
                                <w:color w:val="auto"/>
                                <w:sz w:val="24"/>
                                <w:shd w:val="clear" w:color="auto" w:fill="FFFFFF"/>
                              </w:rPr>
                            </w:pPr>
                            <w:bookmarkStart w:id="112" w:name="_Toc72442214"/>
                            <w:r>
                              <w:t xml:space="preserve">Abbildung </w:t>
                            </w:r>
                            <w:r w:rsidR="00623D3F">
                              <w:fldChar w:fldCharType="begin"/>
                            </w:r>
                            <w:r w:rsidR="00623D3F">
                              <w:instrText xml:space="preserve"> SEQ Abbildung \* ARABIC </w:instrText>
                            </w:r>
                            <w:r w:rsidR="00623D3F">
                              <w:fldChar w:fldCharType="separate"/>
                            </w:r>
                            <w:r w:rsidR="00670350">
                              <w:rPr>
                                <w:noProof/>
                              </w:rPr>
                              <w:t>4</w:t>
                            </w:r>
                            <w:r w:rsidR="00623D3F">
                              <w:rPr>
                                <w:noProof/>
                              </w:rPr>
                              <w:fldChar w:fldCharType="end"/>
                            </w:r>
                            <w:r>
                              <w:t>: Bankgebühren: fair oder nicht (OTS, 2017)</w:t>
                            </w:r>
                            <w:bookmarkEnd w:id="1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333228" id="Textfeld 10" o:spid="_x0000_s1029" type="#_x0000_t202" style="position:absolute;left:0;text-align:left;margin-left:20.3pt;margin-top:329.1pt;width:307.2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" stroked="f">
                <v:textbox style="mso-fit-shape-to-text:t" inset="0,0,0,0">
                  <w:txbxContent>
                    <w:p w14:paraId="1E40D4CC" w14:textId="0817BE7C" w:rsidR="00B57FAB" w:rsidRPr="00A512D3" w:rsidRDefault="00B57FAB" w:rsidP="009255CF">
                      <w:pPr>
                        <w:pStyle w:val="Beschriftung"/>
                        <w:rPr>
                          <w:noProof/>
                          <w:color w:val="auto"/>
                          <w:sz w:val="24"/>
                          <w:shd w:val="clear" w:color="auto" w:fill="FFFFFF"/>
                        </w:rPr>
                      </w:pPr>
                      <w:bookmarkStart w:id="113" w:name="_Toc72442214"/>
                      <w:r>
                        <w:t xml:space="preserve">Abbildung </w:t>
                      </w:r>
                      <w:r w:rsidR="00623D3F">
                        <w:fldChar w:fldCharType="begin"/>
                      </w:r>
                      <w:r w:rsidR="00623D3F">
                        <w:instrText xml:space="preserve"> SEQ Abbildung \* ARABIC </w:instrText>
                      </w:r>
                      <w:r w:rsidR="00623D3F">
                        <w:fldChar w:fldCharType="separate"/>
                      </w:r>
                      <w:r w:rsidR="00670350">
                        <w:rPr>
                          <w:noProof/>
                        </w:rPr>
                        <w:t>4</w:t>
                      </w:r>
                      <w:r w:rsidR="00623D3F">
                        <w:rPr>
                          <w:noProof/>
                        </w:rPr>
                        <w:fldChar w:fldCharType="end"/>
                      </w:r>
                      <w:r>
                        <w:t>: Bankgebühren: fair oder nicht (OTS, 2017)</w:t>
                      </w:r>
                      <w:bookmarkEnd w:id="113"/>
                    </w:p>
                  </w:txbxContent>
                </v:textbox>
                <w10:wrap type="topAndBottom"/>
              </v:shape>
            </w:pict>
          </mc:Fallback>
        </mc:AlternateContent>
      </w:r>
      <w:r>
        <w:rPr>
          <w:noProof/>
        </w:rPr>
        <w:drawing>
          <wp:anchor distT="0" distB="0" distL="114300" distR="114300" simplePos="0" relativeHeight="251662336" behindDoc="0" locked="0" layoutInCell="1" allowOverlap="1" wp14:anchorId="083CA5C4" wp14:editId="316ECFF8">
            <wp:simplePos x="0" y="0"/>
            <wp:positionH relativeFrom="column">
              <wp:posOffset>252730</wp:posOffset>
            </wp:positionH>
            <wp:positionV relativeFrom="paragraph">
              <wp:posOffset>454025</wp:posOffset>
            </wp:positionV>
            <wp:extent cx="3847465" cy="3623310"/>
            <wp:effectExtent l="0" t="0" r="635" b="0"/>
            <wp:wrapTopAndBottom/>
            <wp:docPr id="5" name="Grafik 5" descr="Umfrage: Unzufrieden mit Bankkonditionen – trotzdem nur 6% Wechselwillige |  ING-DiBa Austria, 03.08.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frage: Unzufrieden mit Bankkonditionen – trotzdem nur 6% Wechselwillige |  ING-DiBa Austria, 03.08.20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7465" cy="362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340" w:rsidRPr="00333527">
        <w:t>Bankgebühren: fair oder nicht</w:t>
      </w:r>
      <w:bookmarkEnd w:id="102"/>
      <w:bookmarkEnd w:id="111"/>
    </w:p>
    <w:p w14:paraId="7B7EAE75" w14:textId="77777777" w:rsidR="00841040" w:rsidRPr="00841040" w:rsidRDefault="00841040" w:rsidP="00841040"/>
    <w:p w14:paraId="418C8B74" w14:textId="7B6DD034" w:rsidR="001436E1" w:rsidRDefault="001436E1" w:rsidP="001436E1">
      <w:pPr>
        <w:spacing w:after="120"/>
        <w:jc w:val="both"/>
        <w:rPr>
          <w:sz w:val="24"/>
          <w:szCs w:val="24"/>
        </w:rPr>
      </w:pPr>
      <w:r w:rsidRPr="00143D2B">
        <w:rPr>
          <w:sz w:val="24"/>
          <w:szCs w:val="24"/>
        </w:rPr>
        <w:t xml:space="preserve">Im Jahr 2017 führte die ING-DiBa Österreich eine Befragung durch, um festzustellen, was die österreichische </w:t>
      </w:r>
      <w:r w:rsidR="00EF3D4B" w:rsidRPr="00143D2B">
        <w:rPr>
          <w:sz w:val="24"/>
          <w:szCs w:val="24"/>
        </w:rPr>
        <w:t>Bevölkerung,</w:t>
      </w:r>
      <w:r>
        <w:rPr>
          <w:sz w:val="24"/>
          <w:szCs w:val="24"/>
        </w:rPr>
        <w:t xml:space="preserve"> </w:t>
      </w:r>
      <w:r w:rsidRPr="00143D2B">
        <w:rPr>
          <w:sz w:val="24"/>
          <w:szCs w:val="24"/>
        </w:rPr>
        <w:t xml:space="preserve">über die von den Banken </w:t>
      </w:r>
      <w:r w:rsidR="00EF3D4B" w:rsidRPr="00143D2B">
        <w:rPr>
          <w:sz w:val="24"/>
          <w:szCs w:val="24"/>
        </w:rPr>
        <w:t>verlangten,</w:t>
      </w:r>
      <w:r>
        <w:rPr>
          <w:sz w:val="24"/>
          <w:szCs w:val="24"/>
        </w:rPr>
        <w:t xml:space="preserve"> </w:t>
      </w:r>
      <w:r w:rsidRPr="00143D2B">
        <w:rPr>
          <w:sz w:val="24"/>
          <w:szCs w:val="24"/>
        </w:rPr>
        <w:t>Gebühren denkt.</w:t>
      </w:r>
    </w:p>
    <w:p w14:paraId="47CEB3F0" w14:textId="77777777" w:rsidR="001436E1" w:rsidRDefault="001436E1" w:rsidP="001436E1">
      <w:pPr>
        <w:spacing w:after="120"/>
        <w:jc w:val="both"/>
        <w:rPr>
          <w:sz w:val="24"/>
          <w:szCs w:val="24"/>
        </w:rPr>
      </w:pPr>
      <w:r w:rsidRPr="00143D2B">
        <w:rPr>
          <w:sz w:val="24"/>
          <w:szCs w:val="24"/>
        </w:rPr>
        <w:lastRenderedPageBreak/>
        <w:t>Der Großteil der Österreicher ist der Meinung, dass die Gebühren in Österreich viel zu überhöht sind. 21% der Befragten halten die Bankgebühren ebenfalls für zu hoch, haben aber nicht vor, die Bank zu wechseln. 20 % der Teilnehmer empfinden die Höhe der Gebühren als fair und sind bereit, diese weiterhin zu bezahlen.</w:t>
      </w:r>
    </w:p>
    <w:p w14:paraId="5FD9CD03" w14:textId="31D0C82B" w:rsidR="001436E1" w:rsidRPr="003940CC" w:rsidRDefault="001436E1" w:rsidP="001436E1">
      <w:pPr>
        <w:spacing w:after="120"/>
        <w:jc w:val="both"/>
        <w:rPr>
          <w:sz w:val="24"/>
          <w:szCs w:val="24"/>
        </w:rPr>
      </w:pPr>
      <w:r w:rsidRPr="003940CC">
        <w:rPr>
          <w:sz w:val="24"/>
          <w:szCs w:val="24"/>
        </w:rPr>
        <w:t xml:space="preserve">12% der Österreicher, die an der Umfrage teilgenommen haben, sind der Ansicht, dass die Höhe der Gebühren nicht fair ist. 6% von ihnen wollen mit ihrer Bank über die Bankgebühren verhandeln und die andere Hälfte der 12% ist damit nicht zufrieden und plant den Wechsel zu einer anderen Bank, die bessere Konditionen bietet. </w:t>
      </w:r>
    </w:p>
    <w:p w14:paraId="4070CC4C" w14:textId="21EC633B" w:rsidR="00D80824" w:rsidRPr="001436E1" w:rsidRDefault="001436E1" w:rsidP="003A25BC">
      <w:pPr>
        <w:spacing w:after="120"/>
        <w:jc w:val="both"/>
        <w:rPr>
          <w:sz w:val="24"/>
          <w:szCs w:val="24"/>
        </w:rPr>
      </w:pPr>
      <w:r w:rsidRPr="003940CC">
        <w:rPr>
          <w:sz w:val="24"/>
          <w:szCs w:val="24"/>
        </w:rPr>
        <w:t xml:space="preserve">Eine kleine Gruppe (8%) der Bankkunden hat sich nicht über die Gebühren der Banken informiert. </w:t>
      </w:r>
      <w:r w:rsidR="002226FC">
        <w:br w:type="page"/>
      </w:r>
    </w:p>
    <w:p w14:paraId="2622829A" w14:textId="6E1C8C34" w:rsidR="002226FC" w:rsidRDefault="0042592A" w:rsidP="00FB29B6">
      <w:pPr>
        <w:pStyle w:val="berschrift1"/>
      </w:pPr>
      <w:bookmarkStart w:id="114" w:name="_Toc68526643"/>
      <w:bookmarkStart w:id="115" w:name="_Toc68526665"/>
      <w:bookmarkStart w:id="116" w:name="_Toc68526782"/>
      <w:bookmarkStart w:id="117" w:name="_Toc68527586"/>
      <w:bookmarkStart w:id="118" w:name="_Toc73014983"/>
      <w:r w:rsidRPr="00333527">
        <w:lastRenderedPageBreak/>
        <w:t>Conclusio</w:t>
      </w:r>
      <w:bookmarkEnd w:id="114"/>
      <w:bookmarkEnd w:id="115"/>
      <w:bookmarkEnd w:id="116"/>
      <w:bookmarkEnd w:id="117"/>
      <w:bookmarkEnd w:id="118"/>
      <w:r w:rsidRPr="00333527">
        <w:t xml:space="preserve"> </w:t>
      </w:r>
      <w:bookmarkStart w:id="119" w:name="_Toc68526644"/>
      <w:bookmarkStart w:id="120" w:name="_Toc68526666"/>
      <w:bookmarkStart w:id="121" w:name="_Toc68526783"/>
    </w:p>
    <w:p w14:paraId="62A14079" w14:textId="48184F4E" w:rsidR="009E4055" w:rsidRDefault="00CC0BD6" w:rsidP="009219F1">
      <w:pPr>
        <w:spacing w:after="120"/>
        <w:jc w:val="both"/>
        <w:rPr>
          <w:sz w:val="24"/>
          <w:szCs w:val="24"/>
        </w:rPr>
      </w:pPr>
      <w:r w:rsidRPr="00CC0BD6">
        <w:rPr>
          <w:sz w:val="24"/>
          <w:szCs w:val="24"/>
        </w:rPr>
        <w:t xml:space="preserve">In dieser Seminararbeit wurden gezielt </w:t>
      </w:r>
      <w:r w:rsidR="000B1C10">
        <w:rPr>
          <w:sz w:val="24"/>
          <w:szCs w:val="24"/>
        </w:rPr>
        <w:t>fünf</w:t>
      </w:r>
      <w:r w:rsidRPr="00CC0BD6">
        <w:rPr>
          <w:sz w:val="24"/>
          <w:szCs w:val="24"/>
        </w:rPr>
        <w:t xml:space="preserve"> verschiedene Gebühren österreichischer Banken analysiert. Anhand der tabellarischen Darstellung der Gebühren ist zu erkennen, dass die Höhe der Gebühren der Banken untereinander mittlere </w:t>
      </w:r>
      <w:r w:rsidR="002C32E9" w:rsidRPr="00CC0BD6">
        <w:rPr>
          <w:sz w:val="24"/>
          <w:szCs w:val="24"/>
        </w:rPr>
        <w:t>bis große Schwankungen</w:t>
      </w:r>
      <w:r w:rsidRPr="00CC0BD6">
        <w:rPr>
          <w:sz w:val="24"/>
          <w:szCs w:val="24"/>
        </w:rPr>
        <w:t xml:space="preserve"> unterliegt.</w:t>
      </w:r>
      <w:r w:rsidR="0074392F">
        <w:rPr>
          <w:sz w:val="24"/>
          <w:szCs w:val="24"/>
        </w:rPr>
        <w:t xml:space="preserve"> </w:t>
      </w:r>
      <w:r w:rsidR="00E31642" w:rsidRPr="00E31642">
        <w:rPr>
          <w:sz w:val="24"/>
          <w:szCs w:val="24"/>
        </w:rPr>
        <w:t>Es ist klar ersichtlich, dass einige Banken viel höhere Gebühren im Verhältnis zu den anderen verlangen.</w:t>
      </w:r>
    </w:p>
    <w:p w14:paraId="50FFD91D" w14:textId="77777777" w:rsidR="00F56E63" w:rsidRPr="00F56E63" w:rsidRDefault="00F56E63" w:rsidP="00F56E63">
      <w:pPr>
        <w:spacing w:after="120"/>
        <w:jc w:val="both"/>
        <w:rPr>
          <w:sz w:val="24"/>
          <w:szCs w:val="24"/>
        </w:rPr>
      </w:pPr>
      <w:r w:rsidRPr="00F56E63">
        <w:rPr>
          <w:sz w:val="24"/>
          <w:szCs w:val="24"/>
        </w:rPr>
        <w:t>Dafür müssen die Kunden sehr gut über die Preise und Konditionen informiert sein, denn sie sind auf sich allein gestellt. Viele Informationen sind in den Allgemeinen Geschäftsbedingungen der Banken zu finden, aber nicht alles im Detail. Um detaillierte Informationen über das Preisverzeichnis zu erhalten, muss der Bankkunde vor Ort in die jeweilige Bank gehen und einen Termin vereinbaren, um mit einem Bankmitarbeiter darüber zu sprechen. Außerdem gibt es auch Schwierigkeiten beim Lesen der Preise und Konditionen, da es viele Synonyme für eine bestimmte Gebührenart geben kann. Daher ist es für viele Kunden nicht einfach, die richtigen Gebühren herauszulesen und mit anderen Banken zu vergleichen.</w:t>
      </w:r>
    </w:p>
    <w:p w14:paraId="023916D0" w14:textId="77777777" w:rsidR="00F56E63" w:rsidRPr="00F56E63" w:rsidRDefault="00F56E63" w:rsidP="00F56E63">
      <w:pPr>
        <w:spacing w:after="120"/>
        <w:jc w:val="both"/>
        <w:rPr>
          <w:sz w:val="24"/>
          <w:szCs w:val="24"/>
        </w:rPr>
      </w:pPr>
    </w:p>
    <w:p w14:paraId="4ED7FDA2" w14:textId="77777777" w:rsidR="00474890" w:rsidRPr="00474890" w:rsidRDefault="00474890" w:rsidP="00474890">
      <w:pPr>
        <w:spacing w:after="120"/>
        <w:jc w:val="both"/>
        <w:rPr>
          <w:sz w:val="24"/>
          <w:szCs w:val="24"/>
        </w:rPr>
      </w:pPr>
      <w:r w:rsidRPr="00474890">
        <w:rPr>
          <w:sz w:val="24"/>
          <w:szCs w:val="24"/>
        </w:rPr>
        <w:t xml:space="preserve">Nach der Analyse und Darstellung der Gebühren ist zu erkennen, dass viele Gebühren sehr hoch sind. Dies kann anhand der </w:t>
      </w:r>
      <w:proofErr w:type="spellStart"/>
      <w:r w:rsidRPr="00474890">
        <w:rPr>
          <w:sz w:val="24"/>
          <w:szCs w:val="24"/>
        </w:rPr>
        <w:t>laesio</w:t>
      </w:r>
      <w:proofErr w:type="spellEnd"/>
      <w:r w:rsidRPr="00474890">
        <w:rPr>
          <w:sz w:val="24"/>
          <w:szCs w:val="24"/>
        </w:rPr>
        <w:t xml:space="preserve"> </w:t>
      </w:r>
      <w:proofErr w:type="spellStart"/>
      <w:r w:rsidRPr="00474890">
        <w:rPr>
          <w:sz w:val="24"/>
          <w:szCs w:val="24"/>
        </w:rPr>
        <w:t>enormis</w:t>
      </w:r>
      <w:proofErr w:type="spellEnd"/>
      <w:r w:rsidRPr="00474890">
        <w:rPr>
          <w:sz w:val="24"/>
          <w:szCs w:val="24"/>
        </w:rPr>
        <w:t xml:space="preserve">-Regel ermittelt werden. Wenn der Betrag mehr als 100 % der Kosten umfasst, wird davon ausgegangen, dass er zu hoch angesetzt ist. Darüber hinaus darf nicht vergessen werden, dass im privaten Umfeld eine Preisbildungsfreiheit vorliegt, die nur durch die Regeln der Sittenwidrigkeit eingeschränkt werden kann.  </w:t>
      </w:r>
    </w:p>
    <w:p w14:paraId="2BBDE58D" w14:textId="77777777" w:rsidR="00474890" w:rsidRDefault="00474890" w:rsidP="007A5121">
      <w:pPr>
        <w:spacing w:after="120"/>
        <w:jc w:val="both"/>
        <w:rPr>
          <w:sz w:val="24"/>
          <w:szCs w:val="24"/>
        </w:rPr>
      </w:pPr>
    </w:p>
    <w:p w14:paraId="3E9826FD" w14:textId="4951F8FD" w:rsidR="00D80824" w:rsidRPr="00506BB5" w:rsidRDefault="007A5121" w:rsidP="007A5121">
      <w:pPr>
        <w:spacing w:after="120"/>
        <w:jc w:val="both"/>
        <w:rPr>
          <w:sz w:val="24"/>
          <w:szCs w:val="24"/>
        </w:rPr>
      </w:pPr>
      <w:r w:rsidRPr="007A5121">
        <w:rPr>
          <w:sz w:val="24"/>
          <w:szCs w:val="24"/>
        </w:rPr>
        <w:t>Im letzten Teil der Seminararbeit wurden vier ausgewählte Grafiken betrachtet. In Österreich sind die Kontoführungsgebühren niedriger als in der Europäischen Union. Es wurde auch festgestellt, dass viele Kunden, die</w:t>
      </w:r>
      <w:r w:rsidR="00791532">
        <w:rPr>
          <w:sz w:val="24"/>
          <w:szCs w:val="24"/>
        </w:rPr>
        <w:t xml:space="preserve"> die</w:t>
      </w:r>
      <w:r w:rsidRPr="007A5121">
        <w:rPr>
          <w:sz w:val="24"/>
          <w:szCs w:val="24"/>
        </w:rPr>
        <w:t xml:space="preserve"> Gebühren zahlen, mit der Höhe nicht zufrieden sind, aber trotzdem nichts dagegen unternehmen. </w:t>
      </w:r>
      <w:r w:rsidR="002226FC">
        <w:br w:type="page"/>
      </w:r>
    </w:p>
    <w:p w14:paraId="7DA7C080" w14:textId="64B1C51A" w:rsidR="0042592A" w:rsidRDefault="0042592A" w:rsidP="00FB29B6">
      <w:pPr>
        <w:pStyle w:val="berschrift1"/>
      </w:pPr>
      <w:bookmarkStart w:id="122" w:name="_Toc68527587"/>
      <w:bookmarkStart w:id="123" w:name="_Toc73014984"/>
      <w:r w:rsidRPr="00333527">
        <w:lastRenderedPageBreak/>
        <w:t>Literaturverzeichnis</w:t>
      </w:r>
      <w:bookmarkEnd w:id="119"/>
      <w:bookmarkEnd w:id="120"/>
      <w:bookmarkEnd w:id="121"/>
      <w:bookmarkEnd w:id="122"/>
      <w:bookmarkEnd w:id="123"/>
      <w:r w:rsidRPr="00333527">
        <w:t xml:space="preserve"> </w:t>
      </w:r>
    </w:p>
    <w:p w14:paraId="4A0039CA" w14:textId="77777777" w:rsidR="000C74C5" w:rsidRPr="000C74C5" w:rsidRDefault="000C74C5" w:rsidP="00AC7FE5">
      <w:pPr>
        <w:spacing w:after="120"/>
        <w:rPr>
          <w:sz w:val="24"/>
          <w:szCs w:val="24"/>
        </w:rPr>
      </w:pPr>
      <w:r w:rsidRPr="000C74C5">
        <w:rPr>
          <w:b/>
          <w:bCs/>
          <w:sz w:val="24"/>
          <w:szCs w:val="24"/>
        </w:rPr>
        <w:t>Arbeiterkammer Österreich</w:t>
      </w:r>
      <w:r w:rsidRPr="000C74C5">
        <w:rPr>
          <w:sz w:val="24"/>
          <w:szCs w:val="24"/>
        </w:rPr>
        <w:t>. (</w:t>
      </w:r>
      <w:proofErr w:type="spellStart"/>
      <w:r w:rsidRPr="000C74C5">
        <w:rPr>
          <w:sz w:val="24"/>
          <w:szCs w:val="24"/>
        </w:rPr>
        <w:t>o.D</w:t>
      </w:r>
      <w:proofErr w:type="spellEnd"/>
      <w:r w:rsidRPr="000C74C5">
        <w:rPr>
          <w:sz w:val="24"/>
          <w:szCs w:val="24"/>
        </w:rPr>
        <w:t xml:space="preserve">.). Oberster Gerichtshof erklärt Zahlscheingebühr für rechtswidrig. Verfügbar unter </w:t>
      </w:r>
      <w:hyperlink r:id="rId20" w:history="1">
        <w:r w:rsidRPr="000C74C5">
          <w:rPr>
            <w:sz w:val="24"/>
            <w:szCs w:val="24"/>
          </w:rPr>
          <w:t>https://www.arbeiterkammer.at/beratung/konsument/AchtungFalle/Zahlscheingebuehr_verboten.html</w:t>
        </w:r>
      </w:hyperlink>
      <w:r w:rsidRPr="000C74C5">
        <w:rPr>
          <w:sz w:val="24"/>
          <w:szCs w:val="24"/>
        </w:rPr>
        <w:t xml:space="preserve"> </w:t>
      </w:r>
    </w:p>
    <w:p w14:paraId="05B5D2CE" w14:textId="77777777" w:rsidR="000C74C5" w:rsidRPr="000C74C5" w:rsidRDefault="000C74C5" w:rsidP="00AC7FE5">
      <w:pPr>
        <w:spacing w:after="120"/>
        <w:rPr>
          <w:sz w:val="24"/>
          <w:szCs w:val="24"/>
        </w:rPr>
      </w:pPr>
      <w:r w:rsidRPr="000C74C5">
        <w:rPr>
          <w:b/>
          <w:bCs/>
          <w:sz w:val="24"/>
          <w:szCs w:val="24"/>
        </w:rPr>
        <w:t>Arbeiterkammer Österreich</w:t>
      </w:r>
      <w:r w:rsidRPr="000C74C5">
        <w:rPr>
          <w:sz w:val="24"/>
          <w:szCs w:val="24"/>
        </w:rPr>
        <w:t>. (</w:t>
      </w:r>
      <w:proofErr w:type="spellStart"/>
      <w:r w:rsidRPr="000C74C5">
        <w:rPr>
          <w:sz w:val="24"/>
          <w:szCs w:val="24"/>
        </w:rPr>
        <w:t>o.D</w:t>
      </w:r>
      <w:proofErr w:type="spellEnd"/>
      <w:r w:rsidRPr="000C74C5">
        <w:rPr>
          <w:sz w:val="24"/>
          <w:szCs w:val="24"/>
        </w:rPr>
        <w:t xml:space="preserve">.). Normalarbeitszeit. Verfügbar unter </w:t>
      </w:r>
      <w:hyperlink r:id="rId21" w:history="1">
        <w:r w:rsidRPr="000C74C5">
          <w:rPr>
            <w:sz w:val="24"/>
            <w:szCs w:val="24"/>
          </w:rPr>
          <w:t>https://www.arbeiterkammer.at/beratung/arbeitundrecht/Arbeitszeit/Normalarbeitszeit/Normalarbeitszeit.html</w:t>
        </w:r>
      </w:hyperlink>
      <w:r w:rsidRPr="000C74C5">
        <w:rPr>
          <w:sz w:val="24"/>
          <w:szCs w:val="24"/>
        </w:rPr>
        <w:t xml:space="preserve"> </w:t>
      </w:r>
    </w:p>
    <w:p w14:paraId="2B64D9D7" w14:textId="77777777" w:rsidR="000C74C5" w:rsidRPr="000C74C5" w:rsidRDefault="000C74C5" w:rsidP="00AC7FE5">
      <w:pPr>
        <w:spacing w:after="120"/>
        <w:rPr>
          <w:sz w:val="24"/>
          <w:szCs w:val="24"/>
        </w:rPr>
      </w:pPr>
      <w:r w:rsidRPr="000C74C5">
        <w:rPr>
          <w:b/>
          <w:bCs/>
          <w:sz w:val="24"/>
          <w:szCs w:val="24"/>
        </w:rPr>
        <w:t>Bank Austria</w:t>
      </w:r>
      <w:r w:rsidRPr="000C74C5">
        <w:rPr>
          <w:sz w:val="24"/>
          <w:szCs w:val="24"/>
        </w:rPr>
        <w:t>. (</w:t>
      </w:r>
      <w:proofErr w:type="spellStart"/>
      <w:r w:rsidRPr="000C74C5">
        <w:rPr>
          <w:sz w:val="24"/>
          <w:szCs w:val="24"/>
        </w:rPr>
        <w:t>o.D</w:t>
      </w:r>
      <w:proofErr w:type="spellEnd"/>
      <w:r w:rsidRPr="000C74C5">
        <w:rPr>
          <w:sz w:val="24"/>
          <w:szCs w:val="24"/>
        </w:rPr>
        <w:t>.). Verbraucherzahlungskonto-</w:t>
      </w:r>
      <w:proofErr w:type="spellStart"/>
      <w:r w:rsidRPr="000C74C5">
        <w:rPr>
          <w:sz w:val="24"/>
          <w:szCs w:val="24"/>
        </w:rPr>
        <w:t>Diensteverordnung</w:t>
      </w:r>
      <w:proofErr w:type="spellEnd"/>
      <w:r w:rsidRPr="000C74C5">
        <w:rPr>
          <w:sz w:val="24"/>
          <w:szCs w:val="24"/>
        </w:rPr>
        <w:t xml:space="preserve">: Standard Terms Glossar. Verfügbar unter </w:t>
      </w:r>
      <w:hyperlink r:id="rId22" w:history="1">
        <w:r w:rsidRPr="000C74C5">
          <w:rPr>
            <w:sz w:val="24"/>
            <w:szCs w:val="24"/>
          </w:rPr>
          <w:t>https://www.bankaustria.at/files/glossar_verbraucherzahlungskontogesetz_vzkg_de.pdf</w:t>
        </w:r>
      </w:hyperlink>
    </w:p>
    <w:p w14:paraId="5705DF00" w14:textId="77777777" w:rsidR="000C74C5" w:rsidRPr="000C74C5" w:rsidRDefault="000C74C5" w:rsidP="00AC7FE5">
      <w:pPr>
        <w:spacing w:after="120"/>
        <w:rPr>
          <w:sz w:val="24"/>
          <w:szCs w:val="24"/>
        </w:rPr>
      </w:pPr>
      <w:r w:rsidRPr="000C74C5">
        <w:rPr>
          <w:b/>
          <w:bCs/>
          <w:sz w:val="24"/>
          <w:szCs w:val="24"/>
        </w:rPr>
        <w:t>Bank Austria UniCredit</w:t>
      </w:r>
      <w:r w:rsidRPr="000C74C5">
        <w:rPr>
          <w:sz w:val="24"/>
          <w:szCs w:val="24"/>
        </w:rPr>
        <w:t xml:space="preserve">. (2021). Aushang für Preise und Konditionen für Privatkunden. Verfügbar unter </w:t>
      </w:r>
      <w:hyperlink r:id="rId23" w:history="1">
        <w:r w:rsidRPr="000C74C5">
          <w:rPr>
            <w:sz w:val="24"/>
            <w:szCs w:val="24"/>
          </w:rPr>
          <w:t>https://www.bankaustria.at/files/preise_konditionen_privatkonten_de.pdf</w:t>
        </w:r>
      </w:hyperlink>
      <w:r w:rsidRPr="000C74C5">
        <w:rPr>
          <w:sz w:val="24"/>
          <w:szCs w:val="24"/>
        </w:rPr>
        <w:t xml:space="preserve"> </w:t>
      </w:r>
    </w:p>
    <w:p w14:paraId="1748F14C" w14:textId="77777777" w:rsidR="000C74C5" w:rsidRPr="000C74C5" w:rsidRDefault="000C74C5" w:rsidP="00AC7FE5">
      <w:pPr>
        <w:spacing w:after="120"/>
        <w:rPr>
          <w:sz w:val="24"/>
          <w:szCs w:val="24"/>
        </w:rPr>
      </w:pPr>
      <w:r w:rsidRPr="000C74C5">
        <w:rPr>
          <w:b/>
          <w:bCs/>
          <w:sz w:val="24"/>
          <w:szCs w:val="24"/>
        </w:rPr>
        <w:t>Bank Austria UniCredit</w:t>
      </w:r>
      <w:r w:rsidRPr="000C74C5">
        <w:rPr>
          <w:sz w:val="24"/>
          <w:szCs w:val="24"/>
        </w:rPr>
        <w:t xml:space="preserve">. (2019). Aushang für Preise und Konditionen für Service-, Debit- und Kreditkarten. Verfügbar unter </w:t>
      </w:r>
      <w:hyperlink r:id="rId24" w:history="1">
        <w:r w:rsidRPr="000C74C5">
          <w:rPr>
            <w:sz w:val="24"/>
            <w:szCs w:val="24"/>
          </w:rPr>
          <w:t>https://www.bankaustria.at/files/preisblatt_bank_kreditkarten.pdf</w:t>
        </w:r>
      </w:hyperlink>
      <w:r w:rsidRPr="000C74C5">
        <w:rPr>
          <w:sz w:val="24"/>
          <w:szCs w:val="24"/>
        </w:rPr>
        <w:t xml:space="preserve"> </w:t>
      </w:r>
    </w:p>
    <w:p w14:paraId="645DB278" w14:textId="77777777" w:rsidR="000C74C5" w:rsidRPr="000C74C5" w:rsidRDefault="000C74C5" w:rsidP="00AC7FE5">
      <w:pPr>
        <w:spacing w:after="120"/>
        <w:rPr>
          <w:sz w:val="24"/>
          <w:szCs w:val="24"/>
        </w:rPr>
      </w:pPr>
      <w:r w:rsidRPr="000C74C5">
        <w:rPr>
          <w:b/>
          <w:bCs/>
          <w:sz w:val="24"/>
          <w:szCs w:val="24"/>
        </w:rPr>
        <w:t>Bank Austria UniCredit</w:t>
      </w:r>
      <w:r w:rsidRPr="000C74C5">
        <w:rPr>
          <w:sz w:val="24"/>
          <w:szCs w:val="24"/>
        </w:rPr>
        <w:t xml:space="preserve">. (2021). Aushang für Preise und Konditionen für internationale Privatkunden. Verfügbar unter </w:t>
      </w:r>
      <w:hyperlink r:id="rId25" w:history="1">
        <w:r w:rsidRPr="000C74C5">
          <w:rPr>
            <w:sz w:val="24"/>
            <w:szCs w:val="24"/>
          </w:rPr>
          <w:t>https://www.bankaustria.at/files/20210701_preise_int_privatkunden_de.pdf</w:t>
        </w:r>
      </w:hyperlink>
      <w:r w:rsidRPr="000C74C5">
        <w:rPr>
          <w:sz w:val="24"/>
          <w:szCs w:val="24"/>
        </w:rPr>
        <w:t xml:space="preserve"> </w:t>
      </w:r>
    </w:p>
    <w:p w14:paraId="799498D5" w14:textId="77777777" w:rsidR="000C74C5" w:rsidRPr="000C74C5" w:rsidRDefault="000C74C5" w:rsidP="00AC7FE5">
      <w:pPr>
        <w:spacing w:after="120"/>
        <w:rPr>
          <w:sz w:val="24"/>
          <w:szCs w:val="24"/>
        </w:rPr>
      </w:pPr>
      <w:r w:rsidRPr="000C74C5">
        <w:rPr>
          <w:b/>
          <w:bCs/>
          <w:sz w:val="24"/>
          <w:szCs w:val="24"/>
        </w:rPr>
        <w:t>Bank Austria UniCredit</w:t>
      </w:r>
      <w:r w:rsidRPr="000C74C5">
        <w:rPr>
          <w:sz w:val="24"/>
          <w:szCs w:val="24"/>
        </w:rPr>
        <w:t xml:space="preserve">. (2021). Aushang für Preise und Konditionen sonstige Preise für Dienstleistungen des Zahlungsverkehrs für Kunden der Division Privat- und Firmenkunden (Commercial Banking). Verfügbar unter </w:t>
      </w:r>
      <w:hyperlink r:id="rId26" w:history="1">
        <w:r w:rsidRPr="000C74C5">
          <w:rPr>
            <w:sz w:val="24"/>
            <w:szCs w:val="24"/>
          </w:rPr>
          <w:t>https://www.bankaustria.at/files/preise_dienstleistungen_de.pdf</w:t>
        </w:r>
      </w:hyperlink>
      <w:r w:rsidRPr="000C74C5">
        <w:rPr>
          <w:sz w:val="24"/>
          <w:szCs w:val="24"/>
        </w:rPr>
        <w:t xml:space="preserve"> </w:t>
      </w:r>
    </w:p>
    <w:p w14:paraId="54B80B27" w14:textId="77777777" w:rsidR="000C74C5" w:rsidRPr="000C74C5" w:rsidRDefault="000C74C5" w:rsidP="00AC7FE5">
      <w:pPr>
        <w:spacing w:after="120"/>
        <w:rPr>
          <w:sz w:val="24"/>
          <w:szCs w:val="24"/>
        </w:rPr>
      </w:pPr>
      <w:r w:rsidRPr="000C74C5">
        <w:rPr>
          <w:b/>
          <w:bCs/>
          <w:sz w:val="24"/>
          <w:szCs w:val="24"/>
        </w:rPr>
        <w:t>BAWAG PSK</w:t>
      </w:r>
      <w:r w:rsidRPr="000C74C5">
        <w:rPr>
          <w:sz w:val="24"/>
          <w:szCs w:val="24"/>
        </w:rPr>
        <w:t xml:space="preserve">. (2009). Konditionenübersicht BAWAG Giroprodukte und Dienstleistungen für Kommerzkunden. Verfügbar unter </w:t>
      </w:r>
      <w:hyperlink r:id="rId27" w:history="1">
        <w:r w:rsidRPr="000C74C5">
          <w:rPr>
            <w:sz w:val="24"/>
            <w:szCs w:val="24"/>
          </w:rPr>
          <w:t>https://www.bawagpsk.com/linkableblob/BAWAG/12640/90bcf6cdd84f89f43a85ed5914e66eb2/entgeltuebersicht-fuer-firmenkunden-112009-data.pdf</w:t>
        </w:r>
      </w:hyperlink>
      <w:r w:rsidRPr="000C74C5">
        <w:rPr>
          <w:sz w:val="24"/>
          <w:szCs w:val="24"/>
        </w:rPr>
        <w:t xml:space="preserve"> </w:t>
      </w:r>
    </w:p>
    <w:p w14:paraId="3390C709" w14:textId="77777777" w:rsidR="000C74C5" w:rsidRPr="000C74C5" w:rsidRDefault="000C74C5" w:rsidP="00AC7FE5">
      <w:pPr>
        <w:spacing w:after="120"/>
        <w:rPr>
          <w:sz w:val="24"/>
          <w:szCs w:val="24"/>
        </w:rPr>
      </w:pPr>
      <w:r w:rsidRPr="000C74C5">
        <w:rPr>
          <w:b/>
          <w:bCs/>
          <w:sz w:val="24"/>
          <w:szCs w:val="24"/>
        </w:rPr>
        <w:t>BAWAG PSK</w:t>
      </w:r>
      <w:r w:rsidRPr="000C74C5">
        <w:rPr>
          <w:sz w:val="24"/>
          <w:szCs w:val="24"/>
        </w:rPr>
        <w:t xml:space="preserve">. (2021). Konditionenübersicht sonstige Dienstleistungen des Zahlungsverkehrs. Verfügbar unter </w:t>
      </w:r>
      <w:hyperlink r:id="rId28" w:history="1">
        <w:r w:rsidRPr="000C74C5">
          <w:rPr>
            <w:sz w:val="24"/>
            <w:szCs w:val="24"/>
          </w:rPr>
          <w:t>https://www.bawagpsk.com/linkableblob/BAWAGPSK/109584/f53efdc1ad0fa65e278eedb427a9a244/entgelte-sonstige-dl-des-zv-gate-2015-07-01-data.pdf</w:t>
        </w:r>
      </w:hyperlink>
      <w:r w:rsidRPr="000C74C5">
        <w:rPr>
          <w:sz w:val="24"/>
          <w:szCs w:val="24"/>
        </w:rPr>
        <w:t xml:space="preserve"> </w:t>
      </w:r>
    </w:p>
    <w:p w14:paraId="54308560" w14:textId="77777777" w:rsidR="000C74C5" w:rsidRPr="000C74C5" w:rsidRDefault="000C74C5" w:rsidP="00AC7FE5">
      <w:pPr>
        <w:spacing w:after="120"/>
        <w:rPr>
          <w:sz w:val="24"/>
          <w:szCs w:val="24"/>
        </w:rPr>
      </w:pPr>
      <w:r w:rsidRPr="000C74C5">
        <w:rPr>
          <w:b/>
          <w:bCs/>
          <w:sz w:val="24"/>
          <w:szCs w:val="24"/>
        </w:rPr>
        <w:t>BAWAG PSK</w:t>
      </w:r>
      <w:r w:rsidRPr="000C74C5">
        <w:rPr>
          <w:sz w:val="24"/>
          <w:szCs w:val="24"/>
        </w:rPr>
        <w:t>. (</w:t>
      </w:r>
      <w:proofErr w:type="spellStart"/>
      <w:r w:rsidRPr="000C74C5">
        <w:rPr>
          <w:sz w:val="24"/>
          <w:szCs w:val="24"/>
        </w:rPr>
        <w:t>o.D</w:t>
      </w:r>
      <w:proofErr w:type="spellEnd"/>
      <w:r w:rsidRPr="000C74C5">
        <w:rPr>
          <w:sz w:val="24"/>
          <w:szCs w:val="24"/>
        </w:rPr>
        <w:t xml:space="preserve">.). Glossar: Was sind </w:t>
      </w:r>
      <w:proofErr w:type="gramStart"/>
      <w:r w:rsidRPr="000C74C5">
        <w:rPr>
          <w:sz w:val="24"/>
          <w:szCs w:val="24"/>
        </w:rPr>
        <w:t>Habenzinsen?.</w:t>
      </w:r>
      <w:proofErr w:type="gramEnd"/>
      <w:r w:rsidRPr="000C74C5">
        <w:rPr>
          <w:sz w:val="24"/>
          <w:szCs w:val="24"/>
        </w:rPr>
        <w:t xml:space="preserve"> Verfügbar unter </w:t>
      </w:r>
      <w:hyperlink r:id="rId29" w:history="1">
        <w:r w:rsidRPr="000C74C5">
          <w:rPr>
            <w:sz w:val="24"/>
            <w:szCs w:val="24"/>
          </w:rPr>
          <w:t>https://www.bawagpsk.com/BAWAGPSK/Glossar/478038/habenzinsen.html</w:t>
        </w:r>
      </w:hyperlink>
      <w:r w:rsidRPr="000C74C5">
        <w:rPr>
          <w:sz w:val="24"/>
          <w:szCs w:val="24"/>
        </w:rPr>
        <w:t xml:space="preserve"> </w:t>
      </w:r>
    </w:p>
    <w:p w14:paraId="64799D4C" w14:textId="77777777" w:rsidR="000C74C5" w:rsidRPr="000C74C5" w:rsidRDefault="000C74C5" w:rsidP="00AC7FE5">
      <w:pPr>
        <w:spacing w:after="120"/>
        <w:rPr>
          <w:sz w:val="24"/>
          <w:szCs w:val="24"/>
        </w:rPr>
      </w:pPr>
      <w:r w:rsidRPr="000C74C5">
        <w:rPr>
          <w:b/>
          <w:bCs/>
          <w:sz w:val="24"/>
          <w:szCs w:val="24"/>
        </w:rPr>
        <w:t>BAWAG PSK</w:t>
      </w:r>
      <w:r w:rsidRPr="000C74C5">
        <w:rPr>
          <w:sz w:val="24"/>
          <w:szCs w:val="24"/>
        </w:rPr>
        <w:t>. (</w:t>
      </w:r>
      <w:proofErr w:type="spellStart"/>
      <w:r w:rsidRPr="000C74C5">
        <w:rPr>
          <w:sz w:val="24"/>
          <w:szCs w:val="24"/>
        </w:rPr>
        <w:t>o.D</w:t>
      </w:r>
      <w:proofErr w:type="spellEnd"/>
      <w:r w:rsidRPr="000C74C5">
        <w:rPr>
          <w:sz w:val="24"/>
          <w:szCs w:val="24"/>
        </w:rPr>
        <w:t xml:space="preserve">.). Glossar: Was ist ein </w:t>
      </w:r>
      <w:proofErr w:type="gramStart"/>
      <w:r w:rsidRPr="000C74C5">
        <w:rPr>
          <w:sz w:val="24"/>
          <w:szCs w:val="24"/>
        </w:rPr>
        <w:t>Dauerauftrag?.</w:t>
      </w:r>
      <w:proofErr w:type="gramEnd"/>
      <w:r w:rsidRPr="000C74C5">
        <w:rPr>
          <w:sz w:val="24"/>
          <w:szCs w:val="24"/>
        </w:rPr>
        <w:t xml:space="preserve"> Verfügbar unter </w:t>
      </w:r>
      <w:hyperlink r:id="rId30" w:history="1">
        <w:r w:rsidRPr="000C74C5">
          <w:rPr>
            <w:sz w:val="24"/>
            <w:szCs w:val="24"/>
          </w:rPr>
          <w:t>https://www.bawagpsk.com/BAWAGPSK/Glossar/474132/dauerauftrag.html</w:t>
        </w:r>
      </w:hyperlink>
      <w:r w:rsidRPr="000C74C5">
        <w:rPr>
          <w:sz w:val="24"/>
          <w:szCs w:val="24"/>
        </w:rPr>
        <w:t xml:space="preserve"> </w:t>
      </w:r>
    </w:p>
    <w:p w14:paraId="28945C41" w14:textId="77777777" w:rsidR="000C74C5" w:rsidRPr="000C74C5" w:rsidRDefault="000C74C5" w:rsidP="00AC7FE5">
      <w:pPr>
        <w:spacing w:after="120"/>
        <w:rPr>
          <w:sz w:val="24"/>
          <w:szCs w:val="24"/>
        </w:rPr>
      </w:pPr>
      <w:r w:rsidRPr="000C74C5">
        <w:rPr>
          <w:b/>
          <w:bCs/>
          <w:sz w:val="24"/>
          <w:szCs w:val="24"/>
        </w:rPr>
        <w:t>Bezahlen</w:t>
      </w:r>
      <w:r w:rsidRPr="000C74C5">
        <w:rPr>
          <w:sz w:val="24"/>
          <w:szCs w:val="24"/>
        </w:rPr>
        <w:t>. (</w:t>
      </w:r>
      <w:proofErr w:type="spellStart"/>
      <w:r w:rsidRPr="000C74C5">
        <w:rPr>
          <w:sz w:val="24"/>
          <w:szCs w:val="24"/>
        </w:rPr>
        <w:t>o.D</w:t>
      </w:r>
      <w:proofErr w:type="spellEnd"/>
      <w:r w:rsidRPr="000C74C5">
        <w:rPr>
          <w:sz w:val="24"/>
          <w:szCs w:val="24"/>
        </w:rPr>
        <w:t xml:space="preserve">.). Bezahlkarten: Bankkarte. Verfügbar unter </w:t>
      </w:r>
      <w:hyperlink r:id="rId31" w:history="1">
        <w:r w:rsidRPr="000C74C5">
          <w:rPr>
            <w:sz w:val="24"/>
            <w:szCs w:val="24"/>
          </w:rPr>
          <w:t>https://www.bezahlen.de/bankkarte.php</w:t>
        </w:r>
      </w:hyperlink>
      <w:r w:rsidRPr="000C74C5">
        <w:rPr>
          <w:sz w:val="24"/>
          <w:szCs w:val="24"/>
        </w:rPr>
        <w:t xml:space="preserve"> </w:t>
      </w:r>
    </w:p>
    <w:p w14:paraId="5EA3F5D0" w14:textId="77777777" w:rsidR="000C74C5" w:rsidRPr="000C74C5" w:rsidRDefault="000C74C5" w:rsidP="00AC7FE5">
      <w:pPr>
        <w:spacing w:after="120"/>
        <w:rPr>
          <w:sz w:val="24"/>
          <w:szCs w:val="24"/>
        </w:rPr>
      </w:pPr>
      <w:r w:rsidRPr="000C74C5">
        <w:rPr>
          <w:b/>
          <w:bCs/>
          <w:sz w:val="24"/>
          <w:szCs w:val="24"/>
        </w:rPr>
        <w:t>Budak</w:t>
      </w:r>
      <w:r w:rsidRPr="000C74C5">
        <w:rPr>
          <w:sz w:val="24"/>
          <w:szCs w:val="24"/>
        </w:rPr>
        <w:t xml:space="preserve">, Güven. (2005). Bachelorarbeit Wirtschaftsuniversität Wien: Erhebung, Analyse und (gesetzliche, </w:t>
      </w:r>
      <w:proofErr w:type="spellStart"/>
      <w:r w:rsidRPr="000C74C5">
        <w:rPr>
          <w:sz w:val="24"/>
          <w:szCs w:val="24"/>
        </w:rPr>
        <w:t>konstenrechnerische</w:t>
      </w:r>
      <w:proofErr w:type="spellEnd"/>
      <w:r w:rsidRPr="000C74C5">
        <w:rPr>
          <w:sz w:val="24"/>
          <w:szCs w:val="24"/>
        </w:rPr>
        <w:t xml:space="preserve">) Bewertung von direkt oder indirekt IT-abhängigen Gebühren am Beispiel von Banken und/oder Telekommunikationsunternehmen. Verfügbar unter </w:t>
      </w:r>
      <w:hyperlink r:id="rId32" w:history="1">
        <w:r w:rsidRPr="000C74C5">
          <w:rPr>
            <w:sz w:val="24"/>
            <w:szCs w:val="24"/>
          </w:rPr>
          <w:t>http://wi.wu.ac.at:8002/rgf/diplomarbeiten/BakkStuff/2005/200503_KostenTK-Gueven/200501_Gueven-Bakkalaureatsarbeit.pdf</w:t>
        </w:r>
      </w:hyperlink>
      <w:r w:rsidRPr="000C74C5">
        <w:rPr>
          <w:sz w:val="24"/>
          <w:szCs w:val="24"/>
        </w:rPr>
        <w:t xml:space="preserve"> </w:t>
      </w:r>
    </w:p>
    <w:p w14:paraId="531A2259" w14:textId="77777777" w:rsidR="000C74C5" w:rsidRPr="000C74C5" w:rsidRDefault="000C74C5" w:rsidP="00AC7FE5">
      <w:pPr>
        <w:spacing w:after="120"/>
        <w:rPr>
          <w:sz w:val="24"/>
          <w:szCs w:val="24"/>
        </w:rPr>
      </w:pPr>
      <w:r w:rsidRPr="000C74C5">
        <w:rPr>
          <w:b/>
          <w:bCs/>
          <w:sz w:val="24"/>
          <w:szCs w:val="24"/>
        </w:rPr>
        <w:t>Bundesministerium Finanzen</w:t>
      </w:r>
      <w:r w:rsidRPr="000C74C5">
        <w:rPr>
          <w:sz w:val="24"/>
          <w:szCs w:val="24"/>
        </w:rPr>
        <w:t xml:space="preserve">. (2020). Zahlungsverkehr: Zahlungsdienste. Verfügbar unter </w:t>
      </w:r>
      <w:hyperlink r:id="rId33" w:history="1">
        <w:r w:rsidRPr="000C74C5">
          <w:rPr>
            <w:sz w:val="24"/>
            <w:szCs w:val="24"/>
          </w:rPr>
          <w:t>https://www.bmf.gv.at/themen/finanzmarkt/zahlungsverkehr/zahlungsdienste.html</w:t>
        </w:r>
      </w:hyperlink>
      <w:r w:rsidRPr="000C74C5">
        <w:rPr>
          <w:sz w:val="24"/>
          <w:szCs w:val="24"/>
        </w:rPr>
        <w:t xml:space="preserve"> </w:t>
      </w:r>
    </w:p>
    <w:p w14:paraId="2CA49EDA" w14:textId="77777777" w:rsidR="000C74C5" w:rsidRPr="000C74C5" w:rsidRDefault="000C74C5" w:rsidP="00AC7FE5">
      <w:pPr>
        <w:spacing w:after="120"/>
        <w:rPr>
          <w:sz w:val="24"/>
          <w:szCs w:val="24"/>
        </w:rPr>
      </w:pPr>
      <w:proofErr w:type="spellStart"/>
      <w:r w:rsidRPr="000C74C5">
        <w:rPr>
          <w:b/>
          <w:bCs/>
          <w:sz w:val="24"/>
          <w:szCs w:val="24"/>
        </w:rPr>
        <w:t>Capitalo</w:t>
      </w:r>
      <w:proofErr w:type="spellEnd"/>
      <w:r w:rsidRPr="000C74C5">
        <w:rPr>
          <w:sz w:val="24"/>
          <w:szCs w:val="24"/>
        </w:rPr>
        <w:t>. (</w:t>
      </w:r>
      <w:proofErr w:type="spellStart"/>
      <w:r w:rsidRPr="000C74C5">
        <w:rPr>
          <w:sz w:val="24"/>
          <w:szCs w:val="24"/>
        </w:rPr>
        <w:t>o.D</w:t>
      </w:r>
      <w:proofErr w:type="spellEnd"/>
      <w:r w:rsidRPr="000C74C5">
        <w:rPr>
          <w:sz w:val="24"/>
          <w:szCs w:val="24"/>
        </w:rPr>
        <w:t xml:space="preserve">.). Girokonto: Kontoführungsgebühr. Verfügbar unter </w:t>
      </w:r>
      <w:hyperlink r:id="rId34" w:history="1">
        <w:r w:rsidRPr="000C74C5">
          <w:rPr>
            <w:sz w:val="24"/>
            <w:szCs w:val="24"/>
          </w:rPr>
          <w:t>https://www.capitalo.at/girokonto/ratgeber/kontofuehrungsgebuehr</w:t>
        </w:r>
      </w:hyperlink>
      <w:r w:rsidRPr="000C74C5">
        <w:rPr>
          <w:sz w:val="24"/>
          <w:szCs w:val="24"/>
        </w:rPr>
        <w:t xml:space="preserve"> </w:t>
      </w:r>
    </w:p>
    <w:p w14:paraId="426EE7F6" w14:textId="77777777" w:rsidR="000C74C5" w:rsidRPr="000C74C5" w:rsidRDefault="000C74C5" w:rsidP="00AC7FE5">
      <w:pPr>
        <w:spacing w:after="120"/>
        <w:rPr>
          <w:sz w:val="24"/>
          <w:szCs w:val="24"/>
        </w:rPr>
      </w:pPr>
      <w:r w:rsidRPr="000C74C5">
        <w:rPr>
          <w:b/>
          <w:bCs/>
          <w:sz w:val="24"/>
          <w:szCs w:val="24"/>
        </w:rPr>
        <w:t>Easy Bank</w:t>
      </w:r>
      <w:r w:rsidRPr="000C74C5">
        <w:rPr>
          <w:sz w:val="24"/>
          <w:szCs w:val="24"/>
        </w:rPr>
        <w:t xml:space="preserve">. (2020). Preisblatt: Konditionen. Verfügbar unter </w:t>
      </w:r>
      <w:hyperlink r:id="rId35" w:history="1">
        <w:r w:rsidRPr="000C74C5">
          <w:rPr>
            <w:sz w:val="24"/>
            <w:szCs w:val="24"/>
          </w:rPr>
          <w:t>https://www.easybank.at/cms/downloads/pdf/konditionen/preisblaetter/giro/girokonten.pdf?binary=true</w:t>
        </w:r>
      </w:hyperlink>
      <w:r w:rsidRPr="000C74C5">
        <w:rPr>
          <w:sz w:val="24"/>
          <w:szCs w:val="24"/>
        </w:rPr>
        <w:t xml:space="preserve"> </w:t>
      </w:r>
    </w:p>
    <w:p w14:paraId="33C5AF3F" w14:textId="77777777" w:rsidR="000C74C5" w:rsidRPr="000C74C5" w:rsidRDefault="000C74C5" w:rsidP="00AC7FE5">
      <w:pPr>
        <w:spacing w:after="120"/>
        <w:rPr>
          <w:sz w:val="24"/>
          <w:szCs w:val="24"/>
        </w:rPr>
      </w:pPr>
      <w:r w:rsidRPr="000C74C5">
        <w:rPr>
          <w:b/>
          <w:bCs/>
          <w:sz w:val="24"/>
          <w:szCs w:val="24"/>
        </w:rPr>
        <w:t>Erste Bank</w:t>
      </w:r>
      <w:r w:rsidRPr="000C74C5">
        <w:rPr>
          <w:sz w:val="24"/>
          <w:szCs w:val="24"/>
        </w:rPr>
        <w:t xml:space="preserve">. (2018). Zahlungsverkehr: Inland Komfort Konten von Privatkunden. Verfügbar unter </w:t>
      </w:r>
      <w:hyperlink r:id="rId36" w:history="1">
        <w:r w:rsidRPr="000C74C5">
          <w:rPr>
            <w:sz w:val="24"/>
            <w:szCs w:val="24"/>
          </w:rPr>
          <w:t>https://www.sparkasse.at/content/dam/at/spk-erstebank/konditionenaushang/4.000%20-%204.001.pdf</w:t>
        </w:r>
      </w:hyperlink>
      <w:r w:rsidRPr="000C74C5">
        <w:rPr>
          <w:sz w:val="24"/>
          <w:szCs w:val="24"/>
        </w:rPr>
        <w:t xml:space="preserve"> </w:t>
      </w:r>
    </w:p>
    <w:p w14:paraId="41E0C66C" w14:textId="77777777" w:rsidR="000C74C5" w:rsidRPr="000C74C5" w:rsidRDefault="000C74C5" w:rsidP="00AC7FE5">
      <w:pPr>
        <w:spacing w:after="120"/>
        <w:rPr>
          <w:sz w:val="24"/>
          <w:szCs w:val="24"/>
        </w:rPr>
      </w:pPr>
      <w:r w:rsidRPr="000C74C5">
        <w:rPr>
          <w:b/>
          <w:bCs/>
          <w:sz w:val="24"/>
          <w:szCs w:val="24"/>
        </w:rPr>
        <w:t>Erste Bank</w:t>
      </w:r>
      <w:r w:rsidRPr="000C74C5">
        <w:rPr>
          <w:sz w:val="24"/>
          <w:szCs w:val="24"/>
        </w:rPr>
        <w:t xml:space="preserve">. (2021). Zahlungsverkehr: Inland Karten. Verfügbar unter </w:t>
      </w:r>
      <w:hyperlink r:id="rId37" w:history="1">
        <w:r w:rsidRPr="000C74C5">
          <w:rPr>
            <w:sz w:val="24"/>
            <w:szCs w:val="24"/>
          </w:rPr>
          <w:t>https://www.sparkasse.at/content/dam/at/spk-erstebank/konditionenaushang/4.500%20-%204.501-20210701.pdf</w:t>
        </w:r>
      </w:hyperlink>
      <w:r w:rsidRPr="000C74C5">
        <w:rPr>
          <w:sz w:val="24"/>
          <w:szCs w:val="24"/>
        </w:rPr>
        <w:t xml:space="preserve"> </w:t>
      </w:r>
    </w:p>
    <w:p w14:paraId="67290276" w14:textId="77777777" w:rsidR="000C74C5" w:rsidRPr="000C74C5" w:rsidRDefault="000C74C5" w:rsidP="00AC7FE5">
      <w:pPr>
        <w:spacing w:after="120"/>
        <w:rPr>
          <w:sz w:val="24"/>
          <w:szCs w:val="24"/>
        </w:rPr>
      </w:pPr>
      <w:r w:rsidRPr="000C74C5">
        <w:rPr>
          <w:b/>
          <w:bCs/>
          <w:sz w:val="24"/>
          <w:szCs w:val="24"/>
        </w:rPr>
        <w:lastRenderedPageBreak/>
        <w:t>Erste Bank</w:t>
      </w:r>
      <w:r w:rsidRPr="000C74C5">
        <w:rPr>
          <w:sz w:val="24"/>
          <w:szCs w:val="24"/>
        </w:rPr>
        <w:t xml:space="preserve">. (2020). Leistungen außerhalb eines Rahmenvertrages. Verfügbar unter </w:t>
      </w:r>
      <w:hyperlink r:id="rId38" w:history="1">
        <w:r w:rsidRPr="000C74C5">
          <w:rPr>
            <w:sz w:val="24"/>
            <w:szCs w:val="24"/>
          </w:rPr>
          <w:t>https://www.sparkasse.at/content/dam/at/spk-erstebank/konditionenaushang/0.500%20-%200.501.pdf</w:t>
        </w:r>
      </w:hyperlink>
      <w:r w:rsidRPr="000C74C5">
        <w:rPr>
          <w:sz w:val="24"/>
          <w:szCs w:val="24"/>
        </w:rPr>
        <w:t xml:space="preserve"> </w:t>
      </w:r>
    </w:p>
    <w:p w14:paraId="2B5051EB" w14:textId="77777777" w:rsidR="000C74C5" w:rsidRPr="000C74C5" w:rsidRDefault="000C74C5" w:rsidP="00AC7FE5">
      <w:pPr>
        <w:spacing w:after="120"/>
        <w:rPr>
          <w:sz w:val="24"/>
          <w:szCs w:val="24"/>
        </w:rPr>
      </w:pPr>
      <w:proofErr w:type="spellStart"/>
      <w:r w:rsidRPr="000C74C5">
        <w:rPr>
          <w:b/>
          <w:bCs/>
          <w:sz w:val="24"/>
          <w:szCs w:val="24"/>
        </w:rPr>
        <w:t>Gazso</w:t>
      </w:r>
      <w:proofErr w:type="spellEnd"/>
      <w:r w:rsidRPr="000C74C5">
        <w:rPr>
          <w:sz w:val="24"/>
          <w:szCs w:val="24"/>
        </w:rPr>
        <w:t xml:space="preserve">, Christoph. (2011). Bachelorarbeit Wirtschaftsuniversität Wien: Kritische Analyse der AGB und Preise von Banken. Verfügbar unter </w:t>
      </w:r>
      <w:hyperlink r:id="rId39" w:history="1">
        <w:r w:rsidRPr="000C74C5">
          <w:rPr>
            <w:sz w:val="24"/>
            <w:szCs w:val="24"/>
          </w:rPr>
          <w:t>http://wi.wu.ac.at:8002/rgf/diplomarbeiten/BakkStuff/2011/201106_Gazso_AGB_Banken/AGB_Banken_200110617.pdf</w:t>
        </w:r>
      </w:hyperlink>
      <w:r w:rsidRPr="000C74C5">
        <w:rPr>
          <w:sz w:val="24"/>
          <w:szCs w:val="24"/>
        </w:rPr>
        <w:t xml:space="preserve"> </w:t>
      </w:r>
    </w:p>
    <w:p w14:paraId="4363712C" w14:textId="77777777" w:rsidR="000C74C5" w:rsidRPr="000C74C5" w:rsidRDefault="000C74C5" w:rsidP="00AC7FE5">
      <w:pPr>
        <w:spacing w:after="120"/>
        <w:rPr>
          <w:sz w:val="24"/>
          <w:szCs w:val="24"/>
        </w:rPr>
      </w:pPr>
      <w:proofErr w:type="spellStart"/>
      <w:r w:rsidRPr="000C74C5">
        <w:rPr>
          <w:b/>
          <w:bCs/>
          <w:sz w:val="24"/>
          <w:szCs w:val="24"/>
        </w:rPr>
        <w:t>Geldmarie</w:t>
      </w:r>
      <w:proofErr w:type="spellEnd"/>
      <w:r w:rsidRPr="000C74C5">
        <w:rPr>
          <w:sz w:val="24"/>
          <w:szCs w:val="24"/>
        </w:rPr>
        <w:t>. (</w:t>
      </w:r>
      <w:proofErr w:type="spellStart"/>
      <w:r w:rsidRPr="000C74C5">
        <w:rPr>
          <w:sz w:val="24"/>
          <w:szCs w:val="24"/>
        </w:rPr>
        <w:t>o.D</w:t>
      </w:r>
      <w:proofErr w:type="spellEnd"/>
      <w:r w:rsidRPr="000C74C5">
        <w:rPr>
          <w:sz w:val="24"/>
          <w:szCs w:val="24"/>
        </w:rPr>
        <w:t xml:space="preserve">.). SEPA-Lastschrift und Einziehungsauftrag. Verfügbar unter </w:t>
      </w:r>
      <w:hyperlink r:id="rId40" w:history="1">
        <w:r w:rsidRPr="000C74C5">
          <w:rPr>
            <w:sz w:val="24"/>
            <w:szCs w:val="24"/>
          </w:rPr>
          <w:t>http://www.geldmarie.at/banken/lastschrift.html</w:t>
        </w:r>
      </w:hyperlink>
      <w:r w:rsidRPr="000C74C5">
        <w:rPr>
          <w:sz w:val="24"/>
          <w:szCs w:val="24"/>
        </w:rPr>
        <w:t xml:space="preserve"> </w:t>
      </w:r>
    </w:p>
    <w:p w14:paraId="58F985CA" w14:textId="77777777" w:rsidR="000C74C5" w:rsidRPr="000C74C5" w:rsidRDefault="000C74C5" w:rsidP="00AC7FE5">
      <w:pPr>
        <w:spacing w:after="120"/>
        <w:rPr>
          <w:sz w:val="24"/>
          <w:szCs w:val="24"/>
        </w:rPr>
      </w:pPr>
      <w:proofErr w:type="spellStart"/>
      <w:r w:rsidRPr="000C74C5">
        <w:rPr>
          <w:b/>
          <w:bCs/>
          <w:sz w:val="24"/>
          <w:szCs w:val="24"/>
        </w:rPr>
        <w:t>Jusline</w:t>
      </w:r>
      <w:proofErr w:type="spellEnd"/>
      <w:r w:rsidRPr="000C74C5">
        <w:rPr>
          <w:sz w:val="24"/>
          <w:szCs w:val="24"/>
        </w:rPr>
        <w:t xml:space="preserve">. (2021). Strafgesetzbuch: Sachwucher. Verfügbar unter </w:t>
      </w:r>
      <w:hyperlink r:id="rId41" w:history="1">
        <w:r w:rsidRPr="000C74C5">
          <w:rPr>
            <w:sz w:val="24"/>
            <w:szCs w:val="24"/>
          </w:rPr>
          <w:t>https://www.jusline.at/gesetz/stgb/paragraf/155</w:t>
        </w:r>
      </w:hyperlink>
      <w:r w:rsidRPr="000C74C5">
        <w:rPr>
          <w:sz w:val="24"/>
          <w:szCs w:val="24"/>
        </w:rPr>
        <w:t xml:space="preserve"> </w:t>
      </w:r>
    </w:p>
    <w:p w14:paraId="778E8A4B" w14:textId="77777777" w:rsidR="000C74C5" w:rsidRPr="000C74C5" w:rsidRDefault="000C74C5" w:rsidP="00AC7FE5">
      <w:pPr>
        <w:spacing w:after="120"/>
        <w:rPr>
          <w:sz w:val="24"/>
          <w:szCs w:val="24"/>
        </w:rPr>
      </w:pPr>
      <w:proofErr w:type="spellStart"/>
      <w:r w:rsidRPr="000C74C5">
        <w:rPr>
          <w:b/>
          <w:bCs/>
          <w:sz w:val="24"/>
          <w:szCs w:val="24"/>
        </w:rPr>
        <w:t>Jusprofi</w:t>
      </w:r>
      <w:proofErr w:type="spellEnd"/>
      <w:r w:rsidRPr="000C74C5">
        <w:rPr>
          <w:sz w:val="24"/>
          <w:szCs w:val="24"/>
        </w:rPr>
        <w:t xml:space="preserve">. (2021). Legal Lexikon: </w:t>
      </w:r>
      <w:proofErr w:type="spellStart"/>
      <w:r w:rsidRPr="000C74C5">
        <w:rPr>
          <w:sz w:val="24"/>
          <w:szCs w:val="24"/>
        </w:rPr>
        <w:t>Laesio</w:t>
      </w:r>
      <w:proofErr w:type="spellEnd"/>
      <w:r w:rsidRPr="000C74C5">
        <w:rPr>
          <w:sz w:val="24"/>
          <w:szCs w:val="24"/>
        </w:rPr>
        <w:t xml:space="preserve"> </w:t>
      </w:r>
      <w:proofErr w:type="spellStart"/>
      <w:r w:rsidRPr="000C74C5">
        <w:rPr>
          <w:sz w:val="24"/>
          <w:szCs w:val="24"/>
        </w:rPr>
        <w:t>enormis</w:t>
      </w:r>
      <w:proofErr w:type="spellEnd"/>
      <w:r w:rsidRPr="000C74C5">
        <w:rPr>
          <w:sz w:val="24"/>
          <w:szCs w:val="24"/>
        </w:rPr>
        <w:t xml:space="preserve"> – Was versteht man unter </w:t>
      </w:r>
      <w:proofErr w:type="spellStart"/>
      <w:r w:rsidRPr="000C74C5">
        <w:rPr>
          <w:sz w:val="24"/>
          <w:szCs w:val="24"/>
        </w:rPr>
        <w:t>laesio</w:t>
      </w:r>
      <w:proofErr w:type="spellEnd"/>
      <w:r w:rsidRPr="000C74C5">
        <w:rPr>
          <w:sz w:val="24"/>
          <w:szCs w:val="24"/>
        </w:rPr>
        <w:t xml:space="preserve"> </w:t>
      </w:r>
      <w:proofErr w:type="spellStart"/>
      <w:proofErr w:type="gramStart"/>
      <w:r w:rsidRPr="000C74C5">
        <w:rPr>
          <w:sz w:val="24"/>
          <w:szCs w:val="24"/>
        </w:rPr>
        <w:t>enormis</w:t>
      </w:r>
      <w:proofErr w:type="spellEnd"/>
      <w:r w:rsidRPr="000C74C5">
        <w:rPr>
          <w:sz w:val="24"/>
          <w:szCs w:val="24"/>
        </w:rPr>
        <w:t>?.</w:t>
      </w:r>
      <w:proofErr w:type="gramEnd"/>
      <w:r w:rsidRPr="000C74C5">
        <w:rPr>
          <w:sz w:val="24"/>
          <w:szCs w:val="24"/>
        </w:rPr>
        <w:t xml:space="preserve"> Verfügbar unter </w:t>
      </w:r>
      <w:hyperlink r:id="rId42" w:history="1">
        <w:r w:rsidRPr="000C74C5">
          <w:rPr>
            <w:sz w:val="24"/>
            <w:szCs w:val="24"/>
          </w:rPr>
          <w:t>https://www.jusprofi.at/legal-lexikon/laesio-enormis/</w:t>
        </w:r>
      </w:hyperlink>
      <w:r w:rsidRPr="000C74C5">
        <w:rPr>
          <w:sz w:val="24"/>
          <w:szCs w:val="24"/>
        </w:rPr>
        <w:t xml:space="preserve"> </w:t>
      </w:r>
    </w:p>
    <w:p w14:paraId="325C5F60" w14:textId="77777777" w:rsidR="000C74C5" w:rsidRPr="000C74C5" w:rsidRDefault="000C74C5" w:rsidP="00AC7FE5">
      <w:pPr>
        <w:spacing w:after="120"/>
        <w:rPr>
          <w:sz w:val="24"/>
          <w:szCs w:val="24"/>
        </w:rPr>
      </w:pPr>
      <w:r w:rsidRPr="000C74C5">
        <w:rPr>
          <w:b/>
          <w:bCs/>
          <w:sz w:val="24"/>
          <w:szCs w:val="24"/>
        </w:rPr>
        <w:t>Konsument</w:t>
      </w:r>
      <w:r w:rsidRPr="000C74C5">
        <w:rPr>
          <w:sz w:val="24"/>
          <w:szCs w:val="24"/>
        </w:rPr>
        <w:t xml:space="preserve">. (2014). Einziehungsauftrag. Verfügbar unter </w:t>
      </w:r>
      <w:hyperlink r:id="rId43" w:history="1">
        <w:r w:rsidRPr="000C74C5">
          <w:rPr>
            <w:sz w:val="24"/>
            <w:szCs w:val="24"/>
          </w:rPr>
          <w:t>https://www.konsument.at/geld-recht/einziehungsauftrag</w:t>
        </w:r>
      </w:hyperlink>
      <w:r w:rsidRPr="000C74C5">
        <w:rPr>
          <w:sz w:val="24"/>
          <w:szCs w:val="24"/>
        </w:rPr>
        <w:t xml:space="preserve"> </w:t>
      </w:r>
    </w:p>
    <w:p w14:paraId="1CC3B0BB" w14:textId="77777777" w:rsidR="000C74C5" w:rsidRPr="000C74C5" w:rsidRDefault="000C74C5" w:rsidP="00AC7FE5">
      <w:pPr>
        <w:spacing w:after="120"/>
        <w:rPr>
          <w:sz w:val="24"/>
          <w:szCs w:val="24"/>
        </w:rPr>
      </w:pPr>
      <w:r w:rsidRPr="000C74C5">
        <w:rPr>
          <w:b/>
          <w:bCs/>
          <w:sz w:val="24"/>
          <w:szCs w:val="24"/>
        </w:rPr>
        <w:t>Konto</w:t>
      </w:r>
      <w:r w:rsidRPr="000C74C5">
        <w:rPr>
          <w:sz w:val="24"/>
          <w:szCs w:val="24"/>
        </w:rPr>
        <w:t>. (</w:t>
      </w:r>
      <w:proofErr w:type="spellStart"/>
      <w:r w:rsidRPr="000C74C5">
        <w:rPr>
          <w:sz w:val="24"/>
          <w:szCs w:val="24"/>
        </w:rPr>
        <w:t>o.D</w:t>
      </w:r>
      <w:proofErr w:type="spellEnd"/>
      <w:r w:rsidRPr="000C74C5">
        <w:rPr>
          <w:sz w:val="24"/>
          <w:szCs w:val="24"/>
        </w:rPr>
        <w:t xml:space="preserve">.). Werden bei einem Girokonto auch Kontoauszüge </w:t>
      </w:r>
      <w:proofErr w:type="gramStart"/>
      <w:r w:rsidRPr="000C74C5">
        <w:rPr>
          <w:sz w:val="24"/>
          <w:szCs w:val="24"/>
        </w:rPr>
        <w:t>zugeschickt?.</w:t>
      </w:r>
      <w:proofErr w:type="gramEnd"/>
      <w:r w:rsidRPr="000C74C5">
        <w:rPr>
          <w:sz w:val="24"/>
          <w:szCs w:val="24"/>
        </w:rPr>
        <w:t xml:space="preserve"> Verfügbar unter </w:t>
      </w:r>
      <w:hyperlink r:id="rId44" w:history="1">
        <w:r w:rsidRPr="000C74C5">
          <w:rPr>
            <w:sz w:val="24"/>
            <w:szCs w:val="24"/>
          </w:rPr>
          <w:t>https://www.konto.org/ratgeber/girokonto/girokonto-eroeffnen/zuschickung-kontoauszuege/</w:t>
        </w:r>
      </w:hyperlink>
      <w:r w:rsidRPr="000C74C5">
        <w:rPr>
          <w:sz w:val="24"/>
          <w:szCs w:val="24"/>
        </w:rPr>
        <w:t xml:space="preserve"> </w:t>
      </w:r>
    </w:p>
    <w:p w14:paraId="1A5FBB05" w14:textId="403A94A9" w:rsidR="000C74C5" w:rsidRDefault="000C74C5" w:rsidP="00AC7FE5">
      <w:pPr>
        <w:spacing w:after="120"/>
        <w:rPr>
          <w:sz w:val="24"/>
          <w:szCs w:val="24"/>
        </w:rPr>
      </w:pPr>
      <w:r w:rsidRPr="000C74C5">
        <w:rPr>
          <w:b/>
          <w:bCs/>
          <w:sz w:val="24"/>
          <w:szCs w:val="24"/>
        </w:rPr>
        <w:t>Kontovergleich</w:t>
      </w:r>
      <w:r w:rsidRPr="000C74C5">
        <w:rPr>
          <w:sz w:val="24"/>
          <w:szCs w:val="24"/>
        </w:rPr>
        <w:t xml:space="preserve">. (2016). </w:t>
      </w:r>
      <w:proofErr w:type="spellStart"/>
      <w:r w:rsidRPr="000C74C5">
        <w:rPr>
          <w:sz w:val="24"/>
          <w:szCs w:val="24"/>
        </w:rPr>
        <w:t>Duplikatsauszug</w:t>
      </w:r>
      <w:proofErr w:type="spellEnd"/>
      <w:r w:rsidRPr="000C74C5">
        <w:rPr>
          <w:sz w:val="24"/>
          <w:szCs w:val="24"/>
        </w:rPr>
        <w:t xml:space="preserve">. Verfügbar unter </w:t>
      </w:r>
      <w:hyperlink r:id="rId45" w:history="1">
        <w:r w:rsidRPr="000C74C5">
          <w:rPr>
            <w:sz w:val="24"/>
            <w:szCs w:val="24"/>
          </w:rPr>
          <w:t>https://www.konto-vergleich.at/lexikon/duplikatsauszug/</w:t>
        </w:r>
      </w:hyperlink>
      <w:r w:rsidRPr="000C74C5">
        <w:rPr>
          <w:sz w:val="24"/>
          <w:szCs w:val="24"/>
        </w:rPr>
        <w:t xml:space="preserve"> </w:t>
      </w:r>
    </w:p>
    <w:p w14:paraId="2265EFBD" w14:textId="74FBA05D" w:rsidR="00A90254" w:rsidRPr="000C74C5" w:rsidRDefault="00A90254" w:rsidP="00AC7FE5">
      <w:pPr>
        <w:spacing w:after="120"/>
        <w:rPr>
          <w:sz w:val="24"/>
          <w:szCs w:val="24"/>
        </w:rPr>
      </w:pPr>
      <w:r w:rsidRPr="00A90254">
        <w:rPr>
          <w:b/>
          <w:bCs/>
          <w:sz w:val="24"/>
          <w:szCs w:val="24"/>
        </w:rPr>
        <w:t>Kostenloser-</w:t>
      </w:r>
      <w:r>
        <w:rPr>
          <w:sz w:val="24"/>
          <w:szCs w:val="24"/>
        </w:rPr>
        <w:t xml:space="preserve">Girokonto-Vergleich. (2014.). Kontoführungsgebühren sind unbeliebt. Verfügbar unter </w:t>
      </w:r>
      <w:r w:rsidRPr="00A90254">
        <w:rPr>
          <w:sz w:val="24"/>
          <w:szCs w:val="24"/>
        </w:rPr>
        <w:t>https://www.kostenloser-girokonto-vergleich.de/neue-vorschriften-bei-kontofuehrungsgebuehren-kontokosten/</w:t>
      </w:r>
      <w:r>
        <w:rPr>
          <w:sz w:val="24"/>
          <w:szCs w:val="24"/>
        </w:rPr>
        <w:t xml:space="preserve"> </w:t>
      </w:r>
    </w:p>
    <w:p w14:paraId="6596746C" w14:textId="77777777" w:rsidR="000C74C5" w:rsidRPr="000C74C5" w:rsidRDefault="000C74C5" w:rsidP="00AC7FE5">
      <w:pPr>
        <w:spacing w:after="120"/>
        <w:rPr>
          <w:sz w:val="24"/>
          <w:szCs w:val="24"/>
        </w:rPr>
      </w:pPr>
      <w:r w:rsidRPr="000C74C5">
        <w:rPr>
          <w:b/>
          <w:bCs/>
          <w:sz w:val="24"/>
          <w:szCs w:val="24"/>
        </w:rPr>
        <w:t>Kreditkarten</w:t>
      </w:r>
      <w:r w:rsidRPr="000C74C5">
        <w:rPr>
          <w:sz w:val="24"/>
          <w:szCs w:val="24"/>
        </w:rPr>
        <w:t>. (</w:t>
      </w:r>
      <w:proofErr w:type="spellStart"/>
      <w:r w:rsidRPr="000C74C5">
        <w:rPr>
          <w:sz w:val="24"/>
          <w:szCs w:val="24"/>
        </w:rPr>
        <w:t>o.D</w:t>
      </w:r>
      <w:proofErr w:type="spellEnd"/>
      <w:r w:rsidRPr="000C74C5">
        <w:rPr>
          <w:sz w:val="24"/>
          <w:szCs w:val="24"/>
        </w:rPr>
        <w:t xml:space="preserve">.). </w:t>
      </w:r>
      <w:proofErr w:type="spellStart"/>
      <w:r w:rsidRPr="000C74C5">
        <w:rPr>
          <w:sz w:val="24"/>
          <w:szCs w:val="24"/>
        </w:rPr>
        <w:t>Mastercard</w:t>
      </w:r>
      <w:proofErr w:type="spellEnd"/>
      <w:r w:rsidRPr="000C74C5">
        <w:rPr>
          <w:sz w:val="24"/>
          <w:szCs w:val="24"/>
        </w:rPr>
        <w:t xml:space="preserve"> sperren. Verfügbar unter </w:t>
      </w:r>
      <w:hyperlink r:id="rId46" w:history="1">
        <w:r w:rsidRPr="000C74C5">
          <w:rPr>
            <w:sz w:val="24"/>
            <w:szCs w:val="24"/>
          </w:rPr>
          <w:t>https://kreditkarten.net/ratgeber/kreditkarte-sperren/mastercard-sperren.html</w:t>
        </w:r>
      </w:hyperlink>
      <w:r w:rsidRPr="000C74C5">
        <w:rPr>
          <w:sz w:val="24"/>
          <w:szCs w:val="24"/>
        </w:rPr>
        <w:t xml:space="preserve"> </w:t>
      </w:r>
    </w:p>
    <w:p w14:paraId="57FD499F" w14:textId="77777777" w:rsidR="000C74C5" w:rsidRPr="000C74C5" w:rsidRDefault="000C74C5" w:rsidP="00AC7FE5">
      <w:pPr>
        <w:spacing w:after="120"/>
        <w:rPr>
          <w:sz w:val="24"/>
          <w:szCs w:val="24"/>
        </w:rPr>
      </w:pPr>
      <w:r w:rsidRPr="000C74C5">
        <w:rPr>
          <w:b/>
          <w:bCs/>
          <w:sz w:val="24"/>
          <w:szCs w:val="24"/>
        </w:rPr>
        <w:t>OTS</w:t>
      </w:r>
      <w:r w:rsidRPr="000C74C5">
        <w:rPr>
          <w:sz w:val="24"/>
          <w:szCs w:val="24"/>
        </w:rPr>
        <w:t xml:space="preserve">. (2017). Umfrage: Unzufrieden mit Bankkonditionen – trotzdem nur 6% Wechselwillige. Verfügbar unter </w:t>
      </w:r>
      <w:hyperlink r:id="rId47" w:history="1">
        <w:r w:rsidRPr="000C74C5">
          <w:rPr>
            <w:sz w:val="24"/>
            <w:szCs w:val="24"/>
          </w:rPr>
          <w:t>https://www.ots.at/presseaussendung/OTS_20170803_OTS0025/umfrage-unzufrieden-mit-bankkonditionen-trotzdem-nur-6-wechselwillige-grafik</w:t>
        </w:r>
      </w:hyperlink>
      <w:r w:rsidRPr="000C74C5">
        <w:rPr>
          <w:sz w:val="24"/>
          <w:szCs w:val="24"/>
        </w:rPr>
        <w:t xml:space="preserve"> </w:t>
      </w:r>
    </w:p>
    <w:p w14:paraId="2AFE324D" w14:textId="77777777" w:rsidR="000C74C5" w:rsidRPr="000C74C5" w:rsidRDefault="000C74C5" w:rsidP="00AC7FE5">
      <w:pPr>
        <w:spacing w:after="120"/>
        <w:rPr>
          <w:sz w:val="24"/>
          <w:szCs w:val="24"/>
        </w:rPr>
      </w:pPr>
      <w:r w:rsidRPr="000C74C5">
        <w:rPr>
          <w:b/>
          <w:bCs/>
          <w:sz w:val="24"/>
          <w:szCs w:val="24"/>
        </w:rPr>
        <w:lastRenderedPageBreak/>
        <w:t>Österreich GV</w:t>
      </w:r>
      <w:r w:rsidRPr="000C74C5">
        <w:rPr>
          <w:sz w:val="24"/>
          <w:szCs w:val="24"/>
        </w:rPr>
        <w:t xml:space="preserve">. (2021). Begriffe mit L: </w:t>
      </w:r>
      <w:proofErr w:type="spellStart"/>
      <w:r w:rsidRPr="000C74C5">
        <w:rPr>
          <w:sz w:val="24"/>
          <w:szCs w:val="24"/>
        </w:rPr>
        <w:t>Laesio</w:t>
      </w:r>
      <w:proofErr w:type="spellEnd"/>
      <w:r w:rsidRPr="000C74C5">
        <w:rPr>
          <w:sz w:val="24"/>
          <w:szCs w:val="24"/>
        </w:rPr>
        <w:t xml:space="preserve"> </w:t>
      </w:r>
      <w:proofErr w:type="spellStart"/>
      <w:r w:rsidRPr="000C74C5">
        <w:rPr>
          <w:sz w:val="24"/>
          <w:szCs w:val="24"/>
        </w:rPr>
        <w:t>enormis</w:t>
      </w:r>
      <w:proofErr w:type="spellEnd"/>
      <w:r w:rsidRPr="000C74C5">
        <w:rPr>
          <w:sz w:val="24"/>
          <w:szCs w:val="24"/>
        </w:rPr>
        <w:t xml:space="preserve">. Verfügbar unter </w:t>
      </w:r>
      <w:hyperlink r:id="rId48" w:history="1">
        <w:r w:rsidRPr="000C74C5">
          <w:rPr>
            <w:sz w:val="24"/>
            <w:szCs w:val="24"/>
          </w:rPr>
          <w:t>https://www.oesterreich.gv.at/lexicon/L/Seite.991194.html</w:t>
        </w:r>
      </w:hyperlink>
      <w:r w:rsidRPr="000C74C5">
        <w:rPr>
          <w:sz w:val="24"/>
          <w:szCs w:val="24"/>
        </w:rPr>
        <w:t xml:space="preserve"> </w:t>
      </w:r>
    </w:p>
    <w:p w14:paraId="74DC9022" w14:textId="77777777" w:rsidR="000C74C5" w:rsidRPr="000C74C5" w:rsidRDefault="000C74C5" w:rsidP="00AC7FE5">
      <w:pPr>
        <w:spacing w:after="120"/>
        <w:rPr>
          <w:sz w:val="24"/>
          <w:szCs w:val="24"/>
        </w:rPr>
      </w:pPr>
      <w:r w:rsidRPr="000C74C5">
        <w:rPr>
          <w:b/>
          <w:bCs/>
          <w:sz w:val="24"/>
          <w:szCs w:val="24"/>
        </w:rPr>
        <w:t>Österreich GV</w:t>
      </w:r>
      <w:r w:rsidRPr="000C74C5">
        <w:rPr>
          <w:sz w:val="24"/>
          <w:szCs w:val="24"/>
        </w:rPr>
        <w:t xml:space="preserve">. (2021). Girokonto: Dauerauftrag. Verfügbar unter </w:t>
      </w:r>
      <w:hyperlink r:id="rId49" w:history="1">
        <w:r w:rsidRPr="000C74C5">
          <w:rPr>
            <w:sz w:val="24"/>
            <w:szCs w:val="24"/>
          </w:rPr>
          <w:t>https://www.oesterreich.gv.at/themen/steuern_und_finanzen/bankgeschaefte/1/Seite.750265.html</w:t>
        </w:r>
      </w:hyperlink>
    </w:p>
    <w:p w14:paraId="4C92523A" w14:textId="77777777" w:rsidR="000C74C5" w:rsidRPr="000C74C5" w:rsidRDefault="000C74C5" w:rsidP="00AC7FE5">
      <w:pPr>
        <w:spacing w:after="120"/>
        <w:rPr>
          <w:sz w:val="24"/>
          <w:szCs w:val="24"/>
        </w:rPr>
      </w:pPr>
      <w:r w:rsidRPr="000C74C5">
        <w:rPr>
          <w:b/>
          <w:bCs/>
          <w:sz w:val="24"/>
          <w:szCs w:val="24"/>
        </w:rPr>
        <w:t>Post</w:t>
      </w:r>
      <w:r w:rsidRPr="000C74C5">
        <w:rPr>
          <w:sz w:val="24"/>
          <w:szCs w:val="24"/>
        </w:rPr>
        <w:t xml:space="preserve">. (2021). Tarife Brief Österreich. Verfügbar unter </w:t>
      </w:r>
      <w:hyperlink r:id="rId50" w:anchor="541649729" w:history="1">
        <w:r w:rsidRPr="000C74C5">
          <w:rPr>
            <w:sz w:val="24"/>
            <w:szCs w:val="24"/>
          </w:rPr>
          <w:t>https://www.post.at/p/c/brief-tarife#541649729</w:t>
        </w:r>
      </w:hyperlink>
      <w:r w:rsidRPr="000C74C5">
        <w:rPr>
          <w:sz w:val="24"/>
          <w:szCs w:val="24"/>
        </w:rPr>
        <w:t xml:space="preserve"> </w:t>
      </w:r>
    </w:p>
    <w:p w14:paraId="246947E0" w14:textId="77777777" w:rsidR="000C74C5" w:rsidRPr="000C74C5" w:rsidRDefault="000C74C5" w:rsidP="00AC7FE5">
      <w:pPr>
        <w:spacing w:after="120"/>
        <w:rPr>
          <w:sz w:val="24"/>
          <w:szCs w:val="24"/>
        </w:rPr>
      </w:pPr>
      <w:r w:rsidRPr="000C74C5">
        <w:rPr>
          <w:b/>
          <w:bCs/>
          <w:sz w:val="24"/>
          <w:szCs w:val="24"/>
        </w:rPr>
        <w:t>Raiffeisenbank</w:t>
      </w:r>
      <w:r w:rsidRPr="000C74C5">
        <w:rPr>
          <w:sz w:val="24"/>
          <w:szCs w:val="24"/>
        </w:rPr>
        <w:t xml:space="preserve">. (2021). Konditionen und Entgelte Girokonto. Verfügbar unter </w:t>
      </w:r>
      <w:hyperlink r:id="rId51" w:history="1">
        <w:r w:rsidRPr="000C74C5">
          <w:rPr>
            <w:sz w:val="24"/>
            <w:szCs w:val="24"/>
          </w:rPr>
          <w:t>https://www.raiffeisen.at/stmk/hausmannstaetten/de/meine-bank/kundenservice/schalteraushang/_jcr_content/root/responsivegrid/tabaccordioncontaine/tabAccordionElements/tabaccordionelement__1085767201/items/downloadlist_copy_15.download.html/3/Konditionen%20und%20Entgelte%20Girokonto.pdf</w:t>
        </w:r>
      </w:hyperlink>
      <w:r w:rsidRPr="000C74C5">
        <w:rPr>
          <w:sz w:val="24"/>
          <w:szCs w:val="24"/>
        </w:rPr>
        <w:t xml:space="preserve"> </w:t>
      </w:r>
    </w:p>
    <w:p w14:paraId="75F716D1" w14:textId="77777777" w:rsidR="000C74C5" w:rsidRPr="000C74C5" w:rsidRDefault="000C74C5" w:rsidP="00AC7FE5">
      <w:pPr>
        <w:spacing w:after="120"/>
        <w:rPr>
          <w:sz w:val="24"/>
          <w:szCs w:val="24"/>
        </w:rPr>
      </w:pPr>
      <w:r w:rsidRPr="000C74C5">
        <w:rPr>
          <w:b/>
          <w:bCs/>
          <w:sz w:val="24"/>
          <w:szCs w:val="24"/>
        </w:rPr>
        <w:t>Raiffeisenbank</w:t>
      </w:r>
      <w:r w:rsidRPr="000C74C5">
        <w:rPr>
          <w:sz w:val="24"/>
          <w:szCs w:val="24"/>
        </w:rPr>
        <w:t xml:space="preserve">. (2021). Preisaushang. Verfügbar unter </w:t>
      </w:r>
      <w:hyperlink r:id="rId52" w:history="1">
        <w:r w:rsidRPr="000C74C5">
          <w:rPr>
            <w:sz w:val="24"/>
            <w:szCs w:val="24"/>
          </w:rPr>
          <w:t>https://www.raiffeisen.at/ooe/rlb/de/meine-bank/schalteraushang/_jcr_content/root/responsivegrid/tabaccordioncontaine/tabAccordionElements/tabaccordionelement_2086307275/items/downloadlist.download.html/0/Preisaushang%20der%20RLB%20OOe.pdf</w:t>
        </w:r>
      </w:hyperlink>
      <w:r w:rsidRPr="000C74C5">
        <w:rPr>
          <w:sz w:val="24"/>
          <w:szCs w:val="24"/>
        </w:rPr>
        <w:t xml:space="preserve"> </w:t>
      </w:r>
    </w:p>
    <w:p w14:paraId="233343D8" w14:textId="77777777" w:rsidR="000C74C5" w:rsidRPr="000C74C5" w:rsidRDefault="000C74C5" w:rsidP="00AC7FE5">
      <w:pPr>
        <w:spacing w:after="120"/>
        <w:rPr>
          <w:sz w:val="24"/>
          <w:szCs w:val="24"/>
        </w:rPr>
      </w:pPr>
      <w:r w:rsidRPr="000C74C5">
        <w:rPr>
          <w:b/>
          <w:bCs/>
          <w:sz w:val="24"/>
          <w:szCs w:val="24"/>
        </w:rPr>
        <w:t>Rechtsinformationssystem des Bundes ABGB</w:t>
      </w:r>
      <w:r w:rsidRPr="000C74C5">
        <w:rPr>
          <w:sz w:val="24"/>
          <w:szCs w:val="24"/>
        </w:rPr>
        <w:t xml:space="preserve">. (2021). Bundesrecht konsolidiert: Gesamte Rechtsvorschrift für Allgemeines bürgerliches Gesetzbuch. Verfügbar unter </w:t>
      </w:r>
      <w:hyperlink r:id="rId53" w:history="1">
        <w:r w:rsidRPr="000C74C5">
          <w:rPr>
            <w:sz w:val="24"/>
            <w:szCs w:val="24"/>
          </w:rPr>
          <w:t>https://www.ris.bka.gv.at/GeltendeFassung.wxe?Abfrage=Bundesnormen&amp;Gesetzesnummer=10001622</w:t>
        </w:r>
      </w:hyperlink>
    </w:p>
    <w:p w14:paraId="00BE68F3" w14:textId="77777777" w:rsidR="000C74C5" w:rsidRPr="000C74C5" w:rsidRDefault="000C74C5" w:rsidP="00AC7FE5">
      <w:pPr>
        <w:spacing w:after="120"/>
        <w:rPr>
          <w:sz w:val="24"/>
          <w:szCs w:val="24"/>
        </w:rPr>
      </w:pPr>
      <w:r w:rsidRPr="000C74C5">
        <w:rPr>
          <w:b/>
          <w:bCs/>
          <w:sz w:val="24"/>
          <w:szCs w:val="24"/>
        </w:rPr>
        <w:t>Rechtsinformationssystem des Bundes Kartellgesetz</w:t>
      </w:r>
      <w:r w:rsidRPr="000C74C5">
        <w:rPr>
          <w:sz w:val="24"/>
          <w:szCs w:val="24"/>
        </w:rPr>
        <w:t xml:space="preserve">. (2021). Bundesrecht konsolidiert: Gesamte Rechtsvorschrift für Kartellgesetz 2005. Verfügbar unter </w:t>
      </w:r>
      <w:hyperlink r:id="rId54" w:history="1">
        <w:r w:rsidRPr="000C74C5">
          <w:rPr>
            <w:sz w:val="24"/>
            <w:szCs w:val="24"/>
          </w:rPr>
          <w:t>https://www.ris.bka.gv.at/GeltendeFassung.wxe?Abfrage=Bundesnormen&amp;Gesetzesnummer=20004174</w:t>
        </w:r>
      </w:hyperlink>
      <w:r w:rsidRPr="000C74C5">
        <w:rPr>
          <w:sz w:val="24"/>
          <w:szCs w:val="24"/>
        </w:rPr>
        <w:t xml:space="preserve"> </w:t>
      </w:r>
    </w:p>
    <w:p w14:paraId="23CCDD97" w14:textId="77777777" w:rsidR="000C74C5" w:rsidRPr="000C74C5" w:rsidRDefault="000C74C5" w:rsidP="00AC7FE5">
      <w:pPr>
        <w:spacing w:after="120"/>
        <w:rPr>
          <w:sz w:val="24"/>
          <w:szCs w:val="24"/>
        </w:rPr>
      </w:pPr>
      <w:r w:rsidRPr="000C74C5">
        <w:rPr>
          <w:b/>
          <w:bCs/>
          <w:sz w:val="24"/>
          <w:szCs w:val="24"/>
        </w:rPr>
        <w:t xml:space="preserve">Rechtsinformationssystem des Bundes </w:t>
      </w:r>
      <w:proofErr w:type="spellStart"/>
      <w:r w:rsidRPr="000C74C5">
        <w:rPr>
          <w:b/>
          <w:bCs/>
          <w:sz w:val="24"/>
          <w:szCs w:val="24"/>
        </w:rPr>
        <w:t>Zahlungsdienstegesetz</w:t>
      </w:r>
      <w:proofErr w:type="spellEnd"/>
      <w:r w:rsidRPr="000C74C5">
        <w:rPr>
          <w:sz w:val="24"/>
          <w:szCs w:val="24"/>
        </w:rPr>
        <w:t xml:space="preserve">. (2021). Bundesrecht konsolidiert: Gesamte Rechtsvorschrift für </w:t>
      </w:r>
      <w:proofErr w:type="spellStart"/>
      <w:r w:rsidRPr="000C74C5">
        <w:rPr>
          <w:sz w:val="24"/>
          <w:szCs w:val="24"/>
        </w:rPr>
        <w:t>Zahlungsdienstegesetz</w:t>
      </w:r>
      <w:proofErr w:type="spellEnd"/>
      <w:r w:rsidRPr="000C74C5">
        <w:rPr>
          <w:sz w:val="24"/>
          <w:szCs w:val="24"/>
        </w:rPr>
        <w:t xml:space="preserve"> 2018. Verfügbar unter </w:t>
      </w:r>
      <w:hyperlink r:id="rId55" w:history="1">
        <w:r w:rsidRPr="000C74C5">
          <w:rPr>
            <w:sz w:val="24"/>
            <w:szCs w:val="24"/>
          </w:rPr>
          <w:t>https://www.ris.bka.gv.at/GeltendeFassung.wxe?Abfrage=Bundesnormen&amp;Gesetzesnummer=20010182</w:t>
        </w:r>
      </w:hyperlink>
      <w:r w:rsidRPr="000C74C5">
        <w:rPr>
          <w:sz w:val="24"/>
          <w:szCs w:val="24"/>
        </w:rPr>
        <w:t xml:space="preserve"> </w:t>
      </w:r>
    </w:p>
    <w:p w14:paraId="055D9CE3" w14:textId="77777777" w:rsidR="000C74C5" w:rsidRPr="000C74C5" w:rsidRDefault="000C74C5" w:rsidP="00AC7FE5">
      <w:pPr>
        <w:spacing w:after="120"/>
        <w:rPr>
          <w:sz w:val="24"/>
          <w:szCs w:val="24"/>
        </w:rPr>
      </w:pPr>
      <w:r w:rsidRPr="000C74C5">
        <w:rPr>
          <w:b/>
          <w:bCs/>
          <w:sz w:val="24"/>
          <w:szCs w:val="24"/>
        </w:rPr>
        <w:t>Repro Online</w:t>
      </w:r>
      <w:r w:rsidRPr="000C74C5">
        <w:rPr>
          <w:sz w:val="24"/>
          <w:szCs w:val="24"/>
        </w:rPr>
        <w:t xml:space="preserve">. (2021). DIN A4 Drucke günstig online bestellen: Preise DIN A4 drucken. Verfügbar unter </w:t>
      </w:r>
      <w:hyperlink r:id="rId56" w:history="1">
        <w:r w:rsidRPr="000C74C5">
          <w:rPr>
            <w:sz w:val="24"/>
            <w:szCs w:val="24"/>
          </w:rPr>
          <w:t>https://www.repro-online.at/din-a4-druck</w:t>
        </w:r>
      </w:hyperlink>
      <w:r w:rsidRPr="000C74C5">
        <w:rPr>
          <w:sz w:val="24"/>
          <w:szCs w:val="24"/>
        </w:rPr>
        <w:t xml:space="preserve"> </w:t>
      </w:r>
    </w:p>
    <w:p w14:paraId="735863D3" w14:textId="77777777" w:rsidR="000C74C5" w:rsidRPr="000C74C5" w:rsidRDefault="000C74C5" w:rsidP="00AC7FE5">
      <w:pPr>
        <w:spacing w:after="120"/>
        <w:rPr>
          <w:sz w:val="24"/>
          <w:szCs w:val="24"/>
        </w:rPr>
      </w:pPr>
      <w:r w:rsidRPr="000C74C5">
        <w:rPr>
          <w:b/>
          <w:bCs/>
          <w:sz w:val="24"/>
          <w:szCs w:val="24"/>
        </w:rPr>
        <w:t>Statista</w:t>
      </w:r>
      <w:r w:rsidRPr="000C74C5">
        <w:rPr>
          <w:sz w:val="24"/>
          <w:szCs w:val="24"/>
        </w:rPr>
        <w:t xml:space="preserve">. (2009). Durchschnittliche jährliche Bankgebühren in Europa nach Ländern in Euro.  Verfügbar </w:t>
      </w:r>
      <w:hyperlink r:id="rId57" w:history="1">
        <w:r w:rsidRPr="000C74C5">
          <w:rPr>
            <w:sz w:val="24"/>
            <w:szCs w:val="24"/>
          </w:rPr>
          <w:t>https://de.statista.com/statistik/daten/studie/38133/umfrage/durchschnittliche-jaehrliche-bankgebuehren-in-europa-nach-laendern/</w:t>
        </w:r>
      </w:hyperlink>
      <w:r w:rsidRPr="000C74C5">
        <w:rPr>
          <w:sz w:val="24"/>
          <w:szCs w:val="24"/>
        </w:rPr>
        <w:t xml:space="preserve"> </w:t>
      </w:r>
    </w:p>
    <w:p w14:paraId="20FA966B" w14:textId="77777777" w:rsidR="000C74C5" w:rsidRPr="000C74C5" w:rsidRDefault="000C74C5" w:rsidP="00AC7FE5">
      <w:pPr>
        <w:spacing w:after="120"/>
        <w:rPr>
          <w:sz w:val="24"/>
          <w:szCs w:val="24"/>
        </w:rPr>
      </w:pPr>
      <w:r w:rsidRPr="000C74C5">
        <w:rPr>
          <w:b/>
          <w:bCs/>
          <w:sz w:val="24"/>
          <w:szCs w:val="24"/>
        </w:rPr>
        <w:t>Vorlagenportal Personalverrechnung</w:t>
      </w:r>
      <w:r w:rsidRPr="000C74C5">
        <w:rPr>
          <w:sz w:val="24"/>
          <w:szCs w:val="24"/>
        </w:rPr>
        <w:t xml:space="preserve">. (2021). Wichtige Werte für die Personalverrechnung 2021. Verfügbar unter </w:t>
      </w:r>
      <w:hyperlink r:id="rId58" w:history="1">
        <w:r w:rsidRPr="000C74C5">
          <w:rPr>
            <w:sz w:val="24"/>
            <w:szCs w:val="24"/>
          </w:rPr>
          <w:t>https://www.vorlagenportal.at/vl/wp-content/uploads/PV-Werte-2021.pdf</w:t>
        </w:r>
      </w:hyperlink>
      <w:r w:rsidRPr="000C74C5">
        <w:rPr>
          <w:sz w:val="24"/>
          <w:szCs w:val="24"/>
        </w:rPr>
        <w:t xml:space="preserve"> </w:t>
      </w:r>
    </w:p>
    <w:p w14:paraId="4869535F" w14:textId="77777777" w:rsidR="000C74C5" w:rsidRPr="000C74C5" w:rsidRDefault="000C74C5" w:rsidP="00AC7FE5">
      <w:pPr>
        <w:spacing w:after="120"/>
        <w:rPr>
          <w:sz w:val="24"/>
          <w:szCs w:val="24"/>
        </w:rPr>
      </w:pPr>
      <w:r w:rsidRPr="000C74C5">
        <w:rPr>
          <w:b/>
          <w:bCs/>
          <w:sz w:val="24"/>
          <w:szCs w:val="24"/>
        </w:rPr>
        <w:t>Wikipedia</w:t>
      </w:r>
      <w:r w:rsidRPr="000C74C5">
        <w:rPr>
          <w:sz w:val="24"/>
          <w:szCs w:val="24"/>
        </w:rPr>
        <w:t xml:space="preserve">. (2020). Bareinzahlung. Verfügbar unter </w:t>
      </w:r>
      <w:hyperlink r:id="rId59" w:history="1">
        <w:r w:rsidRPr="000C74C5">
          <w:rPr>
            <w:sz w:val="24"/>
            <w:szCs w:val="24"/>
          </w:rPr>
          <w:t>https://de.wikipedia.org/wiki/Bareinzahlung</w:t>
        </w:r>
      </w:hyperlink>
      <w:r w:rsidRPr="000C74C5">
        <w:rPr>
          <w:sz w:val="24"/>
          <w:szCs w:val="24"/>
        </w:rPr>
        <w:t xml:space="preserve"> </w:t>
      </w:r>
    </w:p>
    <w:p w14:paraId="0BB04ED0" w14:textId="77777777" w:rsidR="000C74C5" w:rsidRPr="000C74C5" w:rsidRDefault="000C74C5" w:rsidP="00AC7FE5">
      <w:pPr>
        <w:spacing w:after="120"/>
        <w:rPr>
          <w:sz w:val="24"/>
          <w:szCs w:val="24"/>
        </w:rPr>
      </w:pPr>
      <w:r w:rsidRPr="000C74C5">
        <w:rPr>
          <w:b/>
          <w:bCs/>
          <w:sz w:val="24"/>
          <w:szCs w:val="24"/>
        </w:rPr>
        <w:t>Wirtschaftskammer</w:t>
      </w:r>
      <w:r w:rsidRPr="000C74C5">
        <w:rPr>
          <w:sz w:val="24"/>
          <w:szCs w:val="24"/>
        </w:rPr>
        <w:t xml:space="preserve"> </w:t>
      </w:r>
      <w:r w:rsidRPr="000C74C5">
        <w:rPr>
          <w:b/>
          <w:bCs/>
          <w:sz w:val="24"/>
          <w:szCs w:val="24"/>
        </w:rPr>
        <w:t>Österreich Kartellgesetz</w:t>
      </w:r>
      <w:r w:rsidRPr="000C74C5">
        <w:rPr>
          <w:sz w:val="24"/>
          <w:szCs w:val="24"/>
        </w:rPr>
        <w:t xml:space="preserve">. (2020). Wirtschaftsrecht und Gewerberecht: Wettbewerbsrecht: Kartellrecht in Österreich. Verfügbar unter </w:t>
      </w:r>
      <w:hyperlink r:id="rId60" w:history="1">
        <w:r w:rsidRPr="000C74C5">
          <w:rPr>
            <w:sz w:val="24"/>
            <w:szCs w:val="24"/>
          </w:rPr>
          <w:t>https://www.wko.at/service/wirtschaftsrecht-gewerberecht/Kartellrecht.html</w:t>
        </w:r>
      </w:hyperlink>
      <w:r w:rsidRPr="000C74C5">
        <w:rPr>
          <w:sz w:val="24"/>
          <w:szCs w:val="24"/>
        </w:rPr>
        <w:t xml:space="preserve"> </w:t>
      </w:r>
    </w:p>
    <w:p w14:paraId="05CC393D" w14:textId="77777777" w:rsidR="000C74C5" w:rsidRPr="000C74C5" w:rsidRDefault="000C74C5" w:rsidP="00AC7FE5">
      <w:pPr>
        <w:spacing w:after="120"/>
        <w:rPr>
          <w:sz w:val="24"/>
          <w:szCs w:val="24"/>
        </w:rPr>
      </w:pPr>
      <w:r w:rsidRPr="000C74C5">
        <w:rPr>
          <w:b/>
          <w:bCs/>
          <w:sz w:val="24"/>
          <w:szCs w:val="24"/>
        </w:rPr>
        <w:t>Wirtschaftskammer Österreich Konsumentenschutzgesetz</w:t>
      </w:r>
      <w:r w:rsidRPr="000C74C5">
        <w:rPr>
          <w:sz w:val="24"/>
          <w:szCs w:val="24"/>
        </w:rPr>
        <w:t xml:space="preserve">. (2021). Wirtschaftsrecht und Gewerberecht: Vertragsrecht: Wann kommt das Konsumentenschutzgesetz zur </w:t>
      </w:r>
      <w:proofErr w:type="gramStart"/>
      <w:r w:rsidRPr="000C74C5">
        <w:rPr>
          <w:sz w:val="24"/>
          <w:szCs w:val="24"/>
        </w:rPr>
        <w:t>Anwendung?.</w:t>
      </w:r>
      <w:proofErr w:type="gramEnd"/>
      <w:r w:rsidRPr="000C74C5">
        <w:rPr>
          <w:sz w:val="24"/>
          <w:szCs w:val="24"/>
        </w:rPr>
        <w:t xml:space="preserve"> Verfügbar unter </w:t>
      </w:r>
      <w:hyperlink r:id="rId61" w:history="1">
        <w:r w:rsidRPr="000C74C5">
          <w:rPr>
            <w:sz w:val="24"/>
            <w:szCs w:val="24"/>
          </w:rPr>
          <w:t>https://www.wko.at/service/wirtschaftsrecht-gewerberecht/Wann_kommt_das_Konsumentenschutzgesetz_zur_Anwendung_.html</w:t>
        </w:r>
      </w:hyperlink>
      <w:r w:rsidRPr="000C74C5">
        <w:rPr>
          <w:sz w:val="24"/>
          <w:szCs w:val="24"/>
        </w:rPr>
        <w:t xml:space="preserve"> </w:t>
      </w:r>
    </w:p>
    <w:p w14:paraId="06BC8B11" w14:textId="77777777" w:rsidR="000C74C5" w:rsidRPr="000C74C5" w:rsidRDefault="000C74C5" w:rsidP="00AC7FE5">
      <w:pPr>
        <w:spacing w:after="120"/>
        <w:rPr>
          <w:sz w:val="24"/>
          <w:szCs w:val="24"/>
        </w:rPr>
      </w:pPr>
      <w:r w:rsidRPr="000C74C5">
        <w:rPr>
          <w:b/>
          <w:bCs/>
          <w:sz w:val="24"/>
          <w:szCs w:val="24"/>
        </w:rPr>
        <w:t xml:space="preserve">Wirtschaftskammer Österreich </w:t>
      </w:r>
      <w:proofErr w:type="spellStart"/>
      <w:r w:rsidRPr="000C74C5">
        <w:rPr>
          <w:b/>
          <w:bCs/>
          <w:sz w:val="24"/>
          <w:szCs w:val="24"/>
        </w:rPr>
        <w:t>Zahlungsdienstegesetz</w:t>
      </w:r>
      <w:proofErr w:type="spellEnd"/>
      <w:r w:rsidRPr="000C74C5">
        <w:rPr>
          <w:sz w:val="24"/>
          <w:szCs w:val="24"/>
        </w:rPr>
        <w:t xml:space="preserve">. (2020). </w:t>
      </w:r>
      <w:proofErr w:type="spellStart"/>
      <w:r w:rsidRPr="000C74C5">
        <w:rPr>
          <w:sz w:val="24"/>
          <w:szCs w:val="24"/>
        </w:rPr>
        <w:t>Zahlungsdienstegesetz</w:t>
      </w:r>
      <w:proofErr w:type="spellEnd"/>
      <w:r w:rsidRPr="000C74C5">
        <w:rPr>
          <w:sz w:val="24"/>
          <w:szCs w:val="24"/>
        </w:rPr>
        <w:t xml:space="preserve"> und Zahlungsinstitute. Verfügbar unter </w:t>
      </w:r>
      <w:hyperlink r:id="rId62" w:history="1">
        <w:r w:rsidRPr="000C74C5">
          <w:rPr>
            <w:sz w:val="24"/>
            <w:szCs w:val="24"/>
          </w:rPr>
          <w:t>https://www.wko.at/branchen/information-consulting/finanzdienstleister/artikel-zahlungsdienstegesetz.pdf</w:t>
        </w:r>
      </w:hyperlink>
      <w:r w:rsidRPr="000C74C5">
        <w:rPr>
          <w:sz w:val="24"/>
          <w:szCs w:val="24"/>
        </w:rPr>
        <w:t xml:space="preserve"> </w:t>
      </w:r>
    </w:p>
    <w:p w14:paraId="0A2FBD9B" w14:textId="77777777" w:rsidR="000C74C5" w:rsidRPr="000C74C5" w:rsidRDefault="000C74C5" w:rsidP="00AC7FE5">
      <w:pPr>
        <w:spacing w:after="120"/>
        <w:rPr>
          <w:sz w:val="24"/>
          <w:szCs w:val="24"/>
        </w:rPr>
      </w:pPr>
      <w:r w:rsidRPr="000C74C5">
        <w:rPr>
          <w:b/>
          <w:bCs/>
          <w:sz w:val="24"/>
          <w:szCs w:val="24"/>
        </w:rPr>
        <w:t>Wirtschaftskammer Österreich</w:t>
      </w:r>
      <w:r w:rsidRPr="000C74C5">
        <w:rPr>
          <w:sz w:val="24"/>
          <w:szCs w:val="24"/>
        </w:rPr>
        <w:t xml:space="preserve">. (2018). Zahlungsverkehrsstudie 2017: Warum hat´s der österreichische Privatkunde gut. Verfügbar unter </w:t>
      </w:r>
      <w:hyperlink r:id="rId63" w:history="1">
        <w:r w:rsidRPr="000C74C5">
          <w:rPr>
            <w:sz w:val="24"/>
            <w:szCs w:val="24"/>
          </w:rPr>
          <w:t>https://news.wko.at/news/oesterreich/bsbv_capgemini_zahlungsverkehrsstudie_2017.pdf</w:t>
        </w:r>
      </w:hyperlink>
      <w:r w:rsidRPr="000C74C5">
        <w:rPr>
          <w:sz w:val="24"/>
          <w:szCs w:val="24"/>
        </w:rPr>
        <w:t xml:space="preserve"> </w:t>
      </w:r>
    </w:p>
    <w:p w14:paraId="0C129AF3" w14:textId="1D8AA739" w:rsidR="00A746D0" w:rsidRPr="000C74C5" w:rsidRDefault="00A746D0" w:rsidP="00AC7FE5">
      <w:pPr>
        <w:spacing w:after="120"/>
        <w:rPr>
          <w:sz w:val="24"/>
          <w:szCs w:val="24"/>
        </w:rPr>
      </w:pPr>
    </w:p>
    <w:sectPr w:rsidR="00A746D0" w:rsidRPr="000C74C5" w:rsidSect="00AC7FE5">
      <w:pgSz w:w="11906" w:h="16838"/>
      <w:pgMar w:top="1701" w:right="1134" w:bottom="1134"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4267" w14:textId="77777777" w:rsidR="00623D3F" w:rsidRDefault="00623D3F" w:rsidP="00DC59D2">
      <w:pPr>
        <w:spacing w:line="240" w:lineRule="auto"/>
      </w:pPr>
      <w:r>
        <w:separator/>
      </w:r>
    </w:p>
  </w:endnote>
  <w:endnote w:type="continuationSeparator" w:id="0">
    <w:p w14:paraId="19522DDF" w14:textId="77777777" w:rsidR="00623D3F" w:rsidRDefault="00623D3F" w:rsidP="00DC5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212318"/>
      <w:docPartObj>
        <w:docPartGallery w:val="Page Numbers (Bottom of Page)"/>
        <w:docPartUnique/>
      </w:docPartObj>
    </w:sdtPr>
    <w:sdtEndPr/>
    <w:sdtContent>
      <w:p w14:paraId="1DA30E58" w14:textId="688FA2AA" w:rsidR="00B57FAB" w:rsidRDefault="00B57FAB">
        <w:pPr>
          <w:pStyle w:val="Fuzeile"/>
          <w:jc w:val="right"/>
        </w:pPr>
        <w:r>
          <w:fldChar w:fldCharType="begin"/>
        </w:r>
        <w:r>
          <w:instrText>PAGE   \* MERGEFORMAT</w:instrText>
        </w:r>
        <w:r>
          <w:fldChar w:fldCharType="separate"/>
        </w:r>
        <w:r>
          <w:rPr>
            <w:lang w:val="de-DE"/>
          </w:rPr>
          <w:t>2</w:t>
        </w:r>
        <w:r>
          <w:fldChar w:fldCharType="end"/>
        </w:r>
      </w:p>
    </w:sdtContent>
  </w:sdt>
  <w:p w14:paraId="6B699379" w14:textId="77777777" w:rsidR="00B57FAB" w:rsidRDefault="00B57FAB" w:rsidP="00DC59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98471"/>
      <w:docPartObj>
        <w:docPartGallery w:val="Page Numbers (Bottom of Page)"/>
        <w:docPartUnique/>
      </w:docPartObj>
    </w:sdtPr>
    <w:sdtEndPr/>
    <w:sdtContent>
      <w:p w14:paraId="02EE72E8" w14:textId="697423AE" w:rsidR="00B57FAB" w:rsidRDefault="00B57FAB">
        <w:pPr>
          <w:pStyle w:val="Fuzeile"/>
          <w:jc w:val="right"/>
        </w:pPr>
        <w:r>
          <w:fldChar w:fldCharType="begin"/>
        </w:r>
        <w:r>
          <w:instrText>PAGE   \* MERGEFORMAT</w:instrText>
        </w:r>
        <w:r>
          <w:fldChar w:fldCharType="separate"/>
        </w:r>
        <w:r>
          <w:rPr>
            <w:lang w:val="de-DE"/>
          </w:rPr>
          <w:t>2</w:t>
        </w:r>
        <w:r>
          <w:fldChar w:fldCharType="end"/>
        </w:r>
      </w:p>
    </w:sdtContent>
  </w:sdt>
  <w:p w14:paraId="3D1F0D5F" w14:textId="77777777" w:rsidR="00B57FAB" w:rsidRDefault="00B57F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D707" w14:textId="77777777" w:rsidR="00623D3F" w:rsidRDefault="00623D3F" w:rsidP="00DC59D2">
      <w:pPr>
        <w:spacing w:line="240" w:lineRule="auto"/>
      </w:pPr>
      <w:r>
        <w:separator/>
      </w:r>
    </w:p>
  </w:footnote>
  <w:footnote w:type="continuationSeparator" w:id="0">
    <w:p w14:paraId="3A006B52" w14:textId="77777777" w:rsidR="00623D3F" w:rsidRDefault="00623D3F" w:rsidP="00DC59D2">
      <w:pPr>
        <w:spacing w:line="240" w:lineRule="auto"/>
      </w:pPr>
      <w:r>
        <w:continuationSeparator/>
      </w:r>
    </w:p>
  </w:footnote>
  <w:footnote w:id="1">
    <w:p w14:paraId="5E07D01D" w14:textId="19F24E7A" w:rsidR="00B57FAB" w:rsidRDefault="00B57FAB">
      <w:pPr>
        <w:pStyle w:val="Funotentext"/>
      </w:pPr>
      <w:r>
        <w:rPr>
          <w:rStyle w:val="Funotenzeichen"/>
        </w:rPr>
        <w:footnoteRef/>
      </w:r>
      <w:r>
        <w:t xml:space="preserve"> (vgl. Rechtsinformationssystem des Bundes ABGB, 2021)</w:t>
      </w:r>
    </w:p>
  </w:footnote>
  <w:footnote w:id="2">
    <w:p w14:paraId="7F92DAD5" w14:textId="5E0B177C" w:rsidR="00B57FAB" w:rsidRDefault="00B57FAB">
      <w:pPr>
        <w:pStyle w:val="Funotentext"/>
      </w:pPr>
      <w:r>
        <w:rPr>
          <w:rStyle w:val="Funotenzeichen"/>
        </w:rPr>
        <w:footnoteRef/>
      </w:r>
      <w:r>
        <w:t xml:space="preserve"> (vgl. Rechtsinformationssystem des Bundes ABGB, 2021)</w:t>
      </w:r>
    </w:p>
  </w:footnote>
  <w:footnote w:id="3">
    <w:p w14:paraId="2763A194" w14:textId="4D4D38ED" w:rsidR="00B57FAB" w:rsidRDefault="00B57FAB">
      <w:pPr>
        <w:pStyle w:val="Funotentext"/>
      </w:pPr>
      <w:r>
        <w:rPr>
          <w:rStyle w:val="Funotenzeichen"/>
        </w:rPr>
        <w:footnoteRef/>
      </w:r>
      <w:r>
        <w:t xml:space="preserve"> (vgl. Österreich GV, 2021)</w:t>
      </w:r>
    </w:p>
  </w:footnote>
  <w:footnote w:id="4">
    <w:p w14:paraId="47BECD6E" w14:textId="52C77AB8" w:rsidR="00B57FAB" w:rsidRDefault="00B57FAB">
      <w:pPr>
        <w:pStyle w:val="Funotentext"/>
      </w:pPr>
      <w:r>
        <w:rPr>
          <w:rStyle w:val="Funotenzeichen"/>
        </w:rPr>
        <w:footnoteRef/>
      </w:r>
      <w:r>
        <w:t xml:space="preserve"> (vgl. Jusprofi, 2021)</w:t>
      </w:r>
    </w:p>
  </w:footnote>
  <w:footnote w:id="5">
    <w:p w14:paraId="4A5B3020" w14:textId="127C6045" w:rsidR="00B57FAB" w:rsidRDefault="00B57FAB">
      <w:pPr>
        <w:pStyle w:val="Funotentext"/>
      </w:pPr>
      <w:r>
        <w:rPr>
          <w:rStyle w:val="Funotenzeichen"/>
        </w:rPr>
        <w:footnoteRef/>
      </w:r>
      <w:r>
        <w:t xml:space="preserve"> (Rechtsinformationssystem des Bundes ABGB, 2021)</w:t>
      </w:r>
    </w:p>
  </w:footnote>
  <w:footnote w:id="6">
    <w:p w14:paraId="3F76CB71" w14:textId="1F87FBD3" w:rsidR="00B57FAB" w:rsidRDefault="00B57FAB">
      <w:pPr>
        <w:pStyle w:val="Funotentext"/>
      </w:pPr>
      <w:r>
        <w:rPr>
          <w:rStyle w:val="Funotenzeichen"/>
        </w:rPr>
        <w:footnoteRef/>
      </w:r>
      <w:r>
        <w:t xml:space="preserve"> (vgl. Jusline, 2021)</w:t>
      </w:r>
    </w:p>
  </w:footnote>
  <w:footnote w:id="7">
    <w:p w14:paraId="27FCE139" w14:textId="04591A67" w:rsidR="00B57FAB" w:rsidRDefault="00B57FAB">
      <w:pPr>
        <w:pStyle w:val="Funotentext"/>
      </w:pPr>
      <w:r>
        <w:rPr>
          <w:rStyle w:val="Funotenzeichen"/>
        </w:rPr>
        <w:footnoteRef/>
      </w:r>
      <w:r>
        <w:t xml:space="preserve"> (vgl. Wirtschaftskammer Österreich KartG, 2020)</w:t>
      </w:r>
    </w:p>
  </w:footnote>
  <w:footnote w:id="8">
    <w:p w14:paraId="7FBD50DD" w14:textId="1F07F5BD" w:rsidR="00B57FAB" w:rsidRDefault="00B57FAB">
      <w:pPr>
        <w:pStyle w:val="Funotentext"/>
      </w:pPr>
      <w:r>
        <w:rPr>
          <w:rStyle w:val="Funotenzeichen"/>
        </w:rPr>
        <w:footnoteRef/>
      </w:r>
      <w:r>
        <w:t xml:space="preserve"> (vgl. Rechtsinformationssystem des Bundes Kartellgesetz, 2021)</w:t>
      </w:r>
    </w:p>
  </w:footnote>
  <w:footnote w:id="9">
    <w:p w14:paraId="513627A3" w14:textId="054EC970" w:rsidR="00B57FAB" w:rsidRDefault="00B57FAB">
      <w:pPr>
        <w:pStyle w:val="Funotentext"/>
      </w:pPr>
      <w:r>
        <w:rPr>
          <w:rStyle w:val="Funotenzeichen"/>
        </w:rPr>
        <w:footnoteRef/>
      </w:r>
      <w:r>
        <w:t xml:space="preserve"> (vgl. Rechtsinformationssystem des Bundes Kartellgesetz, 2021)</w:t>
      </w:r>
    </w:p>
  </w:footnote>
  <w:footnote w:id="10">
    <w:p w14:paraId="0BD4F156" w14:textId="04AE3E97" w:rsidR="00B57FAB" w:rsidRDefault="00B57FAB">
      <w:pPr>
        <w:pStyle w:val="Funotentext"/>
      </w:pPr>
      <w:r>
        <w:rPr>
          <w:rStyle w:val="Funotenzeichen"/>
        </w:rPr>
        <w:footnoteRef/>
      </w:r>
      <w:r>
        <w:t xml:space="preserve"> (Wirtschaftskammer Österreich KartG, 2020)</w:t>
      </w:r>
    </w:p>
  </w:footnote>
  <w:footnote w:id="11">
    <w:p w14:paraId="663059B4" w14:textId="640C367A" w:rsidR="00B57FAB" w:rsidRDefault="00B57FAB">
      <w:pPr>
        <w:pStyle w:val="Funotentext"/>
      </w:pPr>
      <w:r>
        <w:rPr>
          <w:rStyle w:val="Funotenzeichen"/>
        </w:rPr>
        <w:footnoteRef/>
      </w:r>
      <w:r>
        <w:t xml:space="preserve"> (vgl. Wirtschaftskammer Österreich KartG, 2020)</w:t>
      </w:r>
    </w:p>
  </w:footnote>
  <w:footnote w:id="12">
    <w:p w14:paraId="00F2FFB2" w14:textId="1D887D3F" w:rsidR="00B57FAB" w:rsidRDefault="00B57FAB">
      <w:pPr>
        <w:pStyle w:val="Funotentext"/>
      </w:pPr>
      <w:r>
        <w:rPr>
          <w:rStyle w:val="Funotenzeichen"/>
        </w:rPr>
        <w:footnoteRef/>
      </w:r>
      <w:r>
        <w:t xml:space="preserve"> (vgl. Budak, 2005)</w:t>
      </w:r>
    </w:p>
  </w:footnote>
  <w:footnote w:id="13">
    <w:p w14:paraId="4FD89765" w14:textId="1AD93076" w:rsidR="00B57FAB" w:rsidRDefault="00B57FAB">
      <w:pPr>
        <w:pStyle w:val="Funotentext"/>
      </w:pPr>
      <w:r>
        <w:rPr>
          <w:rStyle w:val="Funotenzeichen"/>
        </w:rPr>
        <w:footnoteRef/>
      </w:r>
      <w:r>
        <w:t xml:space="preserve"> (vgl. Wirtschaftskammer Österreich KSchG, 2021)</w:t>
      </w:r>
    </w:p>
  </w:footnote>
  <w:footnote w:id="14">
    <w:p w14:paraId="061704AB" w14:textId="507CCAC7" w:rsidR="00B57FAB" w:rsidRDefault="00B57FAB">
      <w:pPr>
        <w:pStyle w:val="Funotentext"/>
      </w:pPr>
      <w:r>
        <w:rPr>
          <w:rStyle w:val="Funotenzeichen"/>
        </w:rPr>
        <w:footnoteRef/>
      </w:r>
      <w:r>
        <w:t xml:space="preserve"> (vgl. Gazso, 2011)</w:t>
      </w:r>
    </w:p>
  </w:footnote>
  <w:footnote w:id="15">
    <w:p w14:paraId="4D90A7B6" w14:textId="3F22A175" w:rsidR="00B57FAB" w:rsidRDefault="00B57FAB">
      <w:pPr>
        <w:pStyle w:val="Funotentext"/>
      </w:pPr>
      <w:r>
        <w:rPr>
          <w:rStyle w:val="Funotenzeichen"/>
        </w:rPr>
        <w:footnoteRef/>
      </w:r>
      <w:r>
        <w:t xml:space="preserve"> (vgl. Gazso, 2011)</w:t>
      </w:r>
    </w:p>
  </w:footnote>
  <w:footnote w:id="16">
    <w:p w14:paraId="40E34AFC" w14:textId="006713B9" w:rsidR="00B57FAB" w:rsidRDefault="00B57FAB">
      <w:pPr>
        <w:pStyle w:val="Funotentext"/>
      </w:pPr>
      <w:r>
        <w:rPr>
          <w:rStyle w:val="Funotenzeichen"/>
        </w:rPr>
        <w:footnoteRef/>
      </w:r>
      <w:r>
        <w:t xml:space="preserve"> (vgl. Bundesministerium Finanzen ZaDiG, 2020)</w:t>
      </w:r>
    </w:p>
  </w:footnote>
  <w:footnote w:id="17">
    <w:p w14:paraId="0363D1C9" w14:textId="466CA985" w:rsidR="00B57FAB" w:rsidRDefault="00B57FAB">
      <w:pPr>
        <w:pStyle w:val="Funotentext"/>
      </w:pPr>
      <w:r>
        <w:rPr>
          <w:rStyle w:val="Funotenzeichen"/>
        </w:rPr>
        <w:footnoteRef/>
      </w:r>
      <w:r>
        <w:t xml:space="preserve"> (Rechtsinformationssystem des Bundes ZaDiG, 2021)</w:t>
      </w:r>
    </w:p>
  </w:footnote>
  <w:footnote w:id="18">
    <w:p w14:paraId="2D5B5B4C" w14:textId="0CD27B58" w:rsidR="00B57FAB" w:rsidRDefault="00B57FAB">
      <w:pPr>
        <w:pStyle w:val="Funotentext"/>
      </w:pPr>
      <w:r>
        <w:rPr>
          <w:rStyle w:val="Funotenzeichen"/>
        </w:rPr>
        <w:footnoteRef/>
      </w:r>
      <w:r>
        <w:t xml:space="preserve"> (vgl. Wirtschaftskammer Österreich ZaDiG, 2020)</w:t>
      </w:r>
    </w:p>
  </w:footnote>
  <w:footnote w:id="19">
    <w:p w14:paraId="3629C78F" w14:textId="721803CB" w:rsidR="00B57FAB" w:rsidRDefault="00B57FAB">
      <w:pPr>
        <w:pStyle w:val="Funotentext"/>
      </w:pPr>
      <w:r>
        <w:rPr>
          <w:rStyle w:val="Funotenzeichen"/>
        </w:rPr>
        <w:footnoteRef/>
      </w:r>
      <w:r>
        <w:t xml:space="preserve"> (vgl. Wirtschaftskammer Österreich ZaDiG, 2020)</w:t>
      </w:r>
    </w:p>
  </w:footnote>
  <w:footnote w:id="20">
    <w:p w14:paraId="2DEEAC93" w14:textId="24533A3C" w:rsidR="00B57FAB" w:rsidRDefault="00B57FAB">
      <w:pPr>
        <w:pStyle w:val="Funotentext"/>
      </w:pPr>
      <w:r>
        <w:rPr>
          <w:rStyle w:val="Funotenzeichen"/>
        </w:rPr>
        <w:footnoteRef/>
      </w:r>
      <w:r>
        <w:t xml:space="preserve"> (vgl. Rechtsinformationssystem des Bundes ZaDiG, 2021)</w:t>
      </w:r>
    </w:p>
  </w:footnote>
  <w:footnote w:id="21">
    <w:p w14:paraId="1061236D" w14:textId="3BD09C0B" w:rsidR="00B57FAB" w:rsidRDefault="00B57FAB">
      <w:pPr>
        <w:pStyle w:val="Funotentext"/>
      </w:pPr>
      <w:r>
        <w:rPr>
          <w:rStyle w:val="Funotenzeichen"/>
        </w:rPr>
        <w:footnoteRef/>
      </w:r>
      <w:r>
        <w:t xml:space="preserve"> (vgl. Budak, 2005)</w:t>
      </w:r>
    </w:p>
  </w:footnote>
  <w:footnote w:id="22">
    <w:p w14:paraId="5127ABEC" w14:textId="3EDDE200" w:rsidR="00B57FAB" w:rsidRDefault="00B57FAB">
      <w:pPr>
        <w:pStyle w:val="Funotentext"/>
      </w:pPr>
      <w:r>
        <w:rPr>
          <w:rStyle w:val="Funotenzeichen"/>
        </w:rPr>
        <w:footnoteRef/>
      </w:r>
      <w:r>
        <w:t xml:space="preserve"> (vgl. Arbeiterkammer Österreich, o.D.)</w:t>
      </w:r>
    </w:p>
  </w:footnote>
  <w:footnote w:id="23">
    <w:p w14:paraId="70BD0AB2" w14:textId="57BAEB33" w:rsidR="00B57FAB" w:rsidRDefault="00B57FAB">
      <w:pPr>
        <w:pStyle w:val="Funotentext"/>
      </w:pPr>
      <w:r>
        <w:rPr>
          <w:rStyle w:val="Funotenzeichen"/>
        </w:rPr>
        <w:footnoteRef/>
      </w:r>
      <w:r>
        <w:t xml:space="preserve"> (vgl. Rechtsinformationssystem des Bundes ZaDiG, 2021)</w:t>
      </w:r>
    </w:p>
  </w:footnote>
  <w:footnote w:id="24">
    <w:p w14:paraId="4EB22FCB" w14:textId="60483965" w:rsidR="00B57FAB" w:rsidRDefault="00B57FAB">
      <w:pPr>
        <w:pStyle w:val="Funotentext"/>
      </w:pPr>
      <w:r>
        <w:rPr>
          <w:rStyle w:val="Funotenzeichen"/>
        </w:rPr>
        <w:footnoteRef/>
      </w:r>
      <w:r>
        <w:t xml:space="preserve"> (vgl. Rechtsinformationssystem des Bundes ZaDiG, 2021)</w:t>
      </w:r>
    </w:p>
  </w:footnote>
  <w:footnote w:id="25">
    <w:p w14:paraId="694BC421" w14:textId="5983FCE2" w:rsidR="00B57FAB" w:rsidRDefault="00B57FAB">
      <w:pPr>
        <w:pStyle w:val="Funotentext"/>
      </w:pPr>
      <w:r>
        <w:rPr>
          <w:rStyle w:val="Funotenzeichen"/>
        </w:rPr>
        <w:footnoteRef/>
      </w:r>
      <w:r>
        <w:t xml:space="preserve"> (vgl. Rechtsinformationssystem des Bundes ZaDiG, 2021)</w:t>
      </w:r>
    </w:p>
  </w:footnote>
  <w:footnote w:id="26">
    <w:p w14:paraId="1E3BE8A0" w14:textId="64A598E5" w:rsidR="00B57FAB" w:rsidRDefault="00B57FAB">
      <w:pPr>
        <w:pStyle w:val="Funotentext"/>
      </w:pPr>
      <w:r>
        <w:rPr>
          <w:rStyle w:val="Funotenzeichen"/>
        </w:rPr>
        <w:footnoteRef/>
      </w:r>
      <w:r>
        <w:t xml:space="preserve"> (vgl. Rechtsinformationssystem des Bundes ZaDiG, 2021)</w:t>
      </w:r>
    </w:p>
  </w:footnote>
  <w:footnote w:id="27">
    <w:p w14:paraId="50850F7E" w14:textId="56374CA0" w:rsidR="00B57FAB" w:rsidRPr="00FB29B6" w:rsidRDefault="00B57FAB">
      <w:pPr>
        <w:pStyle w:val="Funotentext"/>
        <w:rPr>
          <w:lang w:val="en-GB"/>
        </w:rPr>
      </w:pPr>
      <w:r>
        <w:rPr>
          <w:rStyle w:val="Funotenzeichen"/>
        </w:rPr>
        <w:footnoteRef/>
      </w:r>
      <w:r w:rsidRPr="00FB29B6">
        <w:rPr>
          <w:lang w:val="en-GB"/>
        </w:rPr>
        <w:t xml:space="preserve"> (vgl. Budak, 2005)</w:t>
      </w:r>
    </w:p>
  </w:footnote>
  <w:footnote w:id="28">
    <w:p w14:paraId="447917E0" w14:textId="50C87EA0" w:rsidR="00B57FAB" w:rsidRPr="00FB29B6" w:rsidRDefault="00B57FAB">
      <w:pPr>
        <w:pStyle w:val="Funotentext"/>
        <w:rPr>
          <w:lang w:val="en-GB"/>
        </w:rPr>
      </w:pPr>
      <w:r>
        <w:rPr>
          <w:rStyle w:val="Funotenzeichen"/>
        </w:rPr>
        <w:footnoteRef/>
      </w:r>
      <w:r w:rsidRPr="00FB29B6">
        <w:rPr>
          <w:lang w:val="en-GB"/>
        </w:rPr>
        <w:t xml:space="preserve"> (vgl. Gazso, 2011)</w:t>
      </w:r>
    </w:p>
  </w:footnote>
  <w:footnote w:id="29">
    <w:p w14:paraId="4D9BF82A" w14:textId="1722FF70" w:rsidR="00B57FAB" w:rsidRPr="0037657A" w:rsidRDefault="00B57FAB">
      <w:pPr>
        <w:pStyle w:val="Funotentext"/>
        <w:rPr>
          <w:lang w:val="en-GB"/>
        </w:rPr>
      </w:pPr>
      <w:r>
        <w:rPr>
          <w:rStyle w:val="Funotenzeichen"/>
        </w:rPr>
        <w:footnoteRef/>
      </w:r>
      <w:r w:rsidRPr="0037657A">
        <w:rPr>
          <w:lang w:val="en-GB"/>
        </w:rPr>
        <w:t xml:space="preserve"> (vgl. Capitalo, o.D.)</w:t>
      </w:r>
    </w:p>
  </w:footnote>
  <w:footnote w:id="30">
    <w:p w14:paraId="2078D323" w14:textId="33DCF47F" w:rsidR="00B57FAB" w:rsidRPr="0037657A" w:rsidRDefault="00B57FAB">
      <w:pPr>
        <w:pStyle w:val="Funotentext"/>
        <w:rPr>
          <w:lang w:val="en-GB"/>
        </w:rPr>
      </w:pPr>
      <w:r>
        <w:rPr>
          <w:rStyle w:val="Funotenzeichen"/>
        </w:rPr>
        <w:footnoteRef/>
      </w:r>
      <w:r w:rsidRPr="0037657A">
        <w:rPr>
          <w:lang w:val="en-GB"/>
        </w:rPr>
        <w:t xml:space="preserve"> (vgl. Capitalo, o.D.)</w:t>
      </w:r>
    </w:p>
  </w:footnote>
  <w:footnote w:id="31">
    <w:p w14:paraId="07F5DA6A" w14:textId="3E9C6BD4" w:rsidR="00B57FAB" w:rsidRPr="0037657A" w:rsidRDefault="00B57FAB">
      <w:pPr>
        <w:pStyle w:val="Funotentext"/>
        <w:rPr>
          <w:lang w:val="en-GB"/>
        </w:rPr>
      </w:pPr>
      <w:r>
        <w:rPr>
          <w:rStyle w:val="Funotenzeichen"/>
        </w:rPr>
        <w:footnoteRef/>
      </w:r>
      <w:r w:rsidRPr="0037657A">
        <w:rPr>
          <w:lang w:val="en-GB"/>
        </w:rPr>
        <w:t xml:space="preserve"> (vgl. Capitalo, o.D.)</w:t>
      </w:r>
    </w:p>
  </w:footnote>
  <w:footnote w:id="32">
    <w:p w14:paraId="5688F947" w14:textId="11E166A1" w:rsidR="00B57FAB" w:rsidRPr="0037657A" w:rsidRDefault="00B57FAB">
      <w:pPr>
        <w:pStyle w:val="Funotentext"/>
        <w:rPr>
          <w:lang w:val="en-GB"/>
        </w:rPr>
      </w:pPr>
      <w:r>
        <w:rPr>
          <w:rStyle w:val="Funotenzeichen"/>
        </w:rPr>
        <w:footnoteRef/>
      </w:r>
      <w:r w:rsidRPr="0037657A">
        <w:rPr>
          <w:lang w:val="en-GB"/>
        </w:rPr>
        <w:t xml:space="preserve"> (vgl. Capitalo, o.D.)</w:t>
      </w:r>
    </w:p>
  </w:footnote>
  <w:footnote w:id="33">
    <w:p w14:paraId="0614320C" w14:textId="7D95077E" w:rsidR="00B57FAB" w:rsidRPr="0037657A" w:rsidRDefault="00B57FAB">
      <w:pPr>
        <w:pStyle w:val="Funotentext"/>
        <w:rPr>
          <w:lang w:val="en-GB"/>
        </w:rPr>
      </w:pPr>
      <w:r>
        <w:rPr>
          <w:rStyle w:val="Funotenzeichen"/>
        </w:rPr>
        <w:footnoteRef/>
      </w:r>
      <w:r w:rsidRPr="0037657A">
        <w:rPr>
          <w:lang w:val="en-GB"/>
        </w:rPr>
        <w:t xml:space="preserve"> </w:t>
      </w:r>
      <w:r w:rsidRPr="00F1583B">
        <w:rPr>
          <w:lang w:val="en-GB"/>
        </w:rPr>
        <w:t>(vgl. Capitalo, o.D.)</w:t>
      </w:r>
    </w:p>
  </w:footnote>
  <w:footnote w:id="34">
    <w:p w14:paraId="3CC69845" w14:textId="3779A9ED" w:rsidR="00B57FAB" w:rsidRPr="00F1583B" w:rsidRDefault="00B57FAB">
      <w:pPr>
        <w:pStyle w:val="Funotentext"/>
        <w:rPr>
          <w:lang w:val="en-GB"/>
        </w:rPr>
      </w:pPr>
      <w:r>
        <w:rPr>
          <w:rStyle w:val="Funotenzeichen"/>
        </w:rPr>
        <w:footnoteRef/>
      </w:r>
      <w:r w:rsidRPr="00F1583B">
        <w:rPr>
          <w:lang w:val="en-GB"/>
        </w:rPr>
        <w:t xml:space="preserve"> (v</w:t>
      </w:r>
      <w:r>
        <w:rPr>
          <w:lang w:val="en-GB"/>
        </w:rPr>
        <w:t>gl. BAWAG PSK, o.D.)</w:t>
      </w:r>
    </w:p>
  </w:footnote>
  <w:footnote w:id="35">
    <w:p w14:paraId="7A08808F" w14:textId="021B33B6" w:rsidR="00B57FAB" w:rsidRPr="004C2CD9" w:rsidRDefault="00B57FAB">
      <w:pPr>
        <w:pStyle w:val="Funotentext"/>
        <w:rPr>
          <w:lang w:val="en-GB"/>
        </w:rPr>
      </w:pPr>
      <w:r>
        <w:rPr>
          <w:rStyle w:val="Funotenzeichen"/>
        </w:rPr>
        <w:footnoteRef/>
      </w:r>
      <w:r w:rsidRPr="004C2CD9">
        <w:rPr>
          <w:lang w:val="en-GB"/>
        </w:rPr>
        <w:t xml:space="preserve"> (Bank Austria Un</w:t>
      </w:r>
      <w:r>
        <w:rPr>
          <w:lang w:val="en-GB"/>
        </w:rPr>
        <w:t>iCredit, 2021)</w:t>
      </w:r>
    </w:p>
  </w:footnote>
  <w:footnote w:id="36">
    <w:p w14:paraId="1FFA7820" w14:textId="38FBD796" w:rsidR="00B57FAB" w:rsidRPr="00FB29B6" w:rsidRDefault="00B57FAB">
      <w:pPr>
        <w:pStyle w:val="Funotentext"/>
        <w:rPr>
          <w:lang w:val="en-GB"/>
        </w:rPr>
      </w:pPr>
      <w:r>
        <w:rPr>
          <w:rStyle w:val="Funotenzeichen"/>
        </w:rPr>
        <w:footnoteRef/>
      </w:r>
      <w:r w:rsidRPr="00FB29B6">
        <w:rPr>
          <w:lang w:val="en-GB"/>
        </w:rPr>
        <w:t xml:space="preserve"> (BAWAG PSK, 2009)</w:t>
      </w:r>
    </w:p>
  </w:footnote>
  <w:footnote w:id="37">
    <w:p w14:paraId="28AEB23A" w14:textId="2DBC33BD" w:rsidR="00B57FAB" w:rsidRPr="000D2A61" w:rsidRDefault="00B57FAB">
      <w:pPr>
        <w:pStyle w:val="Funotentext"/>
      </w:pPr>
      <w:r>
        <w:rPr>
          <w:rStyle w:val="Funotenzeichen"/>
        </w:rPr>
        <w:footnoteRef/>
      </w:r>
      <w:r w:rsidRPr="000D2A61">
        <w:t xml:space="preserve"> (Erste Bank, 2018)</w:t>
      </w:r>
    </w:p>
  </w:footnote>
  <w:footnote w:id="38">
    <w:p w14:paraId="66A2AE15" w14:textId="037E817B" w:rsidR="00B57FAB" w:rsidRPr="00FB29B6" w:rsidRDefault="00B57FAB">
      <w:pPr>
        <w:pStyle w:val="Funotentext"/>
      </w:pPr>
      <w:r>
        <w:rPr>
          <w:rStyle w:val="Funotenzeichen"/>
        </w:rPr>
        <w:footnoteRef/>
      </w:r>
      <w:r w:rsidRPr="00FB29B6">
        <w:t xml:space="preserve"> (Raiffeisenbank, 2021)</w:t>
      </w:r>
    </w:p>
  </w:footnote>
  <w:footnote w:id="39">
    <w:p w14:paraId="798D5C1F" w14:textId="14021AAD" w:rsidR="00B57FAB" w:rsidRPr="00FB29B6" w:rsidRDefault="00B57FAB">
      <w:pPr>
        <w:pStyle w:val="Funotentext"/>
      </w:pPr>
      <w:r>
        <w:rPr>
          <w:rStyle w:val="Funotenzeichen"/>
        </w:rPr>
        <w:footnoteRef/>
      </w:r>
      <w:r w:rsidRPr="00FB29B6">
        <w:t xml:space="preserve"> (Easy Bank, 2020)</w:t>
      </w:r>
    </w:p>
  </w:footnote>
  <w:footnote w:id="40">
    <w:p w14:paraId="1DE2E24A" w14:textId="051057F7" w:rsidR="00B57FAB" w:rsidRPr="00FB29B6" w:rsidRDefault="00B57FAB">
      <w:pPr>
        <w:pStyle w:val="Funotentext"/>
      </w:pPr>
      <w:r>
        <w:rPr>
          <w:rStyle w:val="Funotenzeichen"/>
        </w:rPr>
        <w:footnoteRef/>
      </w:r>
      <w:r w:rsidRPr="00FB29B6">
        <w:t xml:space="preserve"> (vgl. Budak, 2005)</w:t>
      </w:r>
    </w:p>
  </w:footnote>
  <w:footnote w:id="41">
    <w:p w14:paraId="3F7C0B5C" w14:textId="3522C4A9" w:rsidR="00B57FAB" w:rsidRPr="00F000BD" w:rsidRDefault="00B57FAB">
      <w:pPr>
        <w:pStyle w:val="Funotentext"/>
      </w:pPr>
      <w:r>
        <w:rPr>
          <w:rStyle w:val="Funotenzeichen"/>
        </w:rPr>
        <w:footnoteRef/>
      </w:r>
      <w:r w:rsidRPr="00F000BD">
        <w:t xml:space="preserve"> (vgl. Konto, o.D.)</w:t>
      </w:r>
    </w:p>
  </w:footnote>
  <w:footnote w:id="42">
    <w:p w14:paraId="59F8DDB4" w14:textId="60C36194" w:rsidR="00B57FAB" w:rsidRPr="00F000BD" w:rsidRDefault="00B57FAB">
      <w:pPr>
        <w:pStyle w:val="Funotentext"/>
      </w:pPr>
      <w:r>
        <w:rPr>
          <w:rStyle w:val="Funotenzeichen"/>
        </w:rPr>
        <w:footnoteRef/>
      </w:r>
      <w:r w:rsidRPr="00F000BD">
        <w:t xml:space="preserve"> </w:t>
      </w:r>
      <w:r>
        <w:t>(vgl. Konto, o.D.)</w:t>
      </w:r>
    </w:p>
  </w:footnote>
  <w:footnote w:id="43">
    <w:p w14:paraId="08AEE76E" w14:textId="548C6423" w:rsidR="00B57FAB" w:rsidRPr="00987DEA" w:rsidRDefault="00B57FAB">
      <w:pPr>
        <w:pStyle w:val="Funotentext"/>
        <w:rPr>
          <w:lang w:val="en-GB"/>
        </w:rPr>
      </w:pPr>
      <w:r>
        <w:rPr>
          <w:rStyle w:val="Funotenzeichen"/>
        </w:rPr>
        <w:footnoteRef/>
      </w:r>
      <w:r w:rsidRPr="00987DEA">
        <w:rPr>
          <w:lang w:val="en-GB"/>
        </w:rPr>
        <w:t xml:space="preserve"> (vgl. Post, 2021)</w:t>
      </w:r>
    </w:p>
  </w:footnote>
  <w:footnote w:id="44">
    <w:p w14:paraId="61DE88AC" w14:textId="2F962E4B" w:rsidR="00B57FAB" w:rsidRPr="004C2CD9" w:rsidRDefault="00B57FAB">
      <w:pPr>
        <w:pStyle w:val="Funotentext"/>
        <w:rPr>
          <w:lang w:val="en-GB"/>
        </w:rPr>
      </w:pPr>
      <w:r>
        <w:rPr>
          <w:rStyle w:val="Funotenzeichen"/>
        </w:rPr>
        <w:footnoteRef/>
      </w:r>
      <w:r w:rsidRPr="004C2CD9">
        <w:rPr>
          <w:lang w:val="en-GB"/>
        </w:rPr>
        <w:t xml:space="preserve"> </w:t>
      </w:r>
      <w:r>
        <w:rPr>
          <w:lang w:val="en-GB"/>
        </w:rPr>
        <w:t>(Post, 2021)</w:t>
      </w:r>
    </w:p>
  </w:footnote>
  <w:footnote w:id="45">
    <w:p w14:paraId="27E4E75D" w14:textId="25C01DBA" w:rsidR="00B57FAB" w:rsidRPr="004C2CD9" w:rsidRDefault="00B57FAB">
      <w:pPr>
        <w:pStyle w:val="Funotentext"/>
        <w:rPr>
          <w:lang w:val="en-GB"/>
        </w:rPr>
      </w:pPr>
      <w:r>
        <w:rPr>
          <w:rStyle w:val="Funotenzeichen"/>
        </w:rPr>
        <w:footnoteRef/>
      </w:r>
      <w:r w:rsidRPr="004C2CD9">
        <w:rPr>
          <w:lang w:val="en-GB"/>
        </w:rPr>
        <w:t xml:space="preserve"> </w:t>
      </w:r>
      <w:r>
        <w:rPr>
          <w:lang w:val="en-GB"/>
        </w:rPr>
        <w:t>(Post, 2021)</w:t>
      </w:r>
    </w:p>
  </w:footnote>
  <w:footnote w:id="46">
    <w:p w14:paraId="34D83F5F" w14:textId="02E34D55" w:rsidR="00B57FAB" w:rsidRPr="004C2CD9" w:rsidRDefault="00B57FAB">
      <w:pPr>
        <w:pStyle w:val="Funotentext"/>
        <w:rPr>
          <w:lang w:val="en-GB"/>
        </w:rPr>
      </w:pPr>
      <w:r>
        <w:rPr>
          <w:rStyle w:val="Funotenzeichen"/>
        </w:rPr>
        <w:footnoteRef/>
      </w:r>
      <w:r w:rsidRPr="004C2CD9">
        <w:rPr>
          <w:lang w:val="en-GB"/>
        </w:rPr>
        <w:t xml:space="preserve"> </w:t>
      </w:r>
      <w:r>
        <w:rPr>
          <w:lang w:val="en-GB"/>
        </w:rPr>
        <w:t>(Bank Austria UniCredit, 2021)</w:t>
      </w:r>
    </w:p>
  </w:footnote>
  <w:footnote w:id="47">
    <w:p w14:paraId="24376236" w14:textId="074F4092" w:rsidR="00B57FAB" w:rsidRPr="000D2A61" w:rsidRDefault="00B57FAB">
      <w:pPr>
        <w:pStyle w:val="Funotentext"/>
      </w:pPr>
      <w:r>
        <w:rPr>
          <w:rStyle w:val="Funotenzeichen"/>
        </w:rPr>
        <w:footnoteRef/>
      </w:r>
      <w:r w:rsidRPr="000D2A61">
        <w:t xml:space="preserve"> (BAWAG PSK, 2009)</w:t>
      </w:r>
    </w:p>
  </w:footnote>
  <w:footnote w:id="48">
    <w:p w14:paraId="1016A918" w14:textId="2D0D3FFD" w:rsidR="00B57FAB" w:rsidRPr="000D2A61" w:rsidRDefault="00B57FAB">
      <w:pPr>
        <w:pStyle w:val="Funotentext"/>
      </w:pPr>
      <w:r>
        <w:rPr>
          <w:rStyle w:val="Funotenzeichen"/>
        </w:rPr>
        <w:footnoteRef/>
      </w:r>
      <w:r w:rsidRPr="000D2A61">
        <w:t xml:space="preserve"> (Erste Bank, 2018)</w:t>
      </w:r>
    </w:p>
  </w:footnote>
  <w:footnote w:id="49">
    <w:p w14:paraId="5ED05DE8" w14:textId="70AE70D5" w:rsidR="00B57FAB" w:rsidRPr="000D2A61" w:rsidRDefault="00B57FAB">
      <w:pPr>
        <w:pStyle w:val="Funotentext"/>
      </w:pPr>
      <w:r>
        <w:rPr>
          <w:rStyle w:val="Funotenzeichen"/>
        </w:rPr>
        <w:footnoteRef/>
      </w:r>
      <w:r w:rsidRPr="000D2A61">
        <w:t xml:space="preserve"> (R</w:t>
      </w:r>
      <w:r>
        <w:t>aiffeisenbank, 2021)</w:t>
      </w:r>
    </w:p>
  </w:footnote>
  <w:footnote w:id="50">
    <w:p w14:paraId="4503AEE9" w14:textId="21A6DEF0" w:rsidR="00B57FAB" w:rsidRPr="003645EB" w:rsidRDefault="00B57FAB">
      <w:pPr>
        <w:pStyle w:val="Funotentext"/>
        <w:rPr>
          <w:lang w:val="en-GB"/>
        </w:rPr>
      </w:pPr>
      <w:r>
        <w:rPr>
          <w:rStyle w:val="Funotenzeichen"/>
        </w:rPr>
        <w:footnoteRef/>
      </w:r>
      <w:r w:rsidRPr="003645EB">
        <w:rPr>
          <w:lang w:val="en-GB"/>
        </w:rPr>
        <w:t xml:space="preserve"> (Easy Bank, 2020)</w:t>
      </w:r>
    </w:p>
  </w:footnote>
  <w:footnote w:id="51">
    <w:p w14:paraId="682FCC64" w14:textId="77777777" w:rsidR="00B57FAB" w:rsidRPr="003645EB" w:rsidRDefault="00B57FAB" w:rsidP="00792A20">
      <w:pPr>
        <w:pStyle w:val="Funotentext"/>
        <w:rPr>
          <w:lang w:val="en-GB"/>
        </w:rPr>
      </w:pPr>
      <w:r>
        <w:rPr>
          <w:rStyle w:val="Funotenzeichen"/>
        </w:rPr>
        <w:footnoteRef/>
      </w:r>
      <w:r w:rsidRPr="003645EB">
        <w:rPr>
          <w:lang w:val="en-GB"/>
        </w:rPr>
        <w:t xml:space="preserve"> (vgl. Repro Online, 2021)</w:t>
      </w:r>
    </w:p>
  </w:footnote>
  <w:footnote w:id="52">
    <w:p w14:paraId="124A70EF" w14:textId="03D0D659" w:rsidR="00B57FAB" w:rsidRDefault="00B57FAB">
      <w:pPr>
        <w:pStyle w:val="Funotentext"/>
      </w:pPr>
      <w:r>
        <w:rPr>
          <w:rStyle w:val="Funotenzeichen"/>
        </w:rPr>
        <w:footnoteRef/>
      </w:r>
      <w:r>
        <w:t xml:space="preserve"> (Vorlagenportal Personalverrechnung, 2021)</w:t>
      </w:r>
    </w:p>
  </w:footnote>
  <w:footnote w:id="53">
    <w:p w14:paraId="730FDB55" w14:textId="3B3B700F" w:rsidR="00B57FAB" w:rsidRDefault="00B57FAB">
      <w:pPr>
        <w:pStyle w:val="Funotentext"/>
      </w:pPr>
      <w:r>
        <w:rPr>
          <w:rStyle w:val="Funotenzeichen"/>
        </w:rPr>
        <w:footnoteRef/>
      </w:r>
      <w:r>
        <w:t xml:space="preserve"> (Vorlagenportal Personalverrechnung, 2021)</w:t>
      </w:r>
    </w:p>
  </w:footnote>
  <w:footnote w:id="54">
    <w:p w14:paraId="5EC87CA8" w14:textId="7246BAD3" w:rsidR="00B57FAB" w:rsidRDefault="00B57FAB">
      <w:pPr>
        <w:pStyle w:val="Funotentext"/>
      </w:pPr>
      <w:r>
        <w:rPr>
          <w:rStyle w:val="Funotenzeichen"/>
        </w:rPr>
        <w:footnoteRef/>
      </w:r>
      <w:r>
        <w:t xml:space="preserve"> (Vorlagenportal Personalverrechnung, 2021)</w:t>
      </w:r>
    </w:p>
  </w:footnote>
  <w:footnote w:id="55">
    <w:p w14:paraId="2BFF0848" w14:textId="1E7A2684" w:rsidR="00B57FAB" w:rsidRDefault="00B57FAB">
      <w:pPr>
        <w:pStyle w:val="Funotentext"/>
      </w:pPr>
      <w:r>
        <w:rPr>
          <w:rStyle w:val="Funotenzeichen"/>
        </w:rPr>
        <w:footnoteRef/>
      </w:r>
      <w:r>
        <w:t xml:space="preserve"> (Vorlagenportal Personalverrechnung, 2021)</w:t>
      </w:r>
    </w:p>
  </w:footnote>
  <w:footnote w:id="56">
    <w:p w14:paraId="74E34A67" w14:textId="4F246527" w:rsidR="00B57FAB" w:rsidRPr="00277372" w:rsidRDefault="00B57FAB">
      <w:pPr>
        <w:pStyle w:val="Funotentext"/>
      </w:pPr>
      <w:r>
        <w:rPr>
          <w:rStyle w:val="Funotenzeichen"/>
        </w:rPr>
        <w:footnoteRef/>
      </w:r>
      <w:r w:rsidRPr="00277372">
        <w:t xml:space="preserve"> </w:t>
      </w:r>
      <w:r>
        <w:t>(Vorlagenportal Personalverrechnung, 2021)</w:t>
      </w:r>
    </w:p>
  </w:footnote>
  <w:footnote w:id="57">
    <w:p w14:paraId="7C93808C" w14:textId="656E2420" w:rsidR="00B57FAB" w:rsidRDefault="00B57FAB">
      <w:pPr>
        <w:pStyle w:val="Funotentext"/>
      </w:pPr>
      <w:r>
        <w:rPr>
          <w:rStyle w:val="Funotenzeichen"/>
        </w:rPr>
        <w:footnoteRef/>
      </w:r>
      <w:r>
        <w:t xml:space="preserve"> (vgl. Arbeiterkammer Österreich, o.D.)</w:t>
      </w:r>
    </w:p>
  </w:footnote>
  <w:footnote w:id="58">
    <w:p w14:paraId="3A58AB7B" w14:textId="73E25858" w:rsidR="00B57FAB" w:rsidRDefault="00B57FAB">
      <w:pPr>
        <w:pStyle w:val="Funotentext"/>
      </w:pPr>
      <w:r>
        <w:rPr>
          <w:rStyle w:val="Funotenzeichen"/>
        </w:rPr>
        <w:footnoteRef/>
      </w:r>
      <w:r>
        <w:t xml:space="preserve"> (vgl. Kontovergleich, 2016)</w:t>
      </w:r>
    </w:p>
  </w:footnote>
  <w:footnote w:id="59">
    <w:p w14:paraId="439E7ED5" w14:textId="02CEE114" w:rsidR="00B57FAB" w:rsidRPr="008C6DDE" w:rsidRDefault="00B57FAB">
      <w:pPr>
        <w:pStyle w:val="Funotentext"/>
      </w:pPr>
      <w:r>
        <w:rPr>
          <w:rStyle w:val="Funotenzeichen"/>
        </w:rPr>
        <w:footnoteRef/>
      </w:r>
      <w:r w:rsidRPr="008C6DDE">
        <w:t xml:space="preserve"> (Bank Austria UniCredit, 2021)</w:t>
      </w:r>
    </w:p>
  </w:footnote>
  <w:footnote w:id="60">
    <w:p w14:paraId="5AA2DD0A" w14:textId="11E84E83" w:rsidR="00B57FAB" w:rsidRPr="00FB29B6" w:rsidRDefault="00B57FAB">
      <w:pPr>
        <w:pStyle w:val="Funotentext"/>
      </w:pPr>
      <w:r>
        <w:rPr>
          <w:rStyle w:val="Funotenzeichen"/>
        </w:rPr>
        <w:footnoteRef/>
      </w:r>
      <w:r w:rsidRPr="00FB29B6">
        <w:t xml:space="preserve"> (BAWAG PSK, 2009)</w:t>
      </w:r>
    </w:p>
  </w:footnote>
  <w:footnote w:id="61">
    <w:p w14:paraId="2F1D5064" w14:textId="01D0B9C5" w:rsidR="00B57FAB" w:rsidRPr="007E32D5" w:rsidRDefault="00B57FAB">
      <w:pPr>
        <w:pStyle w:val="Funotentext"/>
      </w:pPr>
      <w:r>
        <w:rPr>
          <w:rStyle w:val="Funotenzeichen"/>
        </w:rPr>
        <w:footnoteRef/>
      </w:r>
      <w:r w:rsidRPr="007E32D5">
        <w:t xml:space="preserve"> (Erste Bank, 2018)</w:t>
      </w:r>
    </w:p>
  </w:footnote>
  <w:footnote w:id="62">
    <w:p w14:paraId="1D148F1B" w14:textId="7AF10B75" w:rsidR="00B57FAB" w:rsidRPr="007E32D5" w:rsidRDefault="00B57FAB">
      <w:pPr>
        <w:pStyle w:val="Funotentext"/>
      </w:pPr>
      <w:r>
        <w:rPr>
          <w:rStyle w:val="Funotenzeichen"/>
        </w:rPr>
        <w:footnoteRef/>
      </w:r>
      <w:r w:rsidRPr="007E32D5">
        <w:t xml:space="preserve"> (Raiffeisenbank, 2021)</w:t>
      </w:r>
    </w:p>
  </w:footnote>
  <w:footnote w:id="63">
    <w:p w14:paraId="35301B94" w14:textId="31122F75" w:rsidR="00B57FAB" w:rsidRPr="004E2A35" w:rsidRDefault="00B57FAB">
      <w:pPr>
        <w:pStyle w:val="Funotentext"/>
        <w:rPr>
          <w:lang w:val="en-GB"/>
        </w:rPr>
      </w:pPr>
      <w:r>
        <w:rPr>
          <w:rStyle w:val="Funotenzeichen"/>
        </w:rPr>
        <w:footnoteRef/>
      </w:r>
      <w:r w:rsidRPr="004E2A35">
        <w:rPr>
          <w:lang w:val="en-GB"/>
        </w:rPr>
        <w:t xml:space="preserve"> (Easy Bank, 2020)</w:t>
      </w:r>
    </w:p>
  </w:footnote>
  <w:footnote w:id="64">
    <w:p w14:paraId="5FFB8C61" w14:textId="35CB5FA9" w:rsidR="00B57FAB" w:rsidRPr="004E2A35" w:rsidRDefault="00B57FAB">
      <w:pPr>
        <w:pStyle w:val="Funotentext"/>
        <w:rPr>
          <w:lang w:val="en-GB"/>
        </w:rPr>
      </w:pPr>
      <w:r>
        <w:rPr>
          <w:rStyle w:val="Funotenzeichen"/>
        </w:rPr>
        <w:footnoteRef/>
      </w:r>
      <w:r w:rsidRPr="004E2A35">
        <w:rPr>
          <w:lang w:val="en-GB"/>
        </w:rPr>
        <w:t xml:space="preserve"> (vgl. Repro O</w:t>
      </w:r>
      <w:r>
        <w:rPr>
          <w:lang w:val="en-GB"/>
        </w:rPr>
        <w:t>nline, 2021)</w:t>
      </w:r>
    </w:p>
  </w:footnote>
  <w:footnote w:id="65">
    <w:p w14:paraId="4FAA09FB" w14:textId="71B43055" w:rsidR="00B57FAB" w:rsidRPr="004E2A35" w:rsidRDefault="00B57FAB">
      <w:pPr>
        <w:pStyle w:val="Funotentext"/>
        <w:rPr>
          <w:lang w:val="en-GB"/>
        </w:rPr>
      </w:pPr>
      <w:r>
        <w:rPr>
          <w:rStyle w:val="Funotenzeichen"/>
        </w:rPr>
        <w:footnoteRef/>
      </w:r>
      <w:r w:rsidRPr="004E2A35">
        <w:rPr>
          <w:lang w:val="en-GB"/>
        </w:rPr>
        <w:t xml:space="preserve"> </w:t>
      </w:r>
      <w:r>
        <w:rPr>
          <w:lang w:val="en-GB"/>
        </w:rPr>
        <w:t>(vgl. BAWAG PSK, o.D.)</w:t>
      </w:r>
    </w:p>
  </w:footnote>
  <w:footnote w:id="66">
    <w:p w14:paraId="4FE00C75" w14:textId="52BCD3AC" w:rsidR="00B57FAB" w:rsidRPr="00550DE5" w:rsidRDefault="00B57FAB">
      <w:pPr>
        <w:pStyle w:val="Funotentext"/>
      </w:pPr>
      <w:r>
        <w:rPr>
          <w:rStyle w:val="Funotenzeichen"/>
        </w:rPr>
        <w:footnoteRef/>
      </w:r>
      <w:r w:rsidRPr="00550DE5">
        <w:t xml:space="preserve"> (vgl. Österreich GV, 2021)</w:t>
      </w:r>
    </w:p>
  </w:footnote>
  <w:footnote w:id="67">
    <w:p w14:paraId="650099D7" w14:textId="43AD3C39" w:rsidR="00B57FAB" w:rsidRDefault="00B57FAB">
      <w:pPr>
        <w:pStyle w:val="Funotentext"/>
      </w:pPr>
      <w:r>
        <w:rPr>
          <w:rStyle w:val="Funotenzeichen"/>
        </w:rPr>
        <w:footnoteRef/>
      </w:r>
      <w:r>
        <w:t xml:space="preserve"> (vgl. Geldmarie, o.D.)</w:t>
      </w:r>
    </w:p>
  </w:footnote>
  <w:footnote w:id="68">
    <w:p w14:paraId="51DCCDE8" w14:textId="38805CFD" w:rsidR="00B57FAB" w:rsidRDefault="00B57FAB">
      <w:pPr>
        <w:pStyle w:val="Funotentext"/>
      </w:pPr>
      <w:r>
        <w:rPr>
          <w:rStyle w:val="Funotenzeichen"/>
        </w:rPr>
        <w:footnoteRef/>
      </w:r>
      <w:r>
        <w:t xml:space="preserve"> (vgl. Konsument, 2014)</w:t>
      </w:r>
    </w:p>
  </w:footnote>
  <w:footnote w:id="69">
    <w:p w14:paraId="77701152" w14:textId="6178BC57" w:rsidR="00B57FAB" w:rsidRDefault="00B57FAB">
      <w:pPr>
        <w:pStyle w:val="Funotentext"/>
      </w:pPr>
      <w:r>
        <w:rPr>
          <w:rStyle w:val="Funotenzeichen"/>
        </w:rPr>
        <w:footnoteRef/>
      </w:r>
      <w:r>
        <w:t xml:space="preserve"> (vgl. Österreich GV, 2021)</w:t>
      </w:r>
    </w:p>
  </w:footnote>
  <w:footnote w:id="70">
    <w:p w14:paraId="3D9C6C26" w14:textId="6883B887" w:rsidR="00B57FAB" w:rsidRPr="00FB29B6" w:rsidRDefault="00B57FAB">
      <w:pPr>
        <w:pStyle w:val="Funotentext"/>
        <w:rPr>
          <w:lang w:val="en-GB"/>
        </w:rPr>
      </w:pPr>
      <w:r>
        <w:rPr>
          <w:rStyle w:val="Funotenzeichen"/>
        </w:rPr>
        <w:footnoteRef/>
      </w:r>
      <w:r w:rsidRPr="00FB29B6">
        <w:rPr>
          <w:lang w:val="en-GB"/>
        </w:rPr>
        <w:t xml:space="preserve"> (Bank Austria UniCredit, 2021)</w:t>
      </w:r>
    </w:p>
  </w:footnote>
  <w:footnote w:id="71">
    <w:p w14:paraId="65FCD9FD" w14:textId="35FB2D77" w:rsidR="00B57FAB" w:rsidRPr="00CC1217" w:rsidRDefault="00B57FAB">
      <w:pPr>
        <w:pStyle w:val="Funotentext"/>
        <w:rPr>
          <w:lang w:val="en-GB"/>
        </w:rPr>
      </w:pPr>
      <w:r>
        <w:rPr>
          <w:rStyle w:val="Funotenzeichen"/>
        </w:rPr>
        <w:footnoteRef/>
      </w:r>
      <w:r w:rsidRPr="00CC1217">
        <w:rPr>
          <w:lang w:val="en-GB"/>
        </w:rPr>
        <w:t xml:space="preserve"> </w:t>
      </w:r>
      <w:r>
        <w:rPr>
          <w:lang w:val="en-GB"/>
        </w:rPr>
        <w:t>(BAWAG PSK, 2009)</w:t>
      </w:r>
    </w:p>
  </w:footnote>
  <w:footnote w:id="72">
    <w:p w14:paraId="4C3CBC37" w14:textId="29C3475E" w:rsidR="00B57FAB" w:rsidRPr="007E32D5" w:rsidRDefault="00B57FAB">
      <w:pPr>
        <w:pStyle w:val="Funotentext"/>
      </w:pPr>
      <w:r>
        <w:rPr>
          <w:rStyle w:val="Funotenzeichen"/>
        </w:rPr>
        <w:footnoteRef/>
      </w:r>
      <w:r w:rsidRPr="007E32D5">
        <w:t xml:space="preserve"> (Erste Bank, 2018) </w:t>
      </w:r>
    </w:p>
  </w:footnote>
  <w:footnote w:id="73">
    <w:p w14:paraId="55172B4F" w14:textId="474A61D9" w:rsidR="00B57FAB" w:rsidRPr="007E32D5" w:rsidRDefault="00B57FAB">
      <w:pPr>
        <w:pStyle w:val="Funotentext"/>
      </w:pPr>
      <w:r>
        <w:rPr>
          <w:rStyle w:val="Funotenzeichen"/>
        </w:rPr>
        <w:footnoteRef/>
      </w:r>
      <w:r w:rsidRPr="007E32D5">
        <w:t xml:space="preserve"> (Raiffeisenbank, 2021)</w:t>
      </w:r>
    </w:p>
  </w:footnote>
  <w:footnote w:id="74">
    <w:p w14:paraId="2E558675" w14:textId="4806B9E9" w:rsidR="00B57FAB" w:rsidRPr="00FB29B6" w:rsidRDefault="00B57FAB">
      <w:pPr>
        <w:pStyle w:val="Funotentext"/>
      </w:pPr>
      <w:r>
        <w:rPr>
          <w:rStyle w:val="Funotenzeichen"/>
        </w:rPr>
        <w:footnoteRef/>
      </w:r>
      <w:r w:rsidRPr="00FB29B6">
        <w:t xml:space="preserve"> (Easy Bank, 2020)</w:t>
      </w:r>
    </w:p>
  </w:footnote>
  <w:footnote w:id="75">
    <w:p w14:paraId="0B2C3F2F" w14:textId="1343185A" w:rsidR="00B57FAB" w:rsidRPr="00F95807" w:rsidRDefault="00B57FAB">
      <w:pPr>
        <w:pStyle w:val="Funotentext"/>
        <w:rPr>
          <w:lang w:val="en-GB"/>
        </w:rPr>
      </w:pPr>
      <w:r>
        <w:rPr>
          <w:rStyle w:val="Funotenzeichen"/>
        </w:rPr>
        <w:footnoteRef/>
      </w:r>
      <w:r w:rsidRPr="00F95807">
        <w:rPr>
          <w:lang w:val="en-GB"/>
        </w:rPr>
        <w:t xml:space="preserve"> (vgl. Budak, 2005)</w:t>
      </w:r>
    </w:p>
  </w:footnote>
  <w:footnote w:id="76">
    <w:p w14:paraId="0DF2C825" w14:textId="0796C0FB" w:rsidR="00B57FAB" w:rsidRPr="00F95807" w:rsidRDefault="00B57FAB">
      <w:pPr>
        <w:pStyle w:val="Funotentext"/>
        <w:rPr>
          <w:lang w:val="en-GB"/>
        </w:rPr>
      </w:pPr>
      <w:r>
        <w:rPr>
          <w:rStyle w:val="Funotenzeichen"/>
        </w:rPr>
        <w:footnoteRef/>
      </w:r>
      <w:r w:rsidRPr="00F95807">
        <w:rPr>
          <w:lang w:val="en-GB"/>
        </w:rPr>
        <w:t xml:space="preserve"> (Bank </w:t>
      </w:r>
      <w:r>
        <w:rPr>
          <w:lang w:val="en-GB"/>
        </w:rPr>
        <w:t>Austria, o.D.)</w:t>
      </w:r>
    </w:p>
  </w:footnote>
  <w:footnote w:id="77">
    <w:p w14:paraId="0570F4C5" w14:textId="2E471D8C" w:rsidR="00B57FAB" w:rsidRPr="000E34CD" w:rsidRDefault="00B57FAB">
      <w:pPr>
        <w:pStyle w:val="Funotentext"/>
        <w:rPr>
          <w:lang w:val="en-GB"/>
        </w:rPr>
      </w:pPr>
      <w:r>
        <w:rPr>
          <w:rStyle w:val="Funotenzeichen"/>
        </w:rPr>
        <w:footnoteRef/>
      </w:r>
      <w:r w:rsidRPr="000E34CD">
        <w:rPr>
          <w:lang w:val="en-GB"/>
        </w:rPr>
        <w:t xml:space="preserve"> (Bank Austria UniCredit, 2021)</w:t>
      </w:r>
    </w:p>
  </w:footnote>
  <w:footnote w:id="78">
    <w:p w14:paraId="7284EC17" w14:textId="62CEFA2C" w:rsidR="00B57FAB" w:rsidRPr="000E34CD" w:rsidRDefault="00B57FAB">
      <w:pPr>
        <w:pStyle w:val="Funotentext"/>
        <w:rPr>
          <w:lang w:val="en-GB"/>
        </w:rPr>
      </w:pPr>
      <w:r>
        <w:rPr>
          <w:rStyle w:val="Funotenzeichen"/>
        </w:rPr>
        <w:footnoteRef/>
      </w:r>
      <w:r w:rsidRPr="000E34CD">
        <w:rPr>
          <w:lang w:val="en-GB"/>
        </w:rPr>
        <w:t xml:space="preserve"> </w:t>
      </w:r>
      <w:r>
        <w:rPr>
          <w:lang w:val="en-GB"/>
        </w:rPr>
        <w:t>(BAWAG PSK, 2009)</w:t>
      </w:r>
    </w:p>
  </w:footnote>
  <w:footnote w:id="79">
    <w:p w14:paraId="31C356BF" w14:textId="0D93B96C" w:rsidR="00B57FAB" w:rsidRPr="00A46FA3" w:rsidRDefault="00B57FAB">
      <w:pPr>
        <w:pStyle w:val="Funotentext"/>
      </w:pPr>
      <w:r>
        <w:rPr>
          <w:rStyle w:val="Funotenzeichen"/>
        </w:rPr>
        <w:footnoteRef/>
      </w:r>
      <w:r w:rsidRPr="00A46FA3">
        <w:t xml:space="preserve"> (Erste Bank, 2018)</w:t>
      </w:r>
    </w:p>
  </w:footnote>
  <w:footnote w:id="80">
    <w:p w14:paraId="66F730B5" w14:textId="711FD07D" w:rsidR="00B57FAB" w:rsidRPr="00A46FA3" w:rsidRDefault="00B57FAB">
      <w:pPr>
        <w:pStyle w:val="Funotentext"/>
      </w:pPr>
      <w:r>
        <w:rPr>
          <w:rStyle w:val="Funotenzeichen"/>
        </w:rPr>
        <w:footnoteRef/>
      </w:r>
      <w:r w:rsidRPr="00A46FA3">
        <w:t xml:space="preserve"> (Raiffeisenbank, 2018)</w:t>
      </w:r>
    </w:p>
  </w:footnote>
  <w:footnote w:id="81">
    <w:p w14:paraId="6DCAC1ED" w14:textId="0C400CF6" w:rsidR="00B57FAB" w:rsidRPr="00FB29B6" w:rsidRDefault="00B57FAB">
      <w:pPr>
        <w:pStyle w:val="Funotentext"/>
      </w:pPr>
      <w:r>
        <w:rPr>
          <w:rStyle w:val="Funotenzeichen"/>
        </w:rPr>
        <w:footnoteRef/>
      </w:r>
      <w:r w:rsidRPr="00FB29B6">
        <w:t xml:space="preserve"> (Easy Bank, 2020)</w:t>
      </w:r>
    </w:p>
  </w:footnote>
  <w:footnote w:id="82">
    <w:p w14:paraId="7B8FDAE3" w14:textId="2FC37A55" w:rsidR="00B57FAB" w:rsidRPr="00FB29B6" w:rsidRDefault="00B57FAB">
      <w:pPr>
        <w:pStyle w:val="Funotentext"/>
      </w:pPr>
      <w:r>
        <w:rPr>
          <w:rStyle w:val="Funotenzeichen"/>
        </w:rPr>
        <w:footnoteRef/>
      </w:r>
      <w:r w:rsidRPr="00FB29B6">
        <w:t xml:space="preserve"> (vgl. Budak, 2005)</w:t>
      </w:r>
    </w:p>
  </w:footnote>
  <w:footnote w:id="83">
    <w:p w14:paraId="4EF7F7CE" w14:textId="347FDA1A" w:rsidR="00B57FAB" w:rsidRPr="00407F99" w:rsidRDefault="00B57FAB">
      <w:pPr>
        <w:pStyle w:val="Funotentext"/>
      </w:pPr>
      <w:r>
        <w:rPr>
          <w:rStyle w:val="Funotenzeichen"/>
        </w:rPr>
        <w:footnoteRef/>
      </w:r>
      <w:r w:rsidRPr="00407F99">
        <w:t xml:space="preserve"> (vgl. Bezahlen, </w:t>
      </w:r>
      <w:r>
        <w:t>o.D.)</w:t>
      </w:r>
    </w:p>
  </w:footnote>
  <w:footnote w:id="84">
    <w:p w14:paraId="2DEB66F7" w14:textId="0250B468" w:rsidR="00B57FAB" w:rsidRDefault="00B57FAB">
      <w:pPr>
        <w:pStyle w:val="Funotentext"/>
      </w:pPr>
      <w:r>
        <w:rPr>
          <w:rStyle w:val="Funotenzeichen"/>
        </w:rPr>
        <w:footnoteRef/>
      </w:r>
      <w:r>
        <w:t xml:space="preserve"> (vgl. Bezahlen, o.D.)</w:t>
      </w:r>
    </w:p>
  </w:footnote>
  <w:footnote w:id="85">
    <w:p w14:paraId="3DA0C20F" w14:textId="122E5434" w:rsidR="00B57FAB" w:rsidRDefault="00B57FAB">
      <w:pPr>
        <w:pStyle w:val="Funotentext"/>
      </w:pPr>
      <w:r>
        <w:rPr>
          <w:rStyle w:val="Funotenzeichen"/>
        </w:rPr>
        <w:footnoteRef/>
      </w:r>
      <w:r>
        <w:t xml:space="preserve"> (vgl. Budak, 2005)</w:t>
      </w:r>
    </w:p>
  </w:footnote>
  <w:footnote w:id="86">
    <w:p w14:paraId="04A090AE" w14:textId="16A5E79E" w:rsidR="00B57FAB" w:rsidRPr="00FB29B6" w:rsidRDefault="00B57FAB">
      <w:pPr>
        <w:pStyle w:val="Funotentext"/>
        <w:rPr>
          <w:lang w:val="en-GB"/>
        </w:rPr>
      </w:pPr>
      <w:r>
        <w:rPr>
          <w:rStyle w:val="Funotenzeichen"/>
        </w:rPr>
        <w:footnoteRef/>
      </w:r>
      <w:r w:rsidRPr="00FB29B6">
        <w:rPr>
          <w:lang w:val="en-GB"/>
        </w:rPr>
        <w:t xml:space="preserve"> (vgl. Budak, 2005)</w:t>
      </w:r>
    </w:p>
  </w:footnote>
  <w:footnote w:id="87">
    <w:p w14:paraId="315C2F46" w14:textId="4C547582" w:rsidR="00B57FAB" w:rsidRPr="00B05063" w:rsidRDefault="00B57FAB">
      <w:pPr>
        <w:pStyle w:val="Funotentext"/>
        <w:rPr>
          <w:lang w:val="en-GB"/>
        </w:rPr>
      </w:pPr>
      <w:r>
        <w:rPr>
          <w:rStyle w:val="Funotenzeichen"/>
        </w:rPr>
        <w:footnoteRef/>
      </w:r>
      <w:r w:rsidRPr="00B05063">
        <w:rPr>
          <w:lang w:val="en-GB"/>
        </w:rPr>
        <w:t xml:space="preserve"> (Bank Austria UniCredit, 2019)</w:t>
      </w:r>
    </w:p>
  </w:footnote>
  <w:footnote w:id="88">
    <w:p w14:paraId="56F8650C" w14:textId="1DD61EE6" w:rsidR="00B57FAB" w:rsidRPr="00FB29B6" w:rsidRDefault="00B57FAB">
      <w:pPr>
        <w:pStyle w:val="Funotentext"/>
      </w:pPr>
      <w:r>
        <w:rPr>
          <w:rStyle w:val="Funotenzeichen"/>
        </w:rPr>
        <w:footnoteRef/>
      </w:r>
      <w:r w:rsidRPr="00FB29B6">
        <w:t xml:space="preserve"> (BAWAG PSK, 2009)</w:t>
      </w:r>
    </w:p>
  </w:footnote>
  <w:footnote w:id="89">
    <w:p w14:paraId="5503A80E" w14:textId="49FE0186" w:rsidR="00B57FAB" w:rsidRPr="00AC4096" w:rsidRDefault="00B57FAB">
      <w:pPr>
        <w:pStyle w:val="Funotentext"/>
      </w:pPr>
      <w:r>
        <w:rPr>
          <w:rStyle w:val="Funotenzeichen"/>
        </w:rPr>
        <w:footnoteRef/>
      </w:r>
      <w:r w:rsidRPr="00AC4096">
        <w:t xml:space="preserve"> (Erste Bank, 2021)</w:t>
      </w:r>
    </w:p>
  </w:footnote>
  <w:footnote w:id="90">
    <w:p w14:paraId="53FF8236" w14:textId="461A3466" w:rsidR="00B57FAB" w:rsidRPr="00AC4096" w:rsidRDefault="00B57FAB">
      <w:pPr>
        <w:pStyle w:val="Funotentext"/>
      </w:pPr>
      <w:r>
        <w:rPr>
          <w:rStyle w:val="Funotenzeichen"/>
        </w:rPr>
        <w:footnoteRef/>
      </w:r>
      <w:r w:rsidRPr="00AC4096">
        <w:t xml:space="preserve"> (Raiffeisenbank, 2021)</w:t>
      </w:r>
    </w:p>
  </w:footnote>
  <w:footnote w:id="91">
    <w:p w14:paraId="266AB18D" w14:textId="0737D87B" w:rsidR="00B57FAB" w:rsidRPr="006A4C54" w:rsidRDefault="00B57FAB">
      <w:pPr>
        <w:pStyle w:val="Funotentext"/>
        <w:rPr>
          <w:lang w:val="en-GB"/>
        </w:rPr>
      </w:pPr>
      <w:r>
        <w:rPr>
          <w:rStyle w:val="Funotenzeichen"/>
        </w:rPr>
        <w:footnoteRef/>
      </w:r>
      <w:r w:rsidRPr="006A4C54">
        <w:rPr>
          <w:lang w:val="en-GB"/>
        </w:rPr>
        <w:t xml:space="preserve"> (Easy Bank, 2020)</w:t>
      </w:r>
    </w:p>
  </w:footnote>
  <w:footnote w:id="92">
    <w:p w14:paraId="11BB711A" w14:textId="245C318A" w:rsidR="00B57FAB" w:rsidRPr="00B05063" w:rsidRDefault="00B57FAB">
      <w:pPr>
        <w:pStyle w:val="Funotentext"/>
        <w:rPr>
          <w:lang w:val="en-GB"/>
        </w:rPr>
      </w:pPr>
      <w:r>
        <w:rPr>
          <w:rStyle w:val="Funotenzeichen"/>
        </w:rPr>
        <w:footnoteRef/>
      </w:r>
      <w:r w:rsidRPr="00B05063">
        <w:rPr>
          <w:lang w:val="en-GB"/>
        </w:rPr>
        <w:t xml:space="preserve"> </w:t>
      </w:r>
      <w:r>
        <w:rPr>
          <w:lang w:val="en-GB"/>
        </w:rPr>
        <w:t>(vgl. Budak, 2005)</w:t>
      </w:r>
    </w:p>
  </w:footnote>
  <w:footnote w:id="93">
    <w:p w14:paraId="394A15C5" w14:textId="2F170A73" w:rsidR="00B57FAB" w:rsidRPr="006A4C54" w:rsidRDefault="00B57FAB">
      <w:pPr>
        <w:pStyle w:val="Funotentext"/>
        <w:rPr>
          <w:lang w:val="en-GB"/>
        </w:rPr>
      </w:pPr>
      <w:r>
        <w:rPr>
          <w:rStyle w:val="Funotenzeichen"/>
        </w:rPr>
        <w:footnoteRef/>
      </w:r>
      <w:r w:rsidRPr="006A4C54">
        <w:rPr>
          <w:lang w:val="en-GB"/>
        </w:rPr>
        <w:t xml:space="preserve"> (v</w:t>
      </w:r>
      <w:r>
        <w:rPr>
          <w:lang w:val="en-GB"/>
        </w:rPr>
        <w:t>gl. Kreditkarten, o.D.)</w:t>
      </w:r>
    </w:p>
  </w:footnote>
  <w:footnote w:id="94">
    <w:p w14:paraId="3FBD3E1E" w14:textId="7C3B155F" w:rsidR="00B57FAB" w:rsidRPr="00B05063" w:rsidRDefault="00B57FAB">
      <w:pPr>
        <w:pStyle w:val="Funotentext"/>
        <w:rPr>
          <w:lang w:val="en-GB"/>
        </w:rPr>
      </w:pPr>
      <w:r>
        <w:rPr>
          <w:rStyle w:val="Funotenzeichen"/>
        </w:rPr>
        <w:footnoteRef/>
      </w:r>
      <w:r w:rsidRPr="00B05063">
        <w:rPr>
          <w:lang w:val="en-GB"/>
        </w:rPr>
        <w:t xml:space="preserve"> (Bank Austria UniCredit, 2019)</w:t>
      </w:r>
    </w:p>
  </w:footnote>
  <w:footnote w:id="95">
    <w:p w14:paraId="263428E6" w14:textId="5FAF4622" w:rsidR="00B57FAB" w:rsidRPr="00B05063" w:rsidRDefault="00B57FAB">
      <w:pPr>
        <w:pStyle w:val="Funotentext"/>
        <w:rPr>
          <w:lang w:val="en-GB"/>
        </w:rPr>
      </w:pPr>
      <w:r>
        <w:rPr>
          <w:rStyle w:val="Funotenzeichen"/>
        </w:rPr>
        <w:footnoteRef/>
      </w:r>
      <w:r w:rsidRPr="00B05063">
        <w:rPr>
          <w:lang w:val="en-GB"/>
        </w:rPr>
        <w:t xml:space="preserve"> </w:t>
      </w:r>
      <w:r>
        <w:rPr>
          <w:lang w:val="en-GB"/>
        </w:rPr>
        <w:t>(BAWAG PSK, 2009)</w:t>
      </w:r>
    </w:p>
  </w:footnote>
  <w:footnote w:id="96">
    <w:p w14:paraId="563343B7" w14:textId="65812F2D" w:rsidR="00B57FAB" w:rsidRPr="00AC4096" w:rsidRDefault="00B57FAB">
      <w:pPr>
        <w:pStyle w:val="Funotentext"/>
      </w:pPr>
      <w:r>
        <w:rPr>
          <w:rStyle w:val="Funotenzeichen"/>
        </w:rPr>
        <w:footnoteRef/>
      </w:r>
      <w:r w:rsidRPr="00AC4096">
        <w:t xml:space="preserve"> (Erste Bank, 2021)</w:t>
      </w:r>
    </w:p>
  </w:footnote>
  <w:footnote w:id="97">
    <w:p w14:paraId="1A01C79B" w14:textId="62E77695" w:rsidR="00B57FAB" w:rsidRPr="00AC4096" w:rsidRDefault="00B57FAB">
      <w:pPr>
        <w:pStyle w:val="Funotentext"/>
      </w:pPr>
      <w:r>
        <w:rPr>
          <w:rStyle w:val="Funotenzeichen"/>
        </w:rPr>
        <w:footnoteRef/>
      </w:r>
      <w:r w:rsidRPr="00AC4096">
        <w:t xml:space="preserve"> (Raiffeisenbank, 2021)</w:t>
      </w:r>
    </w:p>
  </w:footnote>
  <w:footnote w:id="98">
    <w:p w14:paraId="12284CF8" w14:textId="52B039C7" w:rsidR="00B57FAB" w:rsidRPr="00FB29B6" w:rsidRDefault="00B57FAB">
      <w:pPr>
        <w:pStyle w:val="Funotentext"/>
      </w:pPr>
      <w:r>
        <w:rPr>
          <w:rStyle w:val="Funotenzeichen"/>
        </w:rPr>
        <w:footnoteRef/>
      </w:r>
      <w:r w:rsidRPr="00FB29B6">
        <w:t xml:space="preserve"> (Easy Bank, 2020)</w:t>
      </w:r>
    </w:p>
  </w:footnote>
  <w:footnote w:id="99">
    <w:p w14:paraId="6FA52B5C" w14:textId="76E01DD7" w:rsidR="00B57FAB" w:rsidRPr="00B8653D" w:rsidRDefault="00B57FAB">
      <w:pPr>
        <w:pStyle w:val="Funotentext"/>
        <w:rPr>
          <w:lang w:val="en-GB"/>
        </w:rPr>
      </w:pPr>
      <w:r>
        <w:rPr>
          <w:rStyle w:val="Funotenzeichen"/>
        </w:rPr>
        <w:footnoteRef/>
      </w:r>
      <w:r w:rsidRPr="00B8653D">
        <w:rPr>
          <w:lang w:val="en-GB"/>
        </w:rPr>
        <w:t xml:space="preserve"> (vgl. Budak, 2005)</w:t>
      </w:r>
    </w:p>
  </w:footnote>
  <w:footnote w:id="100">
    <w:p w14:paraId="19EBD448" w14:textId="79B231DA" w:rsidR="00B57FAB" w:rsidRPr="00B8653D" w:rsidRDefault="00B57FAB">
      <w:pPr>
        <w:pStyle w:val="Funotentext"/>
        <w:rPr>
          <w:lang w:val="en-GB"/>
        </w:rPr>
      </w:pPr>
      <w:r>
        <w:rPr>
          <w:rStyle w:val="Funotenzeichen"/>
        </w:rPr>
        <w:footnoteRef/>
      </w:r>
      <w:r w:rsidRPr="00B8653D">
        <w:rPr>
          <w:lang w:val="en-GB"/>
        </w:rPr>
        <w:t xml:space="preserve"> (v</w:t>
      </w:r>
      <w:r>
        <w:rPr>
          <w:lang w:val="en-GB"/>
        </w:rPr>
        <w:t>gl. Wikipedia, 2020)</w:t>
      </w:r>
    </w:p>
  </w:footnote>
  <w:footnote w:id="101">
    <w:p w14:paraId="2A898E35" w14:textId="4D8C1AA8" w:rsidR="00B57FAB" w:rsidRPr="00277A15" w:rsidRDefault="00B57FAB">
      <w:pPr>
        <w:pStyle w:val="Funotentext"/>
        <w:rPr>
          <w:lang w:val="en-GB"/>
        </w:rPr>
      </w:pPr>
      <w:r>
        <w:rPr>
          <w:rStyle w:val="Funotenzeichen"/>
        </w:rPr>
        <w:footnoteRef/>
      </w:r>
      <w:r w:rsidRPr="00277A15">
        <w:rPr>
          <w:lang w:val="en-GB"/>
        </w:rPr>
        <w:t xml:space="preserve"> (Bank Austria UniCredit, 2021)</w:t>
      </w:r>
    </w:p>
  </w:footnote>
  <w:footnote w:id="102">
    <w:p w14:paraId="2E372CC2" w14:textId="43B89186" w:rsidR="00B57FAB" w:rsidRPr="00335F8D" w:rsidRDefault="00B57FAB">
      <w:pPr>
        <w:pStyle w:val="Funotentext"/>
      </w:pPr>
      <w:r>
        <w:rPr>
          <w:rStyle w:val="Funotenzeichen"/>
        </w:rPr>
        <w:footnoteRef/>
      </w:r>
      <w:r w:rsidRPr="00335F8D">
        <w:t xml:space="preserve"> (BAWAG PSK, 2009)</w:t>
      </w:r>
    </w:p>
  </w:footnote>
  <w:footnote w:id="103">
    <w:p w14:paraId="187AB896" w14:textId="623B3377" w:rsidR="00B57FAB" w:rsidRPr="00335F8D" w:rsidRDefault="00B57FAB">
      <w:pPr>
        <w:pStyle w:val="Funotentext"/>
      </w:pPr>
      <w:r>
        <w:rPr>
          <w:rStyle w:val="Funotenzeichen"/>
        </w:rPr>
        <w:footnoteRef/>
      </w:r>
      <w:r w:rsidRPr="00335F8D">
        <w:t xml:space="preserve"> (Erste Bank, 2020)</w:t>
      </w:r>
    </w:p>
  </w:footnote>
  <w:footnote w:id="104">
    <w:p w14:paraId="2EB6B844" w14:textId="7EC65174" w:rsidR="00B57FAB" w:rsidRPr="00335F8D" w:rsidRDefault="00B57FAB">
      <w:pPr>
        <w:pStyle w:val="Funotentext"/>
      </w:pPr>
      <w:r>
        <w:rPr>
          <w:rStyle w:val="Funotenzeichen"/>
        </w:rPr>
        <w:footnoteRef/>
      </w:r>
      <w:r w:rsidRPr="00335F8D">
        <w:t xml:space="preserve"> (R</w:t>
      </w:r>
      <w:r>
        <w:t>aiffeisenbank, 2021)</w:t>
      </w:r>
    </w:p>
  </w:footnote>
  <w:footnote w:id="105">
    <w:p w14:paraId="1CBEDF10" w14:textId="2062D519" w:rsidR="00B57FAB" w:rsidRPr="00277A15" w:rsidRDefault="00B57FAB">
      <w:pPr>
        <w:pStyle w:val="Funotentext"/>
        <w:rPr>
          <w:lang w:val="en-GB"/>
        </w:rPr>
      </w:pPr>
      <w:r>
        <w:rPr>
          <w:rStyle w:val="Funotenzeichen"/>
        </w:rPr>
        <w:footnoteRef/>
      </w:r>
      <w:r w:rsidRPr="00277A15">
        <w:rPr>
          <w:lang w:val="en-GB"/>
        </w:rPr>
        <w:t xml:space="preserve"> </w:t>
      </w:r>
      <w:r>
        <w:rPr>
          <w:lang w:val="en-GB"/>
        </w:rPr>
        <w:t>(Easy Bank, 2020)</w:t>
      </w:r>
    </w:p>
  </w:footnote>
  <w:footnote w:id="106">
    <w:p w14:paraId="36617744" w14:textId="701804BD" w:rsidR="00B57FAB" w:rsidRPr="00277A15" w:rsidRDefault="00B57FAB">
      <w:pPr>
        <w:pStyle w:val="Funotentext"/>
        <w:rPr>
          <w:lang w:val="en-GB"/>
        </w:rPr>
      </w:pPr>
      <w:r>
        <w:rPr>
          <w:rStyle w:val="Funotenzeichen"/>
        </w:rPr>
        <w:footnoteRef/>
      </w:r>
      <w:r w:rsidRPr="00277A15">
        <w:rPr>
          <w:lang w:val="en-GB"/>
        </w:rPr>
        <w:t xml:space="preserve"> (Bank A</w:t>
      </w:r>
      <w:r>
        <w:rPr>
          <w:lang w:val="en-GB"/>
        </w:rPr>
        <w:t>ustria UniCredit, 2021)</w:t>
      </w:r>
    </w:p>
  </w:footnote>
  <w:footnote w:id="107">
    <w:p w14:paraId="3B2CEA6E" w14:textId="60E31F2A" w:rsidR="00B57FAB" w:rsidRPr="00FB29B6" w:rsidRDefault="00B57FAB">
      <w:pPr>
        <w:pStyle w:val="Funotentext"/>
      </w:pPr>
      <w:r>
        <w:rPr>
          <w:rStyle w:val="Funotenzeichen"/>
        </w:rPr>
        <w:footnoteRef/>
      </w:r>
      <w:r w:rsidRPr="00FB29B6">
        <w:t xml:space="preserve"> (BAWAG PSK, 2009)</w:t>
      </w:r>
    </w:p>
  </w:footnote>
  <w:footnote w:id="108">
    <w:p w14:paraId="52FA33BA" w14:textId="6C0DD338" w:rsidR="00B57FAB" w:rsidRPr="00AC4096" w:rsidRDefault="00B57FAB">
      <w:pPr>
        <w:pStyle w:val="Funotentext"/>
      </w:pPr>
      <w:r>
        <w:rPr>
          <w:rStyle w:val="Funotenzeichen"/>
        </w:rPr>
        <w:footnoteRef/>
      </w:r>
      <w:r w:rsidRPr="00AC4096">
        <w:t xml:space="preserve"> (Erste Bank, 2020) </w:t>
      </w:r>
    </w:p>
  </w:footnote>
  <w:footnote w:id="109">
    <w:p w14:paraId="04C309EA" w14:textId="29785F10" w:rsidR="00B57FAB" w:rsidRPr="00AC4096" w:rsidRDefault="00B57FAB">
      <w:pPr>
        <w:pStyle w:val="Funotentext"/>
      </w:pPr>
      <w:r>
        <w:rPr>
          <w:rStyle w:val="Funotenzeichen"/>
        </w:rPr>
        <w:footnoteRef/>
      </w:r>
      <w:r w:rsidRPr="00AC4096">
        <w:t xml:space="preserve"> (Raiffeisenbank, 2021)</w:t>
      </w:r>
    </w:p>
  </w:footnote>
  <w:footnote w:id="110">
    <w:p w14:paraId="1BAB7533" w14:textId="0F36AF60" w:rsidR="00B57FAB" w:rsidRPr="00AC4096" w:rsidRDefault="00B57FAB">
      <w:pPr>
        <w:pStyle w:val="Funotentext"/>
      </w:pPr>
      <w:r>
        <w:rPr>
          <w:rStyle w:val="Funotenzeichen"/>
        </w:rPr>
        <w:footnoteRef/>
      </w:r>
      <w:r w:rsidRPr="00AC4096">
        <w:t xml:space="preserve"> (Easy B</w:t>
      </w:r>
      <w:r>
        <w:t>ank, 2020)</w:t>
      </w:r>
    </w:p>
  </w:footnote>
  <w:footnote w:id="111">
    <w:p w14:paraId="45705D2F" w14:textId="294C76B6" w:rsidR="00B57FAB" w:rsidRPr="00277A15" w:rsidRDefault="00B57FAB">
      <w:pPr>
        <w:pStyle w:val="Funotentext"/>
        <w:rPr>
          <w:lang w:val="en-GB"/>
        </w:rPr>
      </w:pPr>
      <w:r>
        <w:rPr>
          <w:rStyle w:val="Funotenzeichen"/>
        </w:rPr>
        <w:footnoteRef/>
      </w:r>
      <w:r w:rsidRPr="00277A15">
        <w:rPr>
          <w:lang w:val="en-GB"/>
        </w:rPr>
        <w:t xml:space="preserve"> </w:t>
      </w:r>
      <w:r>
        <w:rPr>
          <w:lang w:val="en-GB"/>
        </w:rPr>
        <w:t>(vgl. Budak,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BAC"/>
    <w:multiLevelType w:val="hybridMultilevel"/>
    <w:tmpl w:val="35A6884C"/>
    <w:lvl w:ilvl="0" w:tplc="384413B8">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CA00591"/>
    <w:multiLevelType w:val="hybridMultilevel"/>
    <w:tmpl w:val="85462DB2"/>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900519"/>
    <w:multiLevelType w:val="hybridMultilevel"/>
    <w:tmpl w:val="76D40E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7B0424"/>
    <w:multiLevelType w:val="hybridMultilevel"/>
    <w:tmpl w:val="1FA8E4A8"/>
    <w:lvl w:ilvl="0" w:tplc="DD6638E6">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9020ADA"/>
    <w:multiLevelType w:val="hybridMultilevel"/>
    <w:tmpl w:val="F6C6C870"/>
    <w:lvl w:ilvl="0" w:tplc="5F966968">
      <w:start w:val="1"/>
      <w:numFmt w:val="decimal"/>
      <w:lvlText w:val="7.%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2373E28"/>
    <w:multiLevelType w:val="hybridMultilevel"/>
    <w:tmpl w:val="A81250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2FB2008"/>
    <w:multiLevelType w:val="hybridMultilevel"/>
    <w:tmpl w:val="2B7A68CC"/>
    <w:lvl w:ilvl="0" w:tplc="B4B07322">
      <w:start w:val="1"/>
      <w:numFmt w:val="decimal"/>
      <w:lvlText w:val="5.%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61A6581"/>
    <w:multiLevelType w:val="hybridMultilevel"/>
    <w:tmpl w:val="AA2AC230"/>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8D36499"/>
    <w:multiLevelType w:val="hybridMultilevel"/>
    <w:tmpl w:val="E3C8F668"/>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9F674DA"/>
    <w:multiLevelType w:val="hybridMultilevel"/>
    <w:tmpl w:val="363614E2"/>
    <w:lvl w:ilvl="0" w:tplc="597205C8">
      <w:start w:val="1"/>
      <w:numFmt w:val="decimal"/>
      <w:lvlText w:val="4.%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B842247"/>
    <w:multiLevelType w:val="hybridMultilevel"/>
    <w:tmpl w:val="7DD27C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457CF1"/>
    <w:multiLevelType w:val="hybridMultilevel"/>
    <w:tmpl w:val="74B4B034"/>
    <w:lvl w:ilvl="0" w:tplc="66CE4F22">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1AE120B"/>
    <w:multiLevelType w:val="hybridMultilevel"/>
    <w:tmpl w:val="B2BA1C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ECD7D4D"/>
    <w:multiLevelType w:val="multilevel"/>
    <w:tmpl w:val="1B1A26B2"/>
    <w:lvl w:ilvl="0">
      <w:start w:val="1"/>
      <w:numFmt w:val="decimal"/>
      <w:pStyle w:val="berschrift1"/>
      <w:lvlText w:val="%1"/>
      <w:lvlJc w:val="left"/>
      <w:pPr>
        <w:ind w:left="432" w:hanging="432"/>
      </w:pPr>
      <w:rPr>
        <w:sz w:val="32"/>
        <w:szCs w:val="32"/>
      </w:rPr>
    </w:lvl>
    <w:lvl w:ilvl="1">
      <w:start w:val="1"/>
      <w:numFmt w:val="decimal"/>
      <w:pStyle w:val="berschrift2"/>
      <w:lvlText w:val="%1.%2"/>
      <w:lvlJc w:val="left"/>
      <w:pPr>
        <w:ind w:left="576" w:hanging="576"/>
      </w:pPr>
      <w:rPr>
        <w:sz w:val="28"/>
        <w:szCs w:val="28"/>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FD20FBD"/>
    <w:multiLevelType w:val="hybridMultilevel"/>
    <w:tmpl w:val="DA6E6A98"/>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40419A"/>
    <w:multiLevelType w:val="hybridMultilevel"/>
    <w:tmpl w:val="33989D72"/>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77D4772"/>
    <w:multiLevelType w:val="hybridMultilevel"/>
    <w:tmpl w:val="3032757C"/>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B7F169E"/>
    <w:multiLevelType w:val="hybridMultilevel"/>
    <w:tmpl w:val="A10E03D4"/>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18" w15:restartNumberingAfterBreak="0">
    <w:nsid w:val="512D7779"/>
    <w:multiLevelType w:val="hybridMultilevel"/>
    <w:tmpl w:val="9A18FB36"/>
    <w:lvl w:ilvl="0" w:tplc="9F8C5D9A">
      <w:start w:val="1"/>
      <w:numFmt w:val="decimal"/>
      <w:lvlText w:val="6.%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3C149B2"/>
    <w:multiLevelType w:val="hybridMultilevel"/>
    <w:tmpl w:val="E042E010"/>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45A489C"/>
    <w:multiLevelType w:val="hybridMultilevel"/>
    <w:tmpl w:val="A07E9BDE"/>
    <w:lvl w:ilvl="0" w:tplc="0C07000F">
      <w:start w:val="1"/>
      <w:numFmt w:val="decimal"/>
      <w:lvlText w:val="%1."/>
      <w:lvlJc w:val="left"/>
      <w:pPr>
        <w:ind w:left="3600" w:hanging="360"/>
      </w:pPr>
    </w:lvl>
    <w:lvl w:ilvl="1" w:tplc="0C070019" w:tentative="1">
      <w:start w:val="1"/>
      <w:numFmt w:val="lowerLetter"/>
      <w:lvlText w:val="%2."/>
      <w:lvlJc w:val="left"/>
      <w:pPr>
        <w:ind w:left="4320" w:hanging="360"/>
      </w:pPr>
    </w:lvl>
    <w:lvl w:ilvl="2" w:tplc="0C07001B" w:tentative="1">
      <w:start w:val="1"/>
      <w:numFmt w:val="lowerRoman"/>
      <w:lvlText w:val="%3."/>
      <w:lvlJc w:val="right"/>
      <w:pPr>
        <w:ind w:left="5040" w:hanging="180"/>
      </w:pPr>
    </w:lvl>
    <w:lvl w:ilvl="3" w:tplc="0C07000F" w:tentative="1">
      <w:start w:val="1"/>
      <w:numFmt w:val="decimal"/>
      <w:lvlText w:val="%4."/>
      <w:lvlJc w:val="left"/>
      <w:pPr>
        <w:ind w:left="5760" w:hanging="360"/>
      </w:pPr>
    </w:lvl>
    <w:lvl w:ilvl="4" w:tplc="0C070019" w:tentative="1">
      <w:start w:val="1"/>
      <w:numFmt w:val="lowerLetter"/>
      <w:lvlText w:val="%5."/>
      <w:lvlJc w:val="left"/>
      <w:pPr>
        <w:ind w:left="6480" w:hanging="360"/>
      </w:pPr>
    </w:lvl>
    <w:lvl w:ilvl="5" w:tplc="0C07001B" w:tentative="1">
      <w:start w:val="1"/>
      <w:numFmt w:val="lowerRoman"/>
      <w:lvlText w:val="%6."/>
      <w:lvlJc w:val="right"/>
      <w:pPr>
        <w:ind w:left="7200" w:hanging="180"/>
      </w:pPr>
    </w:lvl>
    <w:lvl w:ilvl="6" w:tplc="0C07000F" w:tentative="1">
      <w:start w:val="1"/>
      <w:numFmt w:val="decimal"/>
      <w:lvlText w:val="%7."/>
      <w:lvlJc w:val="left"/>
      <w:pPr>
        <w:ind w:left="7920" w:hanging="360"/>
      </w:pPr>
    </w:lvl>
    <w:lvl w:ilvl="7" w:tplc="0C070019" w:tentative="1">
      <w:start w:val="1"/>
      <w:numFmt w:val="lowerLetter"/>
      <w:lvlText w:val="%8."/>
      <w:lvlJc w:val="left"/>
      <w:pPr>
        <w:ind w:left="8640" w:hanging="360"/>
      </w:pPr>
    </w:lvl>
    <w:lvl w:ilvl="8" w:tplc="0C07001B" w:tentative="1">
      <w:start w:val="1"/>
      <w:numFmt w:val="lowerRoman"/>
      <w:lvlText w:val="%9."/>
      <w:lvlJc w:val="right"/>
      <w:pPr>
        <w:ind w:left="9360" w:hanging="180"/>
      </w:pPr>
    </w:lvl>
  </w:abstractNum>
  <w:abstractNum w:abstractNumId="21" w15:restartNumberingAfterBreak="0">
    <w:nsid w:val="55C54068"/>
    <w:multiLevelType w:val="hybridMultilevel"/>
    <w:tmpl w:val="2072F912"/>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8724D67"/>
    <w:multiLevelType w:val="hybridMultilevel"/>
    <w:tmpl w:val="551A206E"/>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CE61E28"/>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CA692D"/>
    <w:multiLevelType w:val="hybridMultilevel"/>
    <w:tmpl w:val="82F8F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0CC500C"/>
    <w:multiLevelType w:val="hybridMultilevel"/>
    <w:tmpl w:val="56A8C2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15:restartNumberingAfterBreak="0">
    <w:nsid w:val="68112DDF"/>
    <w:multiLevelType w:val="hybridMultilevel"/>
    <w:tmpl w:val="F3665630"/>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27" w15:restartNumberingAfterBreak="0">
    <w:nsid w:val="6D262022"/>
    <w:multiLevelType w:val="multilevel"/>
    <w:tmpl w:val="7B7CE7AA"/>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FB136EA"/>
    <w:multiLevelType w:val="multilevel"/>
    <w:tmpl w:val="E30CF86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25E4EF0"/>
    <w:multiLevelType w:val="hybridMultilevel"/>
    <w:tmpl w:val="0218C05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27B24E9"/>
    <w:multiLevelType w:val="hybridMultilevel"/>
    <w:tmpl w:val="396670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70025F"/>
    <w:multiLevelType w:val="hybridMultilevel"/>
    <w:tmpl w:val="6FD6D2CA"/>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E4026BA"/>
    <w:multiLevelType w:val="hybridMultilevel"/>
    <w:tmpl w:val="270C7778"/>
    <w:lvl w:ilvl="0" w:tplc="E36084FC">
      <w:start w:val="1"/>
      <w:numFmt w:val="decimal"/>
      <w:lvlText w:val="4.%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EB65359"/>
    <w:multiLevelType w:val="hybridMultilevel"/>
    <w:tmpl w:val="AE045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9"/>
  </w:num>
  <w:num w:numId="4">
    <w:abstractNumId w:val="0"/>
  </w:num>
  <w:num w:numId="5">
    <w:abstractNumId w:val="5"/>
  </w:num>
  <w:num w:numId="6">
    <w:abstractNumId w:val="28"/>
  </w:num>
  <w:num w:numId="7">
    <w:abstractNumId w:val="14"/>
  </w:num>
  <w:num w:numId="8">
    <w:abstractNumId w:val="22"/>
  </w:num>
  <w:num w:numId="9">
    <w:abstractNumId w:val="7"/>
  </w:num>
  <w:num w:numId="10">
    <w:abstractNumId w:val="15"/>
  </w:num>
  <w:num w:numId="11">
    <w:abstractNumId w:val="31"/>
  </w:num>
  <w:num w:numId="12">
    <w:abstractNumId w:val="1"/>
  </w:num>
  <w:num w:numId="13">
    <w:abstractNumId w:val="16"/>
  </w:num>
  <w:num w:numId="14">
    <w:abstractNumId w:val="8"/>
  </w:num>
  <w:num w:numId="15">
    <w:abstractNumId w:val="19"/>
  </w:num>
  <w:num w:numId="16">
    <w:abstractNumId w:val="21"/>
  </w:num>
  <w:num w:numId="17">
    <w:abstractNumId w:val="3"/>
  </w:num>
  <w:num w:numId="18">
    <w:abstractNumId w:val="32"/>
  </w:num>
  <w:num w:numId="19">
    <w:abstractNumId w:val="6"/>
  </w:num>
  <w:num w:numId="20">
    <w:abstractNumId w:val="18"/>
  </w:num>
  <w:num w:numId="21">
    <w:abstractNumId w:val="4"/>
  </w:num>
  <w:num w:numId="22">
    <w:abstractNumId w:val="18"/>
    <w:lvlOverride w:ilvl="0">
      <w:startOverride w:val="1"/>
    </w:lvlOverride>
  </w:num>
  <w:num w:numId="23">
    <w:abstractNumId w:val="11"/>
  </w:num>
  <w:num w:numId="24">
    <w:abstractNumId w:val="9"/>
  </w:num>
  <w:num w:numId="25">
    <w:abstractNumId w:val="20"/>
  </w:num>
  <w:num w:numId="26">
    <w:abstractNumId w:val="23"/>
  </w:num>
  <w:num w:numId="27">
    <w:abstractNumId w:val="13"/>
  </w:num>
  <w:num w:numId="28">
    <w:abstractNumId w:val="30"/>
  </w:num>
  <w:num w:numId="29">
    <w:abstractNumId w:val="25"/>
  </w:num>
  <w:num w:numId="30">
    <w:abstractNumId w:val="24"/>
  </w:num>
  <w:num w:numId="31">
    <w:abstractNumId w:val="10"/>
  </w:num>
  <w:num w:numId="32">
    <w:abstractNumId w:val="17"/>
  </w:num>
  <w:num w:numId="33">
    <w:abstractNumId w:val="3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2"/>
  </w:num>
  <w:num w:numId="41">
    <w:abstractNumId w:val="13"/>
  </w:num>
  <w:num w:numId="42">
    <w:abstractNumId w:val="1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B9"/>
    <w:rsid w:val="0000113B"/>
    <w:rsid w:val="00002C06"/>
    <w:rsid w:val="00003802"/>
    <w:rsid w:val="000057F0"/>
    <w:rsid w:val="000059B9"/>
    <w:rsid w:val="00007D0D"/>
    <w:rsid w:val="00010666"/>
    <w:rsid w:val="000131E9"/>
    <w:rsid w:val="000210DB"/>
    <w:rsid w:val="00021204"/>
    <w:rsid w:val="0002406E"/>
    <w:rsid w:val="0002508A"/>
    <w:rsid w:val="0003279E"/>
    <w:rsid w:val="000339EA"/>
    <w:rsid w:val="000365A6"/>
    <w:rsid w:val="00042666"/>
    <w:rsid w:val="00042B74"/>
    <w:rsid w:val="00062ED5"/>
    <w:rsid w:val="00065A22"/>
    <w:rsid w:val="00074ADB"/>
    <w:rsid w:val="00076460"/>
    <w:rsid w:val="000801E8"/>
    <w:rsid w:val="000851C1"/>
    <w:rsid w:val="000868C4"/>
    <w:rsid w:val="00091FBF"/>
    <w:rsid w:val="000921A7"/>
    <w:rsid w:val="0009318A"/>
    <w:rsid w:val="00093A57"/>
    <w:rsid w:val="00095F5A"/>
    <w:rsid w:val="000A282A"/>
    <w:rsid w:val="000A6171"/>
    <w:rsid w:val="000A6823"/>
    <w:rsid w:val="000A72B9"/>
    <w:rsid w:val="000A7307"/>
    <w:rsid w:val="000B1C10"/>
    <w:rsid w:val="000B3B1B"/>
    <w:rsid w:val="000B417E"/>
    <w:rsid w:val="000B4AF8"/>
    <w:rsid w:val="000B647B"/>
    <w:rsid w:val="000C647E"/>
    <w:rsid w:val="000C74C5"/>
    <w:rsid w:val="000D1E68"/>
    <w:rsid w:val="000D2A61"/>
    <w:rsid w:val="000D35E0"/>
    <w:rsid w:val="000D7464"/>
    <w:rsid w:val="000E0569"/>
    <w:rsid w:val="000E2158"/>
    <w:rsid w:val="000E34CD"/>
    <w:rsid w:val="000E3863"/>
    <w:rsid w:val="000E485C"/>
    <w:rsid w:val="000F76EA"/>
    <w:rsid w:val="0010328E"/>
    <w:rsid w:val="0010553A"/>
    <w:rsid w:val="00106101"/>
    <w:rsid w:val="00106851"/>
    <w:rsid w:val="0011456F"/>
    <w:rsid w:val="00121560"/>
    <w:rsid w:val="00124080"/>
    <w:rsid w:val="00125C2F"/>
    <w:rsid w:val="001271D9"/>
    <w:rsid w:val="00127C9C"/>
    <w:rsid w:val="001359A9"/>
    <w:rsid w:val="00137D83"/>
    <w:rsid w:val="001436E1"/>
    <w:rsid w:val="00143DB1"/>
    <w:rsid w:val="0015151F"/>
    <w:rsid w:val="0015423B"/>
    <w:rsid w:val="00156460"/>
    <w:rsid w:val="001655A1"/>
    <w:rsid w:val="00171848"/>
    <w:rsid w:val="00171CFC"/>
    <w:rsid w:val="0017725B"/>
    <w:rsid w:val="00181E48"/>
    <w:rsid w:val="00183618"/>
    <w:rsid w:val="001930FB"/>
    <w:rsid w:val="00193736"/>
    <w:rsid w:val="001941B9"/>
    <w:rsid w:val="00196BA1"/>
    <w:rsid w:val="001A0BEF"/>
    <w:rsid w:val="001A0C4F"/>
    <w:rsid w:val="001B094E"/>
    <w:rsid w:val="001B17A6"/>
    <w:rsid w:val="001B3593"/>
    <w:rsid w:val="001D11D0"/>
    <w:rsid w:val="001D6495"/>
    <w:rsid w:val="001E2D27"/>
    <w:rsid w:val="001E53A9"/>
    <w:rsid w:val="001F0793"/>
    <w:rsid w:val="001F0D41"/>
    <w:rsid w:val="001F6AD0"/>
    <w:rsid w:val="00201F53"/>
    <w:rsid w:val="00202F32"/>
    <w:rsid w:val="00204A57"/>
    <w:rsid w:val="00207AA7"/>
    <w:rsid w:val="002112DA"/>
    <w:rsid w:val="002219EB"/>
    <w:rsid w:val="002226FC"/>
    <w:rsid w:val="002403CB"/>
    <w:rsid w:val="00246DE8"/>
    <w:rsid w:val="00263EE1"/>
    <w:rsid w:val="002757FC"/>
    <w:rsid w:val="00277372"/>
    <w:rsid w:val="00277A15"/>
    <w:rsid w:val="00277D34"/>
    <w:rsid w:val="00283593"/>
    <w:rsid w:val="0028506E"/>
    <w:rsid w:val="00285541"/>
    <w:rsid w:val="0028566B"/>
    <w:rsid w:val="0028695B"/>
    <w:rsid w:val="00292204"/>
    <w:rsid w:val="002925AF"/>
    <w:rsid w:val="00296B94"/>
    <w:rsid w:val="002A4077"/>
    <w:rsid w:val="002B1CCC"/>
    <w:rsid w:val="002B2C63"/>
    <w:rsid w:val="002B5C0D"/>
    <w:rsid w:val="002C32E9"/>
    <w:rsid w:val="002C496B"/>
    <w:rsid w:val="002C5B90"/>
    <w:rsid w:val="002C69DA"/>
    <w:rsid w:val="002C7293"/>
    <w:rsid w:val="002D342E"/>
    <w:rsid w:val="002D375A"/>
    <w:rsid w:val="002D74B4"/>
    <w:rsid w:val="002E7203"/>
    <w:rsid w:val="002E7B6F"/>
    <w:rsid w:val="002F18A9"/>
    <w:rsid w:val="002F7602"/>
    <w:rsid w:val="00300DF2"/>
    <w:rsid w:val="003021CE"/>
    <w:rsid w:val="003048DB"/>
    <w:rsid w:val="00311B73"/>
    <w:rsid w:val="0031508D"/>
    <w:rsid w:val="0032324C"/>
    <w:rsid w:val="00331002"/>
    <w:rsid w:val="00332FCF"/>
    <w:rsid w:val="00333527"/>
    <w:rsid w:val="00333DD3"/>
    <w:rsid w:val="00334890"/>
    <w:rsid w:val="0033497B"/>
    <w:rsid w:val="00335F8D"/>
    <w:rsid w:val="00344516"/>
    <w:rsid w:val="003452CD"/>
    <w:rsid w:val="003503FC"/>
    <w:rsid w:val="00351E38"/>
    <w:rsid w:val="003524FD"/>
    <w:rsid w:val="0035354B"/>
    <w:rsid w:val="00353E45"/>
    <w:rsid w:val="00355F71"/>
    <w:rsid w:val="003623BF"/>
    <w:rsid w:val="003645EB"/>
    <w:rsid w:val="0037224F"/>
    <w:rsid w:val="003727E4"/>
    <w:rsid w:val="00374A69"/>
    <w:rsid w:val="00375C45"/>
    <w:rsid w:val="0037657A"/>
    <w:rsid w:val="00386E8D"/>
    <w:rsid w:val="003949EA"/>
    <w:rsid w:val="003A25BC"/>
    <w:rsid w:val="003B5F56"/>
    <w:rsid w:val="003B7D50"/>
    <w:rsid w:val="003C00E9"/>
    <w:rsid w:val="003C0C80"/>
    <w:rsid w:val="003C3111"/>
    <w:rsid w:val="003C65FC"/>
    <w:rsid w:val="003D04EA"/>
    <w:rsid w:val="003D09BF"/>
    <w:rsid w:val="003D647C"/>
    <w:rsid w:val="003E0914"/>
    <w:rsid w:val="003E1AA1"/>
    <w:rsid w:val="003E6F5A"/>
    <w:rsid w:val="003F413A"/>
    <w:rsid w:val="003F4237"/>
    <w:rsid w:val="00400A89"/>
    <w:rsid w:val="00404D2C"/>
    <w:rsid w:val="00405295"/>
    <w:rsid w:val="00407F99"/>
    <w:rsid w:val="004127E1"/>
    <w:rsid w:val="00416C29"/>
    <w:rsid w:val="00416F4F"/>
    <w:rsid w:val="00421079"/>
    <w:rsid w:val="00423BE2"/>
    <w:rsid w:val="00424B10"/>
    <w:rsid w:val="00425758"/>
    <w:rsid w:val="0042592A"/>
    <w:rsid w:val="00430340"/>
    <w:rsid w:val="00430A85"/>
    <w:rsid w:val="00433CE7"/>
    <w:rsid w:val="004373BF"/>
    <w:rsid w:val="00442633"/>
    <w:rsid w:val="00445D7E"/>
    <w:rsid w:val="0045035F"/>
    <w:rsid w:val="0046780D"/>
    <w:rsid w:val="004725BC"/>
    <w:rsid w:val="00473230"/>
    <w:rsid w:val="00474890"/>
    <w:rsid w:val="00482B77"/>
    <w:rsid w:val="004863F6"/>
    <w:rsid w:val="00491A11"/>
    <w:rsid w:val="004A08FD"/>
    <w:rsid w:val="004A7E91"/>
    <w:rsid w:val="004B0023"/>
    <w:rsid w:val="004B71B8"/>
    <w:rsid w:val="004C2CD9"/>
    <w:rsid w:val="004C4CA7"/>
    <w:rsid w:val="004C533B"/>
    <w:rsid w:val="004C574B"/>
    <w:rsid w:val="004E2A35"/>
    <w:rsid w:val="004F2856"/>
    <w:rsid w:val="004F75F8"/>
    <w:rsid w:val="00506BB5"/>
    <w:rsid w:val="00516138"/>
    <w:rsid w:val="005233DF"/>
    <w:rsid w:val="00523FA0"/>
    <w:rsid w:val="00526DCC"/>
    <w:rsid w:val="0053053D"/>
    <w:rsid w:val="00532DCC"/>
    <w:rsid w:val="00537C54"/>
    <w:rsid w:val="00540813"/>
    <w:rsid w:val="0054233E"/>
    <w:rsid w:val="005504C2"/>
    <w:rsid w:val="00550DE5"/>
    <w:rsid w:val="00553252"/>
    <w:rsid w:val="00556EE8"/>
    <w:rsid w:val="00571C53"/>
    <w:rsid w:val="00571D4B"/>
    <w:rsid w:val="0057386C"/>
    <w:rsid w:val="00574987"/>
    <w:rsid w:val="005866E2"/>
    <w:rsid w:val="00592270"/>
    <w:rsid w:val="0059601C"/>
    <w:rsid w:val="005963B4"/>
    <w:rsid w:val="005A02D0"/>
    <w:rsid w:val="005B3FC4"/>
    <w:rsid w:val="005C2457"/>
    <w:rsid w:val="005C52F3"/>
    <w:rsid w:val="005C64D8"/>
    <w:rsid w:val="005C78C2"/>
    <w:rsid w:val="005D44C4"/>
    <w:rsid w:val="005D45C7"/>
    <w:rsid w:val="005E13B0"/>
    <w:rsid w:val="005E2374"/>
    <w:rsid w:val="00613856"/>
    <w:rsid w:val="00613E2F"/>
    <w:rsid w:val="0061500F"/>
    <w:rsid w:val="006206EA"/>
    <w:rsid w:val="00623D3F"/>
    <w:rsid w:val="00623E40"/>
    <w:rsid w:val="00624F23"/>
    <w:rsid w:val="00626429"/>
    <w:rsid w:val="00633221"/>
    <w:rsid w:val="006358F5"/>
    <w:rsid w:val="00641209"/>
    <w:rsid w:val="00641A43"/>
    <w:rsid w:val="0064245A"/>
    <w:rsid w:val="00647296"/>
    <w:rsid w:val="00656A0C"/>
    <w:rsid w:val="00662216"/>
    <w:rsid w:val="00663624"/>
    <w:rsid w:val="00664B33"/>
    <w:rsid w:val="00665EBE"/>
    <w:rsid w:val="00666057"/>
    <w:rsid w:val="00670350"/>
    <w:rsid w:val="006734E1"/>
    <w:rsid w:val="00685732"/>
    <w:rsid w:val="0068740A"/>
    <w:rsid w:val="00690B81"/>
    <w:rsid w:val="0069603C"/>
    <w:rsid w:val="006A4C54"/>
    <w:rsid w:val="006A6298"/>
    <w:rsid w:val="006A6432"/>
    <w:rsid w:val="006B0C57"/>
    <w:rsid w:val="006C01B9"/>
    <w:rsid w:val="006C29D7"/>
    <w:rsid w:val="006C61B6"/>
    <w:rsid w:val="006D38C4"/>
    <w:rsid w:val="006D4135"/>
    <w:rsid w:val="006D5034"/>
    <w:rsid w:val="006D6F8B"/>
    <w:rsid w:val="006E1144"/>
    <w:rsid w:val="006E1878"/>
    <w:rsid w:val="006E4EEA"/>
    <w:rsid w:val="006E50F6"/>
    <w:rsid w:val="006F250A"/>
    <w:rsid w:val="006F25E2"/>
    <w:rsid w:val="006F2A3D"/>
    <w:rsid w:val="00710FFD"/>
    <w:rsid w:val="0072235B"/>
    <w:rsid w:val="00727286"/>
    <w:rsid w:val="00742B2B"/>
    <w:rsid w:val="0074392F"/>
    <w:rsid w:val="00745147"/>
    <w:rsid w:val="007470FC"/>
    <w:rsid w:val="0074765E"/>
    <w:rsid w:val="007520DB"/>
    <w:rsid w:val="00752BD8"/>
    <w:rsid w:val="00757081"/>
    <w:rsid w:val="0076074F"/>
    <w:rsid w:val="00760E1E"/>
    <w:rsid w:val="007620BE"/>
    <w:rsid w:val="00763EA9"/>
    <w:rsid w:val="007667DD"/>
    <w:rsid w:val="00771134"/>
    <w:rsid w:val="00772DBC"/>
    <w:rsid w:val="0077305F"/>
    <w:rsid w:val="00773A0A"/>
    <w:rsid w:val="0077652D"/>
    <w:rsid w:val="0078226C"/>
    <w:rsid w:val="007858C3"/>
    <w:rsid w:val="00786324"/>
    <w:rsid w:val="00791532"/>
    <w:rsid w:val="00792A20"/>
    <w:rsid w:val="00792F9F"/>
    <w:rsid w:val="00795ACE"/>
    <w:rsid w:val="007966AC"/>
    <w:rsid w:val="007A0A85"/>
    <w:rsid w:val="007A5121"/>
    <w:rsid w:val="007A683F"/>
    <w:rsid w:val="007A7D77"/>
    <w:rsid w:val="007B003F"/>
    <w:rsid w:val="007B7B87"/>
    <w:rsid w:val="007C3E6B"/>
    <w:rsid w:val="007C4148"/>
    <w:rsid w:val="007C6DFF"/>
    <w:rsid w:val="007D03B2"/>
    <w:rsid w:val="007D1FD8"/>
    <w:rsid w:val="007D582C"/>
    <w:rsid w:val="007D64FB"/>
    <w:rsid w:val="007D748C"/>
    <w:rsid w:val="007D765C"/>
    <w:rsid w:val="007E0915"/>
    <w:rsid w:val="007E1FC1"/>
    <w:rsid w:val="007E32D5"/>
    <w:rsid w:val="007E5AB0"/>
    <w:rsid w:val="007E6E4D"/>
    <w:rsid w:val="007F5A6B"/>
    <w:rsid w:val="00804A37"/>
    <w:rsid w:val="0081434A"/>
    <w:rsid w:val="00817EB9"/>
    <w:rsid w:val="0083043F"/>
    <w:rsid w:val="008304ED"/>
    <w:rsid w:val="00832EB7"/>
    <w:rsid w:val="0083620C"/>
    <w:rsid w:val="00841040"/>
    <w:rsid w:val="008454F0"/>
    <w:rsid w:val="00845EF1"/>
    <w:rsid w:val="00846329"/>
    <w:rsid w:val="00850FAF"/>
    <w:rsid w:val="00851DA7"/>
    <w:rsid w:val="00855E0E"/>
    <w:rsid w:val="00860F1B"/>
    <w:rsid w:val="0086452D"/>
    <w:rsid w:val="0086597F"/>
    <w:rsid w:val="008674D1"/>
    <w:rsid w:val="008700E5"/>
    <w:rsid w:val="00872826"/>
    <w:rsid w:val="008A28E5"/>
    <w:rsid w:val="008A7FDF"/>
    <w:rsid w:val="008C0232"/>
    <w:rsid w:val="008C3113"/>
    <w:rsid w:val="008C3A53"/>
    <w:rsid w:val="008C5DA9"/>
    <w:rsid w:val="008C5E79"/>
    <w:rsid w:val="008C6CE1"/>
    <w:rsid w:val="008C6DDE"/>
    <w:rsid w:val="008D2C3D"/>
    <w:rsid w:val="008D7D46"/>
    <w:rsid w:val="008E1C30"/>
    <w:rsid w:val="008E24A0"/>
    <w:rsid w:val="008F1AC1"/>
    <w:rsid w:val="008F5FFC"/>
    <w:rsid w:val="0090129F"/>
    <w:rsid w:val="00901D12"/>
    <w:rsid w:val="00902D58"/>
    <w:rsid w:val="0090331C"/>
    <w:rsid w:val="009048A8"/>
    <w:rsid w:val="00904BAB"/>
    <w:rsid w:val="0090562C"/>
    <w:rsid w:val="0091043E"/>
    <w:rsid w:val="00916FE9"/>
    <w:rsid w:val="00917E42"/>
    <w:rsid w:val="009219F1"/>
    <w:rsid w:val="00921F12"/>
    <w:rsid w:val="009255CF"/>
    <w:rsid w:val="00933490"/>
    <w:rsid w:val="00940A8C"/>
    <w:rsid w:val="00943F4B"/>
    <w:rsid w:val="00944CF6"/>
    <w:rsid w:val="0094632F"/>
    <w:rsid w:val="00953436"/>
    <w:rsid w:val="0095535D"/>
    <w:rsid w:val="00962319"/>
    <w:rsid w:val="00963335"/>
    <w:rsid w:val="009667B9"/>
    <w:rsid w:val="009672BE"/>
    <w:rsid w:val="00977ADC"/>
    <w:rsid w:val="009833B0"/>
    <w:rsid w:val="00985F99"/>
    <w:rsid w:val="00987DEA"/>
    <w:rsid w:val="00987EEB"/>
    <w:rsid w:val="0099491A"/>
    <w:rsid w:val="009A3B89"/>
    <w:rsid w:val="009A4833"/>
    <w:rsid w:val="009A7D7C"/>
    <w:rsid w:val="009B2EE4"/>
    <w:rsid w:val="009B3A80"/>
    <w:rsid w:val="009C3301"/>
    <w:rsid w:val="009C59E2"/>
    <w:rsid w:val="009D1F27"/>
    <w:rsid w:val="009D24BF"/>
    <w:rsid w:val="009D3DFC"/>
    <w:rsid w:val="009D4426"/>
    <w:rsid w:val="009E1739"/>
    <w:rsid w:val="009E4055"/>
    <w:rsid w:val="009E7CA4"/>
    <w:rsid w:val="009F4868"/>
    <w:rsid w:val="009F52F4"/>
    <w:rsid w:val="009F5BE6"/>
    <w:rsid w:val="009F61F2"/>
    <w:rsid w:val="009F7A62"/>
    <w:rsid w:val="00A0133C"/>
    <w:rsid w:val="00A0209B"/>
    <w:rsid w:val="00A05918"/>
    <w:rsid w:val="00A15C52"/>
    <w:rsid w:val="00A24EA6"/>
    <w:rsid w:val="00A26290"/>
    <w:rsid w:val="00A263CA"/>
    <w:rsid w:val="00A26DE2"/>
    <w:rsid w:val="00A378E2"/>
    <w:rsid w:val="00A454A0"/>
    <w:rsid w:val="00A46FA3"/>
    <w:rsid w:val="00A54CA4"/>
    <w:rsid w:val="00A605C4"/>
    <w:rsid w:val="00A65AA6"/>
    <w:rsid w:val="00A6649F"/>
    <w:rsid w:val="00A746D0"/>
    <w:rsid w:val="00A835D8"/>
    <w:rsid w:val="00A83B8F"/>
    <w:rsid w:val="00A85BF0"/>
    <w:rsid w:val="00A868FF"/>
    <w:rsid w:val="00A90254"/>
    <w:rsid w:val="00A90ECB"/>
    <w:rsid w:val="00A91C6D"/>
    <w:rsid w:val="00A95CE5"/>
    <w:rsid w:val="00A968B6"/>
    <w:rsid w:val="00AA0B57"/>
    <w:rsid w:val="00AA1B7A"/>
    <w:rsid w:val="00AA467E"/>
    <w:rsid w:val="00AB2FD6"/>
    <w:rsid w:val="00AB699C"/>
    <w:rsid w:val="00AC08C1"/>
    <w:rsid w:val="00AC2328"/>
    <w:rsid w:val="00AC4096"/>
    <w:rsid w:val="00AC7C67"/>
    <w:rsid w:val="00AC7FE5"/>
    <w:rsid w:val="00AD5075"/>
    <w:rsid w:val="00AE006B"/>
    <w:rsid w:val="00AE5653"/>
    <w:rsid w:val="00AE570A"/>
    <w:rsid w:val="00AF663F"/>
    <w:rsid w:val="00B03BA8"/>
    <w:rsid w:val="00B03D63"/>
    <w:rsid w:val="00B05063"/>
    <w:rsid w:val="00B05C7B"/>
    <w:rsid w:val="00B12D11"/>
    <w:rsid w:val="00B153E0"/>
    <w:rsid w:val="00B179B7"/>
    <w:rsid w:val="00B20427"/>
    <w:rsid w:val="00B20634"/>
    <w:rsid w:val="00B21AA1"/>
    <w:rsid w:val="00B2636B"/>
    <w:rsid w:val="00B30074"/>
    <w:rsid w:val="00B37EDA"/>
    <w:rsid w:val="00B40B73"/>
    <w:rsid w:val="00B50EEF"/>
    <w:rsid w:val="00B57FAB"/>
    <w:rsid w:val="00B6406C"/>
    <w:rsid w:val="00B643DD"/>
    <w:rsid w:val="00B812D9"/>
    <w:rsid w:val="00B8653D"/>
    <w:rsid w:val="00B86882"/>
    <w:rsid w:val="00B86BF4"/>
    <w:rsid w:val="00B878AD"/>
    <w:rsid w:val="00B90012"/>
    <w:rsid w:val="00BA0BCB"/>
    <w:rsid w:val="00BA0E1A"/>
    <w:rsid w:val="00BA1D38"/>
    <w:rsid w:val="00BB03F9"/>
    <w:rsid w:val="00BB261F"/>
    <w:rsid w:val="00BB5E07"/>
    <w:rsid w:val="00BC2423"/>
    <w:rsid w:val="00BC31CC"/>
    <w:rsid w:val="00BD3925"/>
    <w:rsid w:val="00BD446F"/>
    <w:rsid w:val="00BD56E6"/>
    <w:rsid w:val="00BE05A2"/>
    <w:rsid w:val="00BE2058"/>
    <w:rsid w:val="00BE3EA3"/>
    <w:rsid w:val="00BE5934"/>
    <w:rsid w:val="00BE7349"/>
    <w:rsid w:val="00C014FA"/>
    <w:rsid w:val="00C02073"/>
    <w:rsid w:val="00C02296"/>
    <w:rsid w:val="00C033F7"/>
    <w:rsid w:val="00C1115F"/>
    <w:rsid w:val="00C11C15"/>
    <w:rsid w:val="00C17C77"/>
    <w:rsid w:val="00C201F7"/>
    <w:rsid w:val="00C2292E"/>
    <w:rsid w:val="00C2449C"/>
    <w:rsid w:val="00C32572"/>
    <w:rsid w:val="00C35610"/>
    <w:rsid w:val="00C4022E"/>
    <w:rsid w:val="00C419D2"/>
    <w:rsid w:val="00C41F68"/>
    <w:rsid w:val="00C44239"/>
    <w:rsid w:val="00C47E3D"/>
    <w:rsid w:val="00C5110B"/>
    <w:rsid w:val="00C52DE5"/>
    <w:rsid w:val="00C56679"/>
    <w:rsid w:val="00C62D78"/>
    <w:rsid w:val="00C656A1"/>
    <w:rsid w:val="00C660EE"/>
    <w:rsid w:val="00C74E11"/>
    <w:rsid w:val="00C80204"/>
    <w:rsid w:val="00C81889"/>
    <w:rsid w:val="00C915A5"/>
    <w:rsid w:val="00CA0575"/>
    <w:rsid w:val="00CA3F3F"/>
    <w:rsid w:val="00CA7B5D"/>
    <w:rsid w:val="00CB06EB"/>
    <w:rsid w:val="00CC0BD6"/>
    <w:rsid w:val="00CC1217"/>
    <w:rsid w:val="00CC5691"/>
    <w:rsid w:val="00CC5A28"/>
    <w:rsid w:val="00CD2662"/>
    <w:rsid w:val="00CD5484"/>
    <w:rsid w:val="00CD7183"/>
    <w:rsid w:val="00CF00EC"/>
    <w:rsid w:val="00D01395"/>
    <w:rsid w:val="00D04E47"/>
    <w:rsid w:val="00D11938"/>
    <w:rsid w:val="00D21254"/>
    <w:rsid w:val="00D25149"/>
    <w:rsid w:val="00D27C68"/>
    <w:rsid w:val="00D31968"/>
    <w:rsid w:val="00D37F53"/>
    <w:rsid w:val="00D4428C"/>
    <w:rsid w:val="00D45C3A"/>
    <w:rsid w:val="00D50400"/>
    <w:rsid w:val="00D50E11"/>
    <w:rsid w:val="00D530E3"/>
    <w:rsid w:val="00D616F3"/>
    <w:rsid w:val="00D64AED"/>
    <w:rsid w:val="00D64D2E"/>
    <w:rsid w:val="00D729C4"/>
    <w:rsid w:val="00D80824"/>
    <w:rsid w:val="00D918E5"/>
    <w:rsid w:val="00D92E2F"/>
    <w:rsid w:val="00DA021D"/>
    <w:rsid w:val="00DA1B7A"/>
    <w:rsid w:val="00DA2943"/>
    <w:rsid w:val="00DA4DDA"/>
    <w:rsid w:val="00DA7340"/>
    <w:rsid w:val="00DB3455"/>
    <w:rsid w:val="00DB4919"/>
    <w:rsid w:val="00DC59D2"/>
    <w:rsid w:val="00DD03D0"/>
    <w:rsid w:val="00DE003B"/>
    <w:rsid w:val="00DE09B8"/>
    <w:rsid w:val="00DE4FD1"/>
    <w:rsid w:val="00DF0B23"/>
    <w:rsid w:val="00DF1ABB"/>
    <w:rsid w:val="00DF5289"/>
    <w:rsid w:val="00E07207"/>
    <w:rsid w:val="00E10D49"/>
    <w:rsid w:val="00E138DA"/>
    <w:rsid w:val="00E14F0C"/>
    <w:rsid w:val="00E226AC"/>
    <w:rsid w:val="00E23050"/>
    <w:rsid w:val="00E30B0B"/>
    <w:rsid w:val="00E31642"/>
    <w:rsid w:val="00E340AC"/>
    <w:rsid w:val="00E346FF"/>
    <w:rsid w:val="00E4090F"/>
    <w:rsid w:val="00E52122"/>
    <w:rsid w:val="00E61A3A"/>
    <w:rsid w:val="00E65020"/>
    <w:rsid w:val="00E65AFE"/>
    <w:rsid w:val="00E666D1"/>
    <w:rsid w:val="00E72233"/>
    <w:rsid w:val="00E744CB"/>
    <w:rsid w:val="00E74828"/>
    <w:rsid w:val="00E76A7C"/>
    <w:rsid w:val="00E83B32"/>
    <w:rsid w:val="00E862BB"/>
    <w:rsid w:val="00E87FC2"/>
    <w:rsid w:val="00E92770"/>
    <w:rsid w:val="00E9386E"/>
    <w:rsid w:val="00EA04E9"/>
    <w:rsid w:val="00EA2042"/>
    <w:rsid w:val="00EC70A6"/>
    <w:rsid w:val="00EC7F80"/>
    <w:rsid w:val="00ED3A3D"/>
    <w:rsid w:val="00EE19B5"/>
    <w:rsid w:val="00EE2077"/>
    <w:rsid w:val="00EE39BE"/>
    <w:rsid w:val="00EE4503"/>
    <w:rsid w:val="00EE756F"/>
    <w:rsid w:val="00EF154C"/>
    <w:rsid w:val="00EF21EB"/>
    <w:rsid w:val="00EF3D4B"/>
    <w:rsid w:val="00F000BD"/>
    <w:rsid w:val="00F05F55"/>
    <w:rsid w:val="00F061DB"/>
    <w:rsid w:val="00F0656B"/>
    <w:rsid w:val="00F100DB"/>
    <w:rsid w:val="00F1583B"/>
    <w:rsid w:val="00F172F6"/>
    <w:rsid w:val="00F2334C"/>
    <w:rsid w:val="00F23BA4"/>
    <w:rsid w:val="00F26922"/>
    <w:rsid w:val="00F311AC"/>
    <w:rsid w:val="00F37441"/>
    <w:rsid w:val="00F426D0"/>
    <w:rsid w:val="00F45DC2"/>
    <w:rsid w:val="00F476E0"/>
    <w:rsid w:val="00F523B1"/>
    <w:rsid w:val="00F56E63"/>
    <w:rsid w:val="00F61768"/>
    <w:rsid w:val="00F621B7"/>
    <w:rsid w:val="00F64F9B"/>
    <w:rsid w:val="00F7012B"/>
    <w:rsid w:val="00F76C58"/>
    <w:rsid w:val="00F80A2C"/>
    <w:rsid w:val="00F80E6B"/>
    <w:rsid w:val="00F824AD"/>
    <w:rsid w:val="00F869E0"/>
    <w:rsid w:val="00F90F44"/>
    <w:rsid w:val="00F95807"/>
    <w:rsid w:val="00F95A9B"/>
    <w:rsid w:val="00F962C0"/>
    <w:rsid w:val="00FA5DD7"/>
    <w:rsid w:val="00FA7DE6"/>
    <w:rsid w:val="00FB05E9"/>
    <w:rsid w:val="00FB29B6"/>
    <w:rsid w:val="00FB406F"/>
    <w:rsid w:val="00FB4796"/>
    <w:rsid w:val="00FC0353"/>
    <w:rsid w:val="00FE34C3"/>
    <w:rsid w:val="00FE47D3"/>
    <w:rsid w:val="00FE5249"/>
    <w:rsid w:val="00FE5C66"/>
    <w:rsid w:val="00FE61E6"/>
    <w:rsid w:val="00FF3389"/>
    <w:rsid w:val="00FF48DC"/>
    <w:rsid w:val="00FF54FA"/>
    <w:rsid w:val="0EEA2E62"/>
    <w:rsid w:val="20FF8A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357FC"/>
  <w15:docId w15:val="{16E03B49-F531-4D9B-9557-D9B8167B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4F23"/>
    <w:pPr>
      <w:spacing w:after="0" w:line="360" w:lineRule="auto"/>
    </w:pPr>
    <w:rPr>
      <w:rFonts w:ascii="Arial" w:hAnsi="Arial"/>
    </w:rPr>
  </w:style>
  <w:style w:type="paragraph" w:styleId="berschrift1">
    <w:name w:val="heading 1"/>
    <w:basedOn w:val="Standard"/>
    <w:next w:val="Standard"/>
    <w:link w:val="berschrift1Zchn"/>
    <w:autoRedefine/>
    <w:uiPriority w:val="9"/>
    <w:rsid w:val="00FB29B6"/>
    <w:pPr>
      <w:keepNext/>
      <w:keepLines/>
      <w:numPr>
        <w:numId w:val="27"/>
      </w:numPr>
      <w:spacing w:after="120"/>
      <w:jc w:val="both"/>
      <w:outlineLvl w:val="0"/>
    </w:pPr>
    <w:rPr>
      <w:rFonts w:eastAsiaTheme="majorEastAsia" w:cstheme="majorBidi"/>
      <w:b/>
      <w:bCs/>
      <w:sz w:val="32"/>
      <w:szCs w:val="32"/>
    </w:rPr>
  </w:style>
  <w:style w:type="paragraph" w:styleId="berschrift2">
    <w:name w:val="heading 2"/>
    <w:basedOn w:val="Standard"/>
    <w:next w:val="Standard"/>
    <w:link w:val="berschrift2Zchn"/>
    <w:uiPriority w:val="9"/>
    <w:unhideWhenUsed/>
    <w:rsid w:val="00FB29B6"/>
    <w:pPr>
      <w:keepNext/>
      <w:keepLines/>
      <w:numPr>
        <w:ilvl w:val="1"/>
        <w:numId w:val="27"/>
      </w:numPr>
      <w:outlineLvl w:val="1"/>
    </w:pPr>
    <w:rPr>
      <w:rFonts w:eastAsiaTheme="majorEastAsia" w:cstheme="majorBidi"/>
      <w:b/>
      <w:bCs/>
      <w:sz w:val="28"/>
      <w:szCs w:val="26"/>
      <w:shd w:val="clear" w:color="auto" w:fill="FFFFFF"/>
    </w:rPr>
  </w:style>
  <w:style w:type="paragraph" w:styleId="berschrift3">
    <w:name w:val="heading 3"/>
    <w:basedOn w:val="Standard"/>
    <w:next w:val="Standard"/>
    <w:link w:val="berschrift3Zchn"/>
    <w:uiPriority w:val="9"/>
    <w:unhideWhenUsed/>
    <w:qFormat/>
    <w:rsid w:val="006C61B6"/>
    <w:pPr>
      <w:keepNext/>
      <w:keepLines/>
      <w:numPr>
        <w:ilvl w:val="2"/>
        <w:numId w:val="27"/>
      </w:numPr>
      <w:outlineLvl w:val="2"/>
    </w:pPr>
    <w:rPr>
      <w:rFonts w:eastAsiaTheme="majorEastAsia" w:cstheme="majorBidi"/>
      <w:b/>
      <w:bCs/>
      <w:sz w:val="24"/>
    </w:rPr>
  </w:style>
  <w:style w:type="paragraph" w:styleId="berschrift4">
    <w:name w:val="heading 4"/>
    <w:basedOn w:val="Standard"/>
    <w:next w:val="Standard"/>
    <w:link w:val="berschrift4Zchn"/>
    <w:uiPriority w:val="9"/>
    <w:unhideWhenUsed/>
    <w:rsid w:val="006734E1"/>
    <w:pPr>
      <w:keepNext/>
      <w:keepLines/>
      <w:numPr>
        <w:ilvl w:val="3"/>
        <w:numId w:val="27"/>
      </w:numPr>
      <w:spacing w:before="40"/>
      <w:outlineLvl w:val="3"/>
    </w:pPr>
    <w:rPr>
      <w:rFonts w:eastAsiaTheme="majorEastAsia" w:cstheme="majorBidi"/>
      <w:b/>
      <w:iCs/>
      <w:sz w:val="26"/>
    </w:rPr>
  </w:style>
  <w:style w:type="paragraph" w:styleId="berschrift5">
    <w:name w:val="heading 5"/>
    <w:basedOn w:val="Standard"/>
    <w:next w:val="Standard"/>
    <w:link w:val="berschrift5Zchn"/>
    <w:uiPriority w:val="9"/>
    <w:unhideWhenUsed/>
    <w:rsid w:val="00C1115F"/>
    <w:pPr>
      <w:keepNext/>
      <w:keepLines/>
      <w:numPr>
        <w:ilvl w:val="4"/>
        <w:numId w:val="27"/>
      </w:numPr>
      <w:spacing w:before="40"/>
      <w:outlineLvl w:val="4"/>
    </w:pPr>
    <w:rPr>
      <w:rFonts w:eastAsiaTheme="majorEastAsia" w:cstheme="majorBidi"/>
      <w:b/>
      <w:color w:val="000000" w:themeColor="text1"/>
      <w:sz w:val="26"/>
    </w:rPr>
  </w:style>
  <w:style w:type="paragraph" w:styleId="berschrift6">
    <w:name w:val="heading 6"/>
    <w:basedOn w:val="Standard"/>
    <w:next w:val="Standard"/>
    <w:link w:val="berschrift6Zchn"/>
    <w:uiPriority w:val="9"/>
    <w:semiHidden/>
    <w:unhideWhenUsed/>
    <w:rsid w:val="006C61B6"/>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61B6"/>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61B6"/>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61B6"/>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59D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59D2"/>
  </w:style>
  <w:style w:type="paragraph" w:styleId="Fuzeile">
    <w:name w:val="footer"/>
    <w:basedOn w:val="Standard"/>
    <w:link w:val="FuzeileZchn"/>
    <w:uiPriority w:val="99"/>
    <w:unhideWhenUsed/>
    <w:rsid w:val="00DC59D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59D2"/>
  </w:style>
  <w:style w:type="paragraph" w:styleId="Sprechblasentext">
    <w:name w:val="Balloon Text"/>
    <w:basedOn w:val="Standard"/>
    <w:link w:val="SprechblasentextZchn"/>
    <w:uiPriority w:val="99"/>
    <w:semiHidden/>
    <w:unhideWhenUsed/>
    <w:rsid w:val="00DC59D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59D2"/>
    <w:rPr>
      <w:rFonts w:ascii="Tahoma" w:hAnsi="Tahoma" w:cs="Tahoma"/>
      <w:sz w:val="16"/>
      <w:szCs w:val="16"/>
    </w:rPr>
  </w:style>
  <w:style w:type="paragraph" w:customStyle="1" w:styleId="PFOPI">
    <w:name w:val="PFO_PI"/>
    <w:basedOn w:val="Standard"/>
    <w:qFormat/>
    <w:rsid w:val="00405295"/>
    <w:rPr>
      <w:sz w:val="28"/>
      <w:szCs w:val="36"/>
    </w:rPr>
  </w:style>
  <w:style w:type="character" w:customStyle="1" w:styleId="berschrift1Zchn">
    <w:name w:val="Überschrift 1 Zchn"/>
    <w:basedOn w:val="Absatz-Standardschriftart"/>
    <w:link w:val="berschrift1"/>
    <w:uiPriority w:val="9"/>
    <w:rsid w:val="00FB29B6"/>
    <w:rPr>
      <w:rFonts w:ascii="Arial" w:eastAsiaTheme="majorEastAsia" w:hAnsi="Arial" w:cstheme="majorBidi"/>
      <w:b/>
      <w:bCs/>
      <w:sz w:val="32"/>
      <w:szCs w:val="32"/>
    </w:rPr>
  </w:style>
  <w:style w:type="character" w:customStyle="1" w:styleId="berschrift2Zchn">
    <w:name w:val="Überschrift 2 Zchn"/>
    <w:basedOn w:val="Absatz-Standardschriftart"/>
    <w:link w:val="berschrift2"/>
    <w:uiPriority w:val="9"/>
    <w:rsid w:val="00FB29B6"/>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6C61B6"/>
    <w:rPr>
      <w:rFonts w:ascii="Arial" w:eastAsiaTheme="majorEastAsia" w:hAnsi="Arial" w:cstheme="majorBidi"/>
      <w:b/>
      <w:bCs/>
      <w:sz w:val="24"/>
    </w:rPr>
  </w:style>
  <w:style w:type="paragraph" w:styleId="Untertitel">
    <w:name w:val="Subtitle"/>
    <w:basedOn w:val="Standard"/>
    <w:next w:val="Standard"/>
    <w:link w:val="UntertitelZchn"/>
    <w:uiPriority w:val="11"/>
    <w:qFormat/>
    <w:rsid w:val="00624F23"/>
    <w:pPr>
      <w:numPr>
        <w:ilvl w:val="1"/>
      </w:numPr>
      <w:spacing w:before="120"/>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624F23"/>
    <w:rPr>
      <w:rFonts w:ascii="Arial" w:eastAsiaTheme="majorEastAsia" w:hAnsi="Arial" w:cstheme="majorBidi"/>
      <w:b/>
      <w:iCs/>
      <w:spacing w:val="15"/>
      <w:szCs w:val="24"/>
    </w:rPr>
  </w:style>
  <w:style w:type="paragraph" w:styleId="Verzeichnis2">
    <w:name w:val="toc 2"/>
    <w:basedOn w:val="Standard"/>
    <w:next w:val="Standard"/>
    <w:autoRedefine/>
    <w:uiPriority w:val="39"/>
    <w:unhideWhenUsed/>
    <w:rsid w:val="00A454A0"/>
    <w:pPr>
      <w:spacing w:after="100"/>
      <w:ind w:left="220"/>
    </w:pPr>
  </w:style>
  <w:style w:type="paragraph" w:styleId="Verzeichnis1">
    <w:name w:val="toc 1"/>
    <w:basedOn w:val="Standard"/>
    <w:next w:val="Standard"/>
    <w:autoRedefine/>
    <w:uiPriority w:val="39"/>
    <w:unhideWhenUsed/>
    <w:rsid w:val="006C61B6"/>
    <w:pPr>
      <w:tabs>
        <w:tab w:val="left" w:pos="440"/>
        <w:tab w:val="right" w:leader="dot" w:pos="9062"/>
      </w:tabs>
      <w:spacing w:after="100"/>
    </w:pPr>
  </w:style>
  <w:style w:type="paragraph" w:styleId="Verzeichnis3">
    <w:name w:val="toc 3"/>
    <w:basedOn w:val="Standard"/>
    <w:next w:val="Standard"/>
    <w:autoRedefine/>
    <w:uiPriority w:val="39"/>
    <w:unhideWhenUsed/>
    <w:rsid w:val="00A454A0"/>
    <w:pPr>
      <w:spacing w:after="100"/>
      <w:ind w:left="440"/>
    </w:pPr>
  </w:style>
  <w:style w:type="character" w:styleId="Hyperlink">
    <w:name w:val="Hyperlink"/>
    <w:basedOn w:val="Absatz-Standardschriftart"/>
    <w:uiPriority w:val="99"/>
    <w:unhideWhenUsed/>
    <w:rsid w:val="00A454A0"/>
    <w:rPr>
      <w:color w:val="0000FF" w:themeColor="hyperlink"/>
      <w:u w:val="single"/>
    </w:rPr>
  </w:style>
  <w:style w:type="paragraph" w:styleId="Listenabsatz">
    <w:name w:val="List Paragraph"/>
    <w:basedOn w:val="Standard"/>
    <w:uiPriority w:val="34"/>
    <w:qFormat/>
    <w:rsid w:val="00A454A0"/>
    <w:pPr>
      <w:ind w:left="720"/>
      <w:contextualSpacing/>
    </w:pPr>
  </w:style>
  <w:style w:type="table" w:styleId="Tabellenraster">
    <w:name w:val="Table Grid"/>
    <w:basedOn w:val="NormaleTabelle"/>
    <w:uiPriority w:val="39"/>
    <w:rsid w:val="00A4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86597F"/>
  </w:style>
  <w:style w:type="paragraph" w:styleId="Beschriftung">
    <w:name w:val="caption"/>
    <w:basedOn w:val="Standard"/>
    <w:next w:val="Standard"/>
    <w:uiPriority w:val="35"/>
    <w:unhideWhenUsed/>
    <w:qFormat/>
    <w:rsid w:val="0086597F"/>
    <w:pPr>
      <w:spacing w:after="200" w:line="240" w:lineRule="auto"/>
    </w:pPr>
    <w:rPr>
      <w:b/>
      <w:bCs/>
      <w:color w:val="4F81BD" w:themeColor="accent1"/>
      <w:sz w:val="18"/>
      <w:szCs w:val="18"/>
    </w:rPr>
  </w:style>
  <w:style w:type="paragraph" w:styleId="Funotentext">
    <w:name w:val="footnote text"/>
    <w:basedOn w:val="Standard"/>
    <w:link w:val="FunotentextZchn"/>
    <w:uiPriority w:val="99"/>
    <w:unhideWhenUsed/>
    <w:rsid w:val="00860F1B"/>
    <w:pPr>
      <w:spacing w:line="240" w:lineRule="auto"/>
    </w:pPr>
    <w:rPr>
      <w:sz w:val="20"/>
      <w:szCs w:val="20"/>
    </w:rPr>
  </w:style>
  <w:style w:type="character" w:customStyle="1" w:styleId="FunotentextZchn">
    <w:name w:val="Fußnotentext Zchn"/>
    <w:basedOn w:val="Absatz-Standardschriftart"/>
    <w:link w:val="Funotentext"/>
    <w:uiPriority w:val="99"/>
    <w:rsid w:val="00860F1B"/>
    <w:rPr>
      <w:rFonts w:ascii="Arial" w:hAnsi="Arial"/>
      <w:sz w:val="20"/>
      <w:szCs w:val="20"/>
    </w:rPr>
  </w:style>
  <w:style w:type="character" w:styleId="Funotenzeichen">
    <w:name w:val="footnote reference"/>
    <w:basedOn w:val="Absatz-Standardschriftart"/>
    <w:uiPriority w:val="99"/>
    <w:semiHidden/>
    <w:unhideWhenUsed/>
    <w:rsid w:val="00860F1B"/>
    <w:rPr>
      <w:vertAlign w:val="superscript"/>
    </w:rPr>
  </w:style>
  <w:style w:type="paragraph" w:styleId="Abbildungsverzeichnis">
    <w:name w:val="table of figures"/>
    <w:basedOn w:val="Standard"/>
    <w:next w:val="Standard"/>
    <w:uiPriority w:val="99"/>
    <w:unhideWhenUsed/>
    <w:rsid w:val="009A4833"/>
    <w:rPr>
      <w:rFonts w:asciiTheme="minorHAnsi" w:hAnsiTheme="minorHAnsi" w:cstheme="minorHAnsi"/>
      <w:i/>
      <w:iCs/>
      <w:sz w:val="20"/>
      <w:szCs w:val="20"/>
    </w:rPr>
  </w:style>
  <w:style w:type="character" w:styleId="NichtaufgelsteErwhnung">
    <w:name w:val="Unresolved Mention"/>
    <w:basedOn w:val="Absatz-Standardschriftart"/>
    <w:uiPriority w:val="99"/>
    <w:semiHidden/>
    <w:unhideWhenUsed/>
    <w:rsid w:val="00124080"/>
    <w:rPr>
      <w:color w:val="605E5C"/>
      <w:shd w:val="clear" w:color="auto" w:fill="E1DFDD"/>
    </w:rPr>
  </w:style>
  <w:style w:type="character" w:customStyle="1" w:styleId="berschrift4Zchn">
    <w:name w:val="Überschrift 4 Zchn"/>
    <w:basedOn w:val="Absatz-Standardschriftart"/>
    <w:link w:val="berschrift4"/>
    <w:uiPriority w:val="9"/>
    <w:rsid w:val="006734E1"/>
    <w:rPr>
      <w:rFonts w:ascii="Arial" w:eastAsiaTheme="majorEastAsia" w:hAnsi="Arial" w:cstheme="majorBidi"/>
      <w:b/>
      <w:iCs/>
      <w:sz w:val="26"/>
    </w:rPr>
  </w:style>
  <w:style w:type="character" w:customStyle="1" w:styleId="berschrift5Zchn">
    <w:name w:val="Überschrift 5 Zchn"/>
    <w:basedOn w:val="Absatz-Standardschriftart"/>
    <w:link w:val="berschrift5"/>
    <w:uiPriority w:val="9"/>
    <w:rsid w:val="00C1115F"/>
    <w:rPr>
      <w:rFonts w:ascii="Arial" w:eastAsiaTheme="majorEastAsia" w:hAnsi="Arial" w:cstheme="majorBidi"/>
      <w:b/>
      <w:color w:val="000000" w:themeColor="text1"/>
      <w:sz w:val="26"/>
    </w:rPr>
  </w:style>
  <w:style w:type="paragraph" w:styleId="Inhaltsverzeichnisberschrift">
    <w:name w:val="TOC Heading"/>
    <w:basedOn w:val="berschrift1"/>
    <w:next w:val="Standard"/>
    <w:uiPriority w:val="39"/>
    <w:unhideWhenUsed/>
    <w:qFormat/>
    <w:rsid w:val="006734E1"/>
    <w:pPr>
      <w:numPr>
        <w:numId w:val="0"/>
      </w:numPr>
      <w:spacing w:before="240" w:line="259" w:lineRule="auto"/>
      <w:outlineLvl w:val="9"/>
    </w:pPr>
    <w:rPr>
      <w:rFonts w:asciiTheme="majorHAnsi" w:hAnsiTheme="majorHAnsi"/>
      <w:b w:val="0"/>
      <w:bCs w:val="0"/>
      <w:color w:val="365F91" w:themeColor="accent1" w:themeShade="BF"/>
      <w:lang w:eastAsia="de-AT"/>
    </w:rPr>
  </w:style>
  <w:style w:type="character" w:customStyle="1" w:styleId="berschrift6Zchn">
    <w:name w:val="Überschrift 6 Zchn"/>
    <w:basedOn w:val="Absatz-Standardschriftart"/>
    <w:link w:val="berschrift6"/>
    <w:uiPriority w:val="9"/>
    <w:semiHidden/>
    <w:rsid w:val="006C61B6"/>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C61B6"/>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C61B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61B6"/>
    <w:rPr>
      <w:rFonts w:asciiTheme="majorHAnsi" w:eastAsiaTheme="majorEastAsia" w:hAnsiTheme="majorHAnsi" w:cstheme="majorBidi"/>
      <w:i/>
      <w:iCs/>
      <w:color w:val="272727" w:themeColor="text1" w:themeTint="D8"/>
      <w:sz w:val="21"/>
      <w:szCs w:val="21"/>
    </w:rPr>
  </w:style>
  <w:style w:type="character" w:styleId="BesuchterLink">
    <w:name w:val="FollowedHyperlink"/>
    <w:basedOn w:val="Absatz-Standardschriftart"/>
    <w:uiPriority w:val="99"/>
    <w:semiHidden/>
    <w:unhideWhenUsed/>
    <w:rsid w:val="00BA0BCB"/>
    <w:rPr>
      <w:color w:val="800080" w:themeColor="followedHyperlink"/>
      <w:u w:val="single"/>
    </w:rPr>
  </w:style>
  <w:style w:type="paragraph" w:styleId="Endnotentext">
    <w:name w:val="endnote text"/>
    <w:basedOn w:val="Standard"/>
    <w:link w:val="EndnotentextZchn"/>
    <w:uiPriority w:val="99"/>
    <w:semiHidden/>
    <w:unhideWhenUsed/>
    <w:rsid w:val="00F64F9B"/>
    <w:pPr>
      <w:spacing w:line="240" w:lineRule="auto"/>
    </w:pPr>
    <w:rPr>
      <w:sz w:val="20"/>
      <w:szCs w:val="20"/>
    </w:rPr>
  </w:style>
  <w:style w:type="character" w:customStyle="1" w:styleId="EndnotentextZchn">
    <w:name w:val="Endnotentext Zchn"/>
    <w:basedOn w:val="Absatz-Standardschriftart"/>
    <w:link w:val="Endnotentext"/>
    <w:uiPriority w:val="99"/>
    <w:semiHidden/>
    <w:rsid w:val="00F64F9B"/>
    <w:rPr>
      <w:rFonts w:ascii="Arial" w:hAnsi="Arial"/>
      <w:sz w:val="20"/>
      <w:szCs w:val="20"/>
    </w:rPr>
  </w:style>
  <w:style w:type="character" w:styleId="Endnotenzeichen">
    <w:name w:val="endnote reference"/>
    <w:basedOn w:val="Absatz-Standardschriftart"/>
    <w:uiPriority w:val="99"/>
    <w:semiHidden/>
    <w:unhideWhenUsed/>
    <w:rsid w:val="00F64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1722">
      <w:bodyDiv w:val="1"/>
      <w:marLeft w:val="0"/>
      <w:marRight w:val="0"/>
      <w:marTop w:val="0"/>
      <w:marBottom w:val="0"/>
      <w:divBdr>
        <w:top w:val="none" w:sz="0" w:space="0" w:color="auto"/>
        <w:left w:val="none" w:sz="0" w:space="0" w:color="auto"/>
        <w:bottom w:val="none" w:sz="0" w:space="0" w:color="auto"/>
        <w:right w:val="none" w:sz="0" w:space="0" w:color="auto"/>
      </w:divBdr>
      <w:divsChild>
        <w:div w:id="885678642">
          <w:marLeft w:val="0"/>
          <w:marRight w:val="0"/>
          <w:marTop w:val="0"/>
          <w:marBottom w:val="0"/>
          <w:divBdr>
            <w:top w:val="none" w:sz="0" w:space="0" w:color="auto"/>
            <w:left w:val="none" w:sz="0" w:space="0" w:color="auto"/>
            <w:bottom w:val="none" w:sz="0" w:space="0" w:color="auto"/>
            <w:right w:val="none" w:sz="0" w:space="0" w:color="auto"/>
          </w:divBdr>
          <w:divsChild>
            <w:div w:id="571737947">
              <w:marLeft w:val="0"/>
              <w:marRight w:val="0"/>
              <w:marTop w:val="0"/>
              <w:marBottom w:val="0"/>
              <w:divBdr>
                <w:top w:val="none" w:sz="0" w:space="0" w:color="auto"/>
                <w:left w:val="none" w:sz="0" w:space="0" w:color="auto"/>
                <w:bottom w:val="none" w:sz="0" w:space="0" w:color="auto"/>
                <w:right w:val="none" w:sz="0" w:space="0" w:color="auto"/>
              </w:divBdr>
              <w:divsChild>
                <w:div w:id="1117682074">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687222898">
          <w:marLeft w:val="302"/>
          <w:marRight w:val="0"/>
          <w:marTop w:val="0"/>
          <w:marBottom w:val="0"/>
          <w:divBdr>
            <w:top w:val="none" w:sz="0" w:space="0" w:color="auto"/>
            <w:left w:val="none" w:sz="0" w:space="0" w:color="auto"/>
            <w:bottom w:val="none" w:sz="0" w:space="0" w:color="auto"/>
            <w:right w:val="none" w:sz="0" w:space="0" w:color="auto"/>
          </w:divBdr>
          <w:divsChild>
            <w:div w:id="758450504">
              <w:marLeft w:val="0"/>
              <w:marRight w:val="0"/>
              <w:marTop w:val="0"/>
              <w:marBottom w:val="0"/>
              <w:divBdr>
                <w:top w:val="single" w:sz="24" w:space="4" w:color="EEEEEE"/>
                <w:left w:val="single" w:sz="24" w:space="5" w:color="EEEEEE"/>
                <w:bottom w:val="single" w:sz="24" w:space="4" w:color="EEEEEE"/>
                <w:right w:val="single" w:sz="24" w:space="5" w:color="EEEEEE"/>
              </w:divBdr>
              <w:divsChild>
                <w:div w:id="1037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2205">
      <w:bodyDiv w:val="1"/>
      <w:marLeft w:val="0"/>
      <w:marRight w:val="0"/>
      <w:marTop w:val="0"/>
      <w:marBottom w:val="0"/>
      <w:divBdr>
        <w:top w:val="none" w:sz="0" w:space="0" w:color="auto"/>
        <w:left w:val="none" w:sz="0" w:space="0" w:color="auto"/>
        <w:bottom w:val="none" w:sz="0" w:space="0" w:color="auto"/>
        <w:right w:val="none" w:sz="0" w:space="0" w:color="auto"/>
      </w:divBdr>
    </w:div>
    <w:div w:id="785468579">
      <w:bodyDiv w:val="1"/>
      <w:marLeft w:val="0"/>
      <w:marRight w:val="0"/>
      <w:marTop w:val="0"/>
      <w:marBottom w:val="0"/>
      <w:divBdr>
        <w:top w:val="none" w:sz="0" w:space="0" w:color="auto"/>
        <w:left w:val="none" w:sz="0" w:space="0" w:color="auto"/>
        <w:bottom w:val="none" w:sz="0" w:space="0" w:color="auto"/>
        <w:right w:val="none" w:sz="0" w:space="0" w:color="auto"/>
      </w:divBdr>
      <w:divsChild>
        <w:div w:id="1964840944">
          <w:marLeft w:val="0"/>
          <w:marRight w:val="0"/>
          <w:marTop w:val="0"/>
          <w:marBottom w:val="0"/>
          <w:divBdr>
            <w:top w:val="none" w:sz="0" w:space="0" w:color="auto"/>
            <w:left w:val="none" w:sz="0" w:space="0" w:color="auto"/>
            <w:bottom w:val="none" w:sz="0" w:space="0" w:color="auto"/>
            <w:right w:val="none" w:sz="0" w:space="0" w:color="auto"/>
          </w:divBdr>
          <w:divsChild>
            <w:div w:id="1417360304">
              <w:marLeft w:val="0"/>
              <w:marRight w:val="0"/>
              <w:marTop w:val="0"/>
              <w:marBottom w:val="0"/>
              <w:divBdr>
                <w:top w:val="none" w:sz="0" w:space="0" w:color="auto"/>
                <w:left w:val="none" w:sz="0" w:space="0" w:color="auto"/>
                <w:bottom w:val="none" w:sz="0" w:space="0" w:color="auto"/>
                <w:right w:val="none" w:sz="0" w:space="0" w:color="auto"/>
              </w:divBdr>
              <w:divsChild>
                <w:div w:id="357464248">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447240336">
          <w:marLeft w:val="302"/>
          <w:marRight w:val="0"/>
          <w:marTop w:val="0"/>
          <w:marBottom w:val="0"/>
          <w:divBdr>
            <w:top w:val="none" w:sz="0" w:space="0" w:color="auto"/>
            <w:left w:val="none" w:sz="0" w:space="0" w:color="auto"/>
            <w:bottom w:val="none" w:sz="0" w:space="0" w:color="auto"/>
            <w:right w:val="none" w:sz="0" w:space="0" w:color="auto"/>
          </w:divBdr>
          <w:divsChild>
            <w:div w:id="140660982">
              <w:marLeft w:val="0"/>
              <w:marRight w:val="0"/>
              <w:marTop w:val="0"/>
              <w:marBottom w:val="0"/>
              <w:divBdr>
                <w:top w:val="single" w:sz="24" w:space="4" w:color="EEEEEE"/>
                <w:left w:val="single" w:sz="24" w:space="5" w:color="EEEEEE"/>
                <w:bottom w:val="single" w:sz="24" w:space="4" w:color="EEEEEE"/>
                <w:right w:val="single" w:sz="24" w:space="5" w:color="EEEEEE"/>
              </w:divBdr>
              <w:divsChild>
                <w:div w:id="1850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5460">
      <w:bodyDiv w:val="1"/>
      <w:marLeft w:val="0"/>
      <w:marRight w:val="0"/>
      <w:marTop w:val="0"/>
      <w:marBottom w:val="0"/>
      <w:divBdr>
        <w:top w:val="none" w:sz="0" w:space="0" w:color="auto"/>
        <w:left w:val="none" w:sz="0" w:space="0" w:color="auto"/>
        <w:bottom w:val="none" w:sz="0" w:space="0" w:color="auto"/>
        <w:right w:val="none" w:sz="0" w:space="0" w:color="auto"/>
      </w:divBdr>
      <w:divsChild>
        <w:div w:id="1710062453">
          <w:marLeft w:val="0"/>
          <w:marRight w:val="0"/>
          <w:marTop w:val="0"/>
          <w:marBottom w:val="0"/>
          <w:divBdr>
            <w:top w:val="none" w:sz="0" w:space="0" w:color="auto"/>
            <w:left w:val="none" w:sz="0" w:space="0" w:color="auto"/>
            <w:bottom w:val="none" w:sz="0" w:space="0" w:color="auto"/>
            <w:right w:val="none" w:sz="0" w:space="0" w:color="auto"/>
          </w:divBdr>
          <w:divsChild>
            <w:div w:id="260384480">
              <w:marLeft w:val="0"/>
              <w:marRight w:val="0"/>
              <w:marTop w:val="0"/>
              <w:marBottom w:val="0"/>
              <w:divBdr>
                <w:top w:val="none" w:sz="0" w:space="0" w:color="auto"/>
                <w:left w:val="none" w:sz="0" w:space="0" w:color="auto"/>
                <w:bottom w:val="none" w:sz="0" w:space="0" w:color="auto"/>
                <w:right w:val="none" w:sz="0" w:space="0" w:color="auto"/>
              </w:divBdr>
              <w:divsChild>
                <w:div w:id="1508523646">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1661497446">
          <w:marLeft w:val="302"/>
          <w:marRight w:val="0"/>
          <w:marTop w:val="0"/>
          <w:marBottom w:val="0"/>
          <w:divBdr>
            <w:top w:val="none" w:sz="0" w:space="0" w:color="auto"/>
            <w:left w:val="none" w:sz="0" w:space="0" w:color="auto"/>
            <w:bottom w:val="none" w:sz="0" w:space="0" w:color="auto"/>
            <w:right w:val="none" w:sz="0" w:space="0" w:color="auto"/>
          </w:divBdr>
          <w:divsChild>
            <w:div w:id="129325368">
              <w:marLeft w:val="0"/>
              <w:marRight w:val="0"/>
              <w:marTop w:val="0"/>
              <w:marBottom w:val="0"/>
              <w:divBdr>
                <w:top w:val="single" w:sz="24" w:space="4" w:color="EEEEEE"/>
                <w:left w:val="single" w:sz="24" w:space="5" w:color="EEEEEE"/>
                <w:bottom w:val="single" w:sz="24" w:space="4" w:color="EEEEEE"/>
                <w:right w:val="single" w:sz="24" w:space="5" w:color="EEEEEE"/>
              </w:divBdr>
              <w:divsChild>
                <w:div w:id="18276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6297">
          <w:marLeft w:val="0"/>
          <w:marRight w:val="0"/>
          <w:marTop w:val="0"/>
          <w:marBottom w:val="0"/>
          <w:divBdr>
            <w:top w:val="none" w:sz="0" w:space="0" w:color="auto"/>
            <w:left w:val="none" w:sz="0" w:space="0" w:color="auto"/>
            <w:bottom w:val="none" w:sz="0" w:space="0" w:color="auto"/>
            <w:right w:val="none" w:sz="0" w:space="0" w:color="auto"/>
          </w:divBdr>
          <w:divsChild>
            <w:div w:id="1914851384">
              <w:marLeft w:val="0"/>
              <w:marRight w:val="0"/>
              <w:marTop w:val="0"/>
              <w:marBottom w:val="0"/>
              <w:divBdr>
                <w:top w:val="none" w:sz="0" w:space="0" w:color="auto"/>
                <w:left w:val="none" w:sz="0" w:space="0" w:color="auto"/>
                <w:bottom w:val="none" w:sz="0" w:space="0" w:color="auto"/>
                <w:right w:val="none" w:sz="0" w:space="0" w:color="auto"/>
              </w:divBdr>
              <w:divsChild>
                <w:div w:id="1079596801">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323053911">
          <w:marLeft w:val="302"/>
          <w:marRight w:val="0"/>
          <w:marTop w:val="0"/>
          <w:marBottom w:val="0"/>
          <w:divBdr>
            <w:top w:val="none" w:sz="0" w:space="0" w:color="auto"/>
            <w:left w:val="none" w:sz="0" w:space="0" w:color="auto"/>
            <w:bottom w:val="none" w:sz="0" w:space="0" w:color="auto"/>
            <w:right w:val="none" w:sz="0" w:space="0" w:color="auto"/>
          </w:divBdr>
          <w:divsChild>
            <w:div w:id="1365207798">
              <w:marLeft w:val="0"/>
              <w:marRight w:val="0"/>
              <w:marTop w:val="0"/>
              <w:marBottom w:val="0"/>
              <w:divBdr>
                <w:top w:val="single" w:sz="24" w:space="4" w:color="EEEEEE"/>
                <w:left w:val="single" w:sz="24" w:space="5" w:color="EEEEEE"/>
                <w:bottom w:val="single" w:sz="24" w:space="4" w:color="EEEEEE"/>
                <w:right w:val="single" w:sz="24" w:space="5" w:color="EEEEEE"/>
              </w:divBdr>
              <w:divsChild>
                <w:div w:id="1456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20055">
      <w:bodyDiv w:val="1"/>
      <w:marLeft w:val="0"/>
      <w:marRight w:val="0"/>
      <w:marTop w:val="0"/>
      <w:marBottom w:val="0"/>
      <w:divBdr>
        <w:top w:val="none" w:sz="0" w:space="0" w:color="auto"/>
        <w:left w:val="none" w:sz="0" w:space="0" w:color="auto"/>
        <w:bottom w:val="none" w:sz="0" w:space="0" w:color="auto"/>
        <w:right w:val="none" w:sz="0" w:space="0" w:color="auto"/>
      </w:divBdr>
    </w:div>
    <w:div w:id="1569459277">
      <w:bodyDiv w:val="1"/>
      <w:marLeft w:val="0"/>
      <w:marRight w:val="0"/>
      <w:marTop w:val="0"/>
      <w:marBottom w:val="0"/>
      <w:divBdr>
        <w:top w:val="none" w:sz="0" w:space="0" w:color="auto"/>
        <w:left w:val="none" w:sz="0" w:space="0" w:color="auto"/>
        <w:bottom w:val="none" w:sz="0" w:space="0" w:color="auto"/>
        <w:right w:val="none" w:sz="0" w:space="0" w:color="auto"/>
      </w:divBdr>
    </w:div>
    <w:div w:id="1804273532">
      <w:bodyDiv w:val="1"/>
      <w:marLeft w:val="0"/>
      <w:marRight w:val="0"/>
      <w:marTop w:val="0"/>
      <w:marBottom w:val="0"/>
      <w:divBdr>
        <w:top w:val="none" w:sz="0" w:space="0" w:color="auto"/>
        <w:left w:val="none" w:sz="0" w:space="0" w:color="auto"/>
        <w:bottom w:val="none" w:sz="0" w:space="0" w:color="auto"/>
        <w:right w:val="none" w:sz="0" w:space="0" w:color="auto"/>
      </w:divBdr>
      <w:divsChild>
        <w:div w:id="660423093">
          <w:marLeft w:val="0"/>
          <w:marRight w:val="0"/>
          <w:marTop w:val="0"/>
          <w:marBottom w:val="0"/>
          <w:divBdr>
            <w:top w:val="none" w:sz="0" w:space="0" w:color="auto"/>
            <w:left w:val="none" w:sz="0" w:space="0" w:color="auto"/>
            <w:bottom w:val="none" w:sz="0" w:space="0" w:color="auto"/>
            <w:right w:val="none" w:sz="0" w:space="0" w:color="auto"/>
          </w:divBdr>
          <w:divsChild>
            <w:div w:id="1040325641">
              <w:marLeft w:val="0"/>
              <w:marRight w:val="0"/>
              <w:marTop w:val="0"/>
              <w:marBottom w:val="0"/>
              <w:divBdr>
                <w:top w:val="none" w:sz="0" w:space="0" w:color="auto"/>
                <w:left w:val="none" w:sz="0" w:space="0" w:color="auto"/>
                <w:bottom w:val="none" w:sz="0" w:space="0" w:color="auto"/>
                <w:right w:val="none" w:sz="0" w:space="0" w:color="auto"/>
              </w:divBdr>
              <w:divsChild>
                <w:div w:id="697853557">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695539596">
          <w:marLeft w:val="302"/>
          <w:marRight w:val="0"/>
          <w:marTop w:val="0"/>
          <w:marBottom w:val="0"/>
          <w:divBdr>
            <w:top w:val="none" w:sz="0" w:space="0" w:color="auto"/>
            <w:left w:val="none" w:sz="0" w:space="0" w:color="auto"/>
            <w:bottom w:val="none" w:sz="0" w:space="0" w:color="auto"/>
            <w:right w:val="none" w:sz="0" w:space="0" w:color="auto"/>
          </w:divBdr>
          <w:divsChild>
            <w:div w:id="1405907440">
              <w:marLeft w:val="0"/>
              <w:marRight w:val="0"/>
              <w:marTop w:val="0"/>
              <w:marBottom w:val="0"/>
              <w:divBdr>
                <w:top w:val="single" w:sz="24" w:space="4" w:color="EEEEEE"/>
                <w:left w:val="single" w:sz="24" w:space="5" w:color="EEEEEE"/>
                <w:bottom w:val="single" w:sz="24" w:space="4" w:color="EEEEEE"/>
                <w:right w:val="single" w:sz="24" w:space="5" w:color="EEEEEE"/>
              </w:divBdr>
              <w:divsChild>
                <w:div w:id="14629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nkaustria.at/files/preise_dienstleistungen_de.pdf" TargetMode="External"/><Relationship Id="rId21" Type="http://schemas.openxmlformats.org/officeDocument/2006/relationships/hyperlink" Target="https://www.arbeiterkammer.at/beratung/arbeitundrecht/Arbeitszeit/Normalarbeitszeit/Normalarbeitszeit.html" TargetMode="External"/><Relationship Id="rId34" Type="http://schemas.openxmlformats.org/officeDocument/2006/relationships/hyperlink" Target="https://www.capitalo.at/girokonto/ratgeber/kontofuehrungsgebuehr" TargetMode="External"/><Relationship Id="rId42" Type="http://schemas.openxmlformats.org/officeDocument/2006/relationships/hyperlink" Target="https://www.jusprofi.at/legal-lexikon/laesio-enormis/" TargetMode="External"/><Relationship Id="rId47" Type="http://schemas.openxmlformats.org/officeDocument/2006/relationships/hyperlink" Target="https://www.ots.at/presseaussendung/OTS_20170803_OTS0025/umfrage-unzufrieden-mit-bankkonditionen-trotzdem-nur-6-wechselwillige-grafik" TargetMode="External"/><Relationship Id="rId50" Type="http://schemas.openxmlformats.org/officeDocument/2006/relationships/hyperlink" Target="https://www.post.at/p/c/brief-tarife" TargetMode="External"/><Relationship Id="rId55" Type="http://schemas.openxmlformats.org/officeDocument/2006/relationships/hyperlink" Target="https://www.ris.bka.gv.at/GeltendeFassung.wxe?Abfrage=Bundesnormen&amp;Gesetzesnummer=20010182" TargetMode="External"/><Relationship Id="rId63" Type="http://schemas.openxmlformats.org/officeDocument/2006/relationships/hyperlink" Target="https://news.wko.at/news/oesterreich/bsbv_capgemini_zahlungsverkehrsstudie_201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bawagpsk.com/BAWAGPSK/Glossar/478038/habenzinsen.html" TargetMode="External"/><Relationship Id="rId11" Type="http://schemas.openxmlformats.org/officeDocument/2006/relationships/hyperlink" Target="file:///C:\Users\baysa\Desktop\SEM%20BIS\Seminararbeit%20NEU.docx" TargetMode="External"/><Relationship Id="rId24" Type="http://schemas.openxmlformats.org/officeDocument/2006/relationships/hyperlink" Target="https://www.bankaustria.at/files/preisblatt_bank_kreditkarten.pdf" TargetMode="External"/><Relationship Id="rId32" Type="http://schemas.openxmlformats.org/officeDocument/2006/relationships/hyperlink" Target="http://wi.wu.ac.at:8002/rgf/diplomarbeiten/BakkStuff/2005/200503_KostenTK-Gueven/200501_Gueven-Bakkalaureatsarbeit.pdf" TargetMode="External"/><Relationship Id="rId37" Type="http://schemas.openxmlformats.org/officeDocument/2006/relationships/hyperlink" Target="https://www.sparkasse.at/content/dam/at/spk-erstebank/konditionenaushang/4.500%20-%204.501-20210701.pdf" TargetMode="External"/><Relationship Id="rId40" Type="http://schemas.openxmlformats.org/officeDocument/2006/relationships/hyperlink" Target="http://www.geldmarie.at/banken/lastschrift.html" TargetMode="External"/><Relationship Id="rId45" Type="http://schemas.openxmlformats.org/officeDocument/2006/relationships/hyperlink" Target="https://www.konto-vergleich.at/lexikon/duplikatsauszug/" TargetMode="External"/><Relationship Id="rId53" Type="http://schemas.openxmlformats.org/officeDocument/2006/relationships/hyperlink" Target="https://www.ris.bka.gv.at/GeltendeFassung.wxe?Abfrage=Bundesnormen&amp;Gesetzesnummer=10001622" TargetMode="External"/><Relationship Id="rId58" Type="http://schemas.openxmlformats.org/officeDocument/2006/relationships/hyperlink" Target="https://www.vorlagenportal.at/vl/wp-content/uploads/PV-Werte-2021.pdf" TargetMode="External"/><Relationship Id="rId5" Type="http://schemas.openxmlformats.org/officeDocument/2006/relationships/webSettings" Target="webSettings.xml"/><Relationship Id="rId61" Type="http://schemas.openxmlformats.org/officeDocument/2006/relationships/hyperlink" Target="https://www.wko.at/service/wirtschaftsrecht-gewerberecht/Wann_kommt_das_Konsumentenschutzgesetz_zur_Anwendung_.html" TargetMode="External"/><Relationship Id="rId19" Type="http://schemas.openxmlformats.org/officeDocument/2006/relationships/image" Target="media/image6.jpeg"/><Relationship Id="rId14" Type="http://schemas.openxmlformats.org/officeDocument/2006/relationships/footer" Target="footer2.xml"/><Relationship Id="rId22" Type="http://schemas.openxmlformats.org/officeDocument/2006/relationships/hyperlink" Target="https://www.bankaustria.at/files/glossar_verbraucherzahlungskontogesetz_vzkg_de.pdf" TargetMode="External"/><Relationship Id="rId27" Type="http://schemas.openxmlformats.org/officeDocument/2006/relationships/hyperlink" Target="https://www.bawagpsk.com/linkableblob/BAWAG/12640/90bcf6cdd84f89f43a85ed5914e66eb2/entgeltuebersicht-fuer-firmenkunden-112009-data.pdf" TargetMode="External"/><Relationship Id="rId30" Type="http://schemas.openxmlformats.org/officeDocument/2006/relationships/hyperlink" Target="https://www.bawagpsk.com/BAWAGPSK/Glossar/474132/dauerauftrag.html" TargetMode="External"/><Relationship Id="rId35" Type="http://schemas.openxmlformats.org/officeDocument/2006/relationships/hyperlink" Target="https://www.easybank.at/cms/downloads/pdf/konditionen/preisblaetter/giro/girokonten.pdf?binary=true" TargetMode="External"/><Relationship Id="rId43" Type="http://schemas.openxmlformats.org/officeDocument/2006/relationships/hyperlink" Target="https://www.konsument.at/geld-recht/einziehungsauftrag" TargetMode="External"/><Relationship Id="rId48" Type="http://schemas.openxmlformats.org/officeDocument/2006/relationships/hyperlink" Target="https://www.oesterreich.gv.at/lexicon/L/Seite.991194.html" TargetMode="External"/><Relationship Id="rId56" Type="http://schemas.openxmlformats.org/officeDocument/2006/relationships/hyperlink" Target="https://www.repro-online.at/din-a4-druck"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raiffeisen.at/stmk/hausmannstaetten/de/meine-bank/kundenservice/schalteraushang/_jcr_content/root/responsivegrid/tabaccordioncontaine/tabAccordionElements/tabaccordionelement__1085767201/items/downloadlist_copy_15.download.html/3/Konditionen%20und%20Entgelte%20Girokonto.pdf" TargetMode="External"/><Relationship Id="rId3" Type="http://schemas.openxmlformats.org/officeDocument/2006/relationships/styles" Target="styles.xml"/><Relationship Id="rId12" Type="http://schemas.openxmlformats.org/officeDocument/2006/relationships/hyperlink" Target="file:///C:\Users\baysa\Desktop\SEM%20BIS\Seminararbeit%20NEU.docx" TargetMode="External"/><Relationship Id="rId17" Type="http://schemas.openxmlformats.org/officeDocument/2006/relationships/image" Target="media/image4.png"/><Relationship Id="rId25" Type="http://schemas.openxmlformats.org/officeDocument/2006/relationships/hyperlink" Target="https://www.bankaustria.at/files/20210701_preise_int_privatkunden_de.pdf" TargetMode="External"/><Relationship Id="rId33" Type="http://schemas.openxmlformats.org/officeDocument/2006/relationships/hyperlink" Target="https://www.bmf.gv.at/themen/finanzmarkt/zahlungsverkehr/zahlungsdienste.html" TargetMode="External"/><Relationship Id="rId38" Type="http://schemas.openxmlformats.org/officeDocument/2006/relationships/hyperlink" Target="https://www.sparkasse.at/content/dam/at/spk-erstebank/konditionenaushang/0.500%20-%200.501.pdf" TargetMode="External"/><Relationship Id="rId46" Type="http://schemas.openxmlformats.org/officeDocument/2006/relationships/hyperlink" Target="https://kreditkarten.net/ratgeber/kreditkarte-sperren/mastercard-sperren.html" TargetMode="External"/><Relationship Id="rId59" Type="http://schemas.openxmlformats.org/officeDocument/2006/relationships/hyperlink" Target="https://de.wikipedia.org/wiki/Bareinzahlung" TargetMode="External"/><Relationship Id="rId20" Type="http://schemas.openxmlformats.org/officeDocument/2006/relationships/hyperlink" Target="https://www.arbeiterkammer.at/beratung/konsument/AchtungFalle/Zahlscheingebuehr_verboten.html" TargetMode="External"/><Relationship Id="rId41" Type="http://schemas.openxmlformats.org/officeDocument/2006/relationships/hyperlink" Target="https://www.jusline.at/gesetz/stgb/paragraf/155" TargetMode="External"/><Relationship Id="rId54" Type="http://schemas.openxmlformats.org/officeDocument/2006/relationships/hyperlink" Target="https://www.ris.bka.gv.at/GeltendeFassung.wxe?Abfrage=Bundesnormen&amp;Gesetzesnummer=20004174" TargetMode="External"/><Relationship Id="rId62" Type="http://schemas.openxmlformats.org/officeDocument/2006/relationships/hyperlink" Target="https://www.wko.at/branchen/information-consulting/finanzdienstleister/artikel-zahlungsdienstegesetz.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bankaustria.at/files/preise_konditionen_privatkonten_de.pdf" TargetMode="External"/><Relationship Id="rId28" Type="http://schemas.openxmlformats.org/officeDocument/2006/relationships/hyperlink" Target="https://www.bawagpsk.com/linkableblob/BAWAGPSK/109584/f53efdc1ad0fa65e278eedb427a9a244/entgelte-sonstige-dl-des-zv-gate-2015-07-01-data.pdf" TargetMode="External"/><Relationship Id="rId36" Type="http://schemas.openxmlformats.org/officeDocument/2006/relationships/hyperlink" Target="https://www.sparkasse.at/content/dam/at/spk-erstebank/konditionenaushang/4.000%20-%204.001.pdf" TargetMode="External"/><Relationship Id="rId49" Type="http://schemas.openxmlformats.org/officeDocument/2006/relationships/hyperlink" Target="https://www.oesterreich.gv.at/themen/steuern_und_finanzen/bankgeschaefte/1/Seite.750265.html" TargetMode="External"/><Relationship Id="rId57" Type="http://schemas.openxmlformats.org/officeDocument/2006/relationships/hyperlink" Target="https://de.statista.com/statistik/daten/studie/38133/umfrage/durchschnittliche-jaehrliche-bankgebuehren-in-europa-nach-laendern/" TargetMode="External"/><Relationship Id="rId10" Type="http://schemas.openxmlformats.org/officeDocument/2006/relationships/hyperlink" Target="file:///C:\Users\baysa\Desktop\SEM%20BIS\Seminararbeit%20NEU.docx" TargetMode="External"/><Relationship Id="rId31" Type="http://schemas.openxmlformats.org/officeDocument/2006/relationships/hyperlink" Target="https://www.bezahlen.de/bankkarte.php" TargetMode="External"/><Relationship Id="rId44" Type="http://schemas.openxmlformats.org/officeDocument/2006/relationships/hyperlink" Target="https://www.konto.org/ratgeber/girokonto/girokonto-eroeffnen/zuschickung-kontoauszuege/" TargetMode="External"/><Relationship Id="rId52" Type="http://schemas.openxmlformats.org/officeDocument/2006/relationships/hyperlink" Target="https://www.raiffeisen.at/ooe/rlb/de/meine-bank/schalteraushang/_jcr_content/root/responsivegrid/tabaccordioncontaine/tabAccordionElements/tabaccordionelement_2086307275/items/downloadlist.download.html/0/Preisaushang%20der%20RLB%20OOe.pdf" TargetMode="External"/><Relationship Id="rId60" Type="http://schemas.openxmlformats.org/officeDocument/2006/relationships/hyperlink" Target="https://www.wko.at/service/wirtschaftsrecht-gewerberecht/Kartellrecht.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baysa\Desktop\SEM%20BIS\Seminararbeit%20NEU.docx" TargetMode="External"/><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hyperlink" Target="http://wi.wu.ac.at:8002/rgf/diplomarbeiten/BakkStuff/2011/201106_Gazso_AGB_Banken/AGB_Banken_200110617.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Fur01</b:Tag>
    <b:SourceType>Book</b:SourceType>
    <b:Guid>{6CF87426-B723-4843-A2CC-1994D15D29CA}</b:Guid>
    <b:Title>Personal, Führung, Organisation</b:Title>
    <b:Year>2015</b:Year>
    <b:Author>
      <b:Author>
        <b:NameList>
          <b:Person>
            <b:Last>Furtmüller</b:Last>
            <b:First>Gerhard</b:First>
          </b:Person>
        </b:NameList>
      </b:Author>
    </b:Author>
    <b:City>Wien</b:City>
    <b:Publisher>Linde Verlag</b:Publisher>
    <b:RefOrder>1</b:RefOrder>
  </b:Source>
</b:Sources>
</file>

<file path=customXml/itemProps1.xml><?xml version="1.0" encoding="utf-8"?>
<ds:datastoreItem xmlns:ds="http://schemas.openxmlformats.org/officeDocument/2006/customXml" ds:itemID="{9431371B-EE40-4EF0-8BEC-40676924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8349</Words>
  <Characters>52599</Characters>
  <Application>Microsoft Office Word</Application>
  <DocSecurity>0</DocSecurity>
  <Lines>438</Lines>
  <Paragraphs>121</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60827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Lichtenegger, Sabine</dc:creator>
  <cp:lastModifiedBy>Hülya Baysal</cp:lastModifiedBy>
  <cp:revision>360</cp:revision>
  <cp:lastPrinted>2021-06-01T15:12:00Z</cp:lastPrinted>
  <dcterms:created xsi:type="dcterms:W3CDTF">2021-04-04T21:27:00Z</dcterms:created>
  <dcterms:modified xsi:type="dcterms:W3CDTF">2021-06-01T20:46:00Z</dcterms:modified>
</cp:coreProperties>
</file>