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04012417"/>
        <w:docPartObj>
          <w:docPartGallery w:val="Cover Pages"/>
          <w:docPartUnique/>
        </w:docPartObj>
      </w:sdtPr>
      <w:sdtEndPr>
        <w:rPr>
          <w:rFonts w:ascii="Times New Roman" w:hAnsi="Times New Roman" w:cs="Times New Roman"/>
          <w:b/>
          <w:bCs/>
          <w:lang w:val="de-DE"/>
        </w:rPr>
      </w:sdtEndPr>
      <w:sdtContent>
        <w:p w14:paraId="0A6584EB" w14:textId="506DF30C" w:rsidR="0039546A" w:rsidRDefault="0039546A">
          <w:r w:rsidRPr="0039546A">
            <w:rPr>
              <w:noProof/>
              <w:lang w:val="en-US"/>
            </w:rPr>
            <mc:AlternateContent>
              <mc:Choice Requires="wps">
                <w:drawing>
                  <wp:anchor distT="45720" distB="45720" distL="114300" distR="114300" simplePos="0" relativeHeight="251659264" behindDoc="0" locked="0" layoutInCell="1" allowOverlap="1" wp14:anchorId="6402F334" wp14:editId="65F13A64">
                    <wp:simplePos x="0" y="0"/>
                    <wp:positionH relativeFrom="margin">
                      <wp:align>left</wp:align>
                    </wp:positionH>
                    <wp:positionV relativeFrom="paragraph">
                      <wp:posOffset>0</wp:posOffset>
                    </wp:positionV>
                    <wp:extent cx="3520440" cy="1404620"/>
                    <wp:effectExtent l="0" t="0" r="381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440" cy="1404620"/>
                            </a:xfrm>
                            <a:prstGeom prst="rect">
                              <a:avLst/>
                            </a:prstGeom>
                            <a:solidFill>
                              <a:srgbClr val="FFFFFF"/>
                            </a:solidFill>
                            <a:ln w="9525">
                              <a:noFill/>
                              <a:miter lim="800000"/>
                              <a:headEnd/>
                              <a:tailEnd/>
                            </a:ln>
                          </wps:spPr>
                          <wps:txbx>
                            <w:txbxContent>
                              <w:p w14:paraId="30E3D118" w14:textId="4F12F2B9" w:rsidR="00126409" w:rsidRPr="0039546A" w:rsidRDefault="00126409" w:rsidP="0039546A">
                                <w:pPr>
                                  <w:jc w:val="left"/>
                                  <w:rPr>
                                    <w:rFonts w:ascii="Arial Black" w:hAnsi="Arial Black"/>
                                    <w:smallCaps/>
                                    <w:spacing w:val="10"/>
                                    <w:sz w:val="28"/>
                                    <w:szCs w:val="28"/>
                                    <w:lang w:val="en-US"/>
                                  </w:rPr>
                                </w:pPr>
                                <w:r w:rsidRPr="0039546A">
                                  <w:rPr>
                                    <w:rFonts w:ascii="Arial Black" w:hAnsi="Arial Black"/>
                                    <w:smallCaps/>
                                    <w:spacing w:val="10"/>
                                    <w:sz w:val="28"/>
                                    <w:szCs w:val="28"/>
                                    <w:lang w:val="en-US"/>
                                  </w:rPr>
                                  <w:t>Wirtschaftsuniversität Wien</w:t>
                                </w:r>
                              </w:p>
                              <w:p w14:paraId="24F6831E" w14:textId="08B8CAED" w:rsidR="00126409" w:rsidRPr="0039546A" w:rsidRDefault="00126409" w:rsidP="0039546A">
                                <w:pPr>
                                  <w:jc w:val="left"/>
                                  <w:rPr>
                                    <w:rFonts w:cs="Arial"/>
                                    <w:lang w:val="en-US"/>
                                  </w:rPr>
                                </w:pPr>
                                <w:r w:rsidRPr="0039546A">
                                  <w:rPr>
                                    <w:rFonts w:cs="Arial"/>
                                    <w:lang w:val="en-US"/>
                                  </w:rPr>
                                  <w:t>Vienna University Of Economics And Business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02F334" id="_x0000_t202" coordsize="21600,21600" o:spt="202" path="m,l,21600r21600,l21600,xe">
                    <v:stroke joinstyle="miter"/>
                    <v:path gradientshapeok="t" o:connecttype="rect"/>
                  </v:shapetype>
                  <v:shape id="Textfeld 2" o:spid="_x0000_s1026" type="#_x0000_t202" style="position:absolute;left:0;text-align:left;margin-left:0;margin-top:0;width:277.2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" stroked="f">
                    <v:textbox style="mso-fit-shape-to-text:t">
                      <w:txbxContent>
                        <w:p w14:paraId="30E3D118" w14:textId="4F12F2B9" w:rsidR="00126409" w:rsidRPr="0039546A" w:rsidRDefault="00126409" w:rsidP="0039546A">
                          <w:pPr>
                            <w:jc w:val="left"/>
                            <w:rPr>
                              <w:rFonts w:ascii="Arial Black" w:hAnsi="Arial Black"/>
                              <w:smallCaps/>
                              <w:spacing w:val="10"/>
                              <w:sz w:val="28"/>
                              <w:szCs w:val="28"/>
                              <w:lang w:val="en-US"/>
                            </w:rPr>
                          </w:pPr>
                          <w:r w:rsidRPr="0039546A">
                            <w:rPr>
                              <w:rFonts w:ascii="Arial Black" w:hAnsi="Arial Black"/>
                              <w:smallCaps/>
                              <w:spacing w:val="10"/>
                              <w:sz w:val="28"/>
                              <w:szCs w:val="28"/>
                              <w:lang w:val="en-US"/>
                            </w:rPr>
                            <w:t>Wirtschaftsuniversität Wien</w:t>
                          </w:r>
                        </w:p>
                        <w:p w14:paraId="24F6831E" w14:textId="08B8CAED" w:rsidR="00126409" w:rsidRPr="0039546A" w:rsidRDefault="00126409" w:rsidP="0039546A">
                          <w:pPr>
                            <w:jc w:val="left"/>
                            <w:rPr>
                              <w:rFonts w:cs="Arial"/>
                              <w:lang w:val="en-US"/>
                            </w:rPr>
                          </w:pPr>
                          <w:r w:rsidRPr="0039546A">
                            <w:rPr>
                              <w:rFonts w:cs="Arial"/>
                              <w:lang w:val="en-US"/>
                            </w:rPr>
                            <w:t>Vienna University Of Economics And Business</w:t>
                          </w:r>
                        </w:p>
                      </w:txbxContent>
                    </v:textbox>
                    <w10:wrap type="square" anchorx="margin"/>
                  </v:shape>
                </w:pict>
              </mc:Fallback>
            </mc:AlternateContent>
          </w:r>
          <w:r>
            <w:rPr>
              <w:noProof/>
            </w:rPr>
            <w:drawing>
              <wp:anchor distT="0" distB="0" distL="114300" distR="114300" simplePos="0" relativeHeight="251657216" behindDoc="0" locked="0" layoutInCell="1" allowOverlap="1" wp14:anchorId="1A52ED14" wp14:editId="7259F6DA">
                <wp:simplePos x="0" y="0"/>
                <wp:positionH relativeFrom="margin">
                  <wp:align>right</wp:align>
                </wp:positionH>
                <wp:positionV relativeFrom="paragraph">
                  <wp:posOffset>3175</wp:posOffset>
                </wp:positionV>
                <wp:extent cx="1976120" cy="1023620"/>
                <wp:effectExtent l="0" t="0" r="5080" b="508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6120" cy="1023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B2441A" w14:textId="24AFE767" w:rsidR="0039546A" w:rsidRDefault="00B9007D">
          <w:pPr>
            <w:jc w:val="left"/>
            <w:rPr>
              <w:rFonts w:ascii="Times New Roman" w:eastAsiaTheme="majorEastAsia" w:hAnsi="Times New Roman" w:cs="Times New Roman"/>
              <w:b/>
              <w:bCs/>
              <w:sz w:val="32"/>
              <w:szCs w:val="32"/>
              <w:lang w:val="de-DE" w:eastAsia="de-AT"/>
            </w:rPr>
          </w:pPr>
          <w:r>
            <w:rPr>
              <w:rFonts w:ascii="Times New Roman" w:hAnsi="Times New Roman" w:cs="Times New Roman"/>
              <w:b/>
              <w:bCs/>
              <w:noProof/>
              <w:lang w:val="de-DE"/>
            </w:rPr>
            <mc:AlternateContent>
              <mc:Choice Requires="wpg">
                <w:drawing>
                  <wp:anchor distT="0" distB="0" distL="114300" distR="114300" simplePos="0" relativeHeight="251667456" behindDoc="0" locked="0" layoutInCell="1" allowOverlap="1" wp14:anchorId="3A7300BD" wp14:editId="0B4D1F21">
                    <wp:simplePos x="0" y="0"/>
                    <wp:positionH relativeFrom="margin">
                      <wp:align>left</wp:align>
                    </wp:positionH>
                    <wp:positionV relativeFrom="paragraph">
                      <wp:posOffset>2101215</wp:posOffset>
                    </wp:positionV>
                    <wp:extent cx="5737860" cy="2915920"/>
                    <wp:effectExtent l="0" t="0" r="0" b="0"/>
                    <wp:wrapNone/>
                    <wp:docPr id="14" name="Gruppieren 14"/>
                    <wp:cNvGraphicFramePr/>
                    <a:graphic xmlns:a="http://schemas.openxmlformats.org/drawingml/2006/main">
                      <a:graphicData uri="http://schemas.microsoft.com/office/word/2010/wordprocessingGroup">
                        <wpg:wgp>
                          <wpg:cNvGrpSpPr/>
                          <wpg:grpSpPr>
                            <a:xfrm>
                              <a:off x="0" y="0"/>
                              <a:ext cx="5737860" cy="2915920"/>
                              <a:chOff x="0" y="0"/>
                              <a:chExt cx="5737860" cy="2915920"/>
                            </a:xfrm>
                          </wpg:grpSpPr>
                          <wps:wsp>
                            <wps:cNvPr id="7" name="Textfeld 2"/>
                            <wps:cNvSpPr txBox="1">
                              <a:spLocks noChangeArrowheads="1"/>
                            </wps:cNvSpPr>
                            <wps:spPr bwMode="auto">
                              <a:xfrm>
                                <a:off x="0" y="0"/>
                                <a:ext cx="5737860" cy="960120"/>
                              </a:xfrm>
                              <a:prstGeom prst="rect">
                                <a:avLst/>
                              </a:prstGeom>
                              <a:solidFill>
                                <a:srgbClr val="FFFFFF"/>
                              </a:solidFill>
                              <a:ln w="9525">
                                <a:noFill/>
                                <a:miter lim="800000"/>
                                <a:headEnd/>
                                <a:tailEnd/>
                              </a:ln>
                            </wps:spPr>
                            <wps:txbx>
                              <w:txbxContent>
                                <w:p w14:paraId="084B6B7E" w14:textId="0930A05F" w:rsidR="00126409" w:rsidRPr="00BB2311" w:rsidRDefault="00126409" w:rsidP="00BB2311">
                                  <w:pPr>
                                    <w:jc w:val="center"/>
                                    <w:rPr>
                                      <w:b/>
                                      <w:bCs/>
                                      <w:sz w:val="56"/>
                                      <w:szCs w:val="56"/>
                                      <w:lang w:val="en-US"/>
                                    </w:rPr>
                                  </w:pPr>
                                  <w:r w:rsidRPr="00BB2311">
                                    <w:rPr>
                                      <w:b/>
                                      <w:bCs/>
                                      <w:sz w:val="56"/>
                                      <w:szCs w:val="56"/>
                                      <w:lang w:val="en-US"/>
                                    </w:rPr>
                                    <w:t>BANKING CHARGES IN THE DIGITAL AGE</w:t>
                                  </w:r>
                                </w:p>
                              </w:txbxContent>
                            </wps:txbx>
                            <wps:bodyPr rot="0" vert="horz" wrap="square" lIns="91440" tIns="45720" rIns="91440" bIns="45720" anchor="ctr" anchorCtr="0">
                              <a:noAutofit/>
                            </wps:bodyPr>
                          </wps:wsp>
                          <wps:wsp>
                            <wps:cNvPr id="10" name="Textfeld 2"/>
                            <wps:cNvSpPr txBox="1">
                              <a:spLocks noChangeArrowheads="1"/>
                            </wps:cNvSpPr>
                            <wps:spPr bwMode="auto">
                              <a:xfrm>
                                <a:off x="101600" y="1447800"/>
                                <a:ext cx="5501640" cy="960120"/>
                              </a:xfrm>
                              <a:prstGeom prst="rect">
                                <a:avLst/>
                              </a:prstGeom>
                              <a:solidFill>
                                <a:srgbClr val="FFFFFF"/>
                              </a:solidFill>
                              <a:ln w="9525">
                                <a:noFill/>
                                <a:miter lim="800000"/>
                                <a:headEnd/>
                                <a:tailEnd/>
                              </a:ln>
                            </wps:spPr>
                            <wps:txbx>
                              <w:txbxContent>
                                <w:p w14:paraId="31A1F3ED" w14:textId="0BAF65A2" w:rsidR="00126409" w:rsidRPr="00BB2311" w:rsidRDefault="00126409" w:rsidP="00BB2311">
                                  <w:pPr>
                                    <w:jc w:val="center"/>
                                    <w:rPr>
                                      <w:sz w:val="36"/>
                                      <w:szCs w:val="36"/>
                                      <w:lang w:val="en-US"/>
                                    </w:rPr>
                                  </w:pPr>
                                  <w:r w:rsidRPr="00BB2311">
                                    <w:rPr>
                                      <w:sz w:val="36"/>
                                      <w:szCs w:val="36"/>
                                      <w:lang w:val="en-US"/>
                                    </w:rPr>
                                    <w:t>Critical Evaluation Of Banking Fees In The Era Of Automation And Self-Service</w:t>
                                  </w:r>
                                </w:p>
                              </w:txbxContent>
                            </wps:txbx>
                            <wps:bodyPr rot="0" vert="horz" wrap="square" lIns="91440" tIns="45720" rIns="91440" bIns="45720" anchor="ctr" anchorCtr="0">
                              <a:noAutofit/>
                            </wps:bodyPr>
                          </wps:wsp>
                          <wps:wsp>
                            <wps:cNvPr id="11" name="Gerader Verbinder 11"/>
                            <wps:cNvCnPr/>
                            <wps:spPr>
                              <a:xfrm>
                                <a:off x="228600" y="1212850"/>
                                <a:ext cx="52200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Textfeld 2"/>
                            <wps:cNvSpPr txBox="1">
                              <a:spLocks noChangeArrowheads="1"/>
                            </wps:cNvSpPr>
                            <wps:spPr bwMode="auto">
                              <a:xfrm>
                                <a:off x="1638300" y="2413000"/>
                                <a:ext cx="2438400" cy="502920"/>
                              </a:xfrm>
                              <a:prstGeom prst="rect">
                                <a:avLst/>
                              </a:prstGeom>
                              <a:solidFill>
                                <a:srgbClr val="FFFFFF"/>
                              </a:solidFill>
                              <a:ln w="9525">
                                <a:noFill/>
                                <a:miter lim="800000"/>
                                <a:headEnd/>
                                <a:tailEnd/>
                              </a:ln>
                            </wps:spPr>
                            <wps:txbx>
                              <w:txbxContent>
                                <w:p w14:paraId="78783940" w14:textId="0AFD15BF" w:rsidR="00126409" w:rsidRPr="00BB2311" w:rsidRDefault="00126409" w:rsidP="00BB2311">
                                  <w:pPr>
                                    <w:jc w:val="center"/>
                                    <w:rPr>
                                      <w:b/>
                                      <w:bCs/>
                                      <w:smallCaps/>
                                      <w:color w:val="767171" w:themeColor="background2" w:themeShade="80"/>
                                      <w:sz w:val="28"/>
                                      <w:szCs w:val="28"/>
                                      <w:lang w:val="en-US"/>
                                    </w:rPr>
                                  </w:pPr>
                                  <w:r w:rsidRPr="00BB2311">
                                    <w:rPr>
                                      <w:b/>
                                      <w:bCs/>
                                      <w:smallCaps/>
                                      <w:color w:val="767171" w:themeColor="background2" w:themeShade="80"/>
                                      <w:sz w:val="28"/>
                                      <w:szCs w:val="28"/>
                                      <w:lang w:val="en-US"/>
                                    </w:rPr>
                                    <w:t>Seminarpaper</w:t>
                                  </w:r>
                                </w:p>
                              </w:txbxContent>
                            </wps:txbx>
                            <wps:bodyPr rot="0" vert="horz" wrap="square" lIns="91440" tIns="45720" rIns="91440" bIns="45720" anchor="ctr" anchorCtr="0">
                              <a:noAutofit/>
                            </wps:bodyPr>
                          </wps:wsp>
                        </wpg:wgp>
                      </a:graphicData>
                    </a:graphic>
                  </wp:anchor>
                </w:drawing>
              </mc:Choice>
              <mc:Fallback>
                <w:pict>
                  <v:group w14:anchorId="3A7300BD" id="Gruppieren 14" o:spid="_x0000_s1027" style="position:absolute;margin-left:0;margin-top:165.45pt;width:451.8pt;height:229.6pt;z-index:251667456;mso-position-horizontal:left;mso-position-horizontal-relative:margin" coordsize="57378,29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">
                    <v:shape id="_x0000_s1028" type="#_x0000_t202" style="position:absolute;width:57378;height:9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" stroked="f">
                      <v:textbox>
                        <w:txbxContent>
                          <w:p w14:paraId="084B6B7E" w14:textId="0930A05F" w:rsidR="00126409" w:rsidRPr="00BB2311" w:rsidRDefault="00126409" w:rsidP="00BB2311">
                            <w:pPr>
                              <w:jc w:val="center"/>
                              <w:rPr>
                                <w:b/>
                                <w:bCs/>
                                <w:sz w:val="56"/>
                                <w:szCs w:val="56"/>
                                <w:lang w:val="en-US"/>
                              </w:rPr>
                            </w:pPr>
                            <w:r w:rsidRPr="00BB2311">
                              <w:rPr>
                                <w:b/>
                                <w:bCs/>
                                <w:sz w:val="56"/>
                                <w:szCs w:val="56"/>
                                <w:lang w:val="en-US"/>
                              </w:rPr>
                              <w:t>BANKING CHARGES IN THE DIGITAL AGE</w:t>
                            </w:r>
                          </w:p>
                        </w:txbxContent>
                      </v:textbox>
                    </v:shape>
                    <v:shape id="_x0000_s1029" type="#_x0000_t202" style="position:absolute;left:1016;top:14478;width:55016;height:9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" stroked="f">
                      <v:textbox>
                        <w:txbxContent>
                          <w:p w14:paraId="31A1F3ED" w14:textId="0BAF65A2" w:rsidR="00126409" w:rsidRPr="00BB2311" w:rsidRDefault="00126409" w:rsidP="00BB2311">
                            <w:pPr>
                              <w:jc w:val="center"/>
                              <w:rPr>
                                <w:sz w:val="36"/>
                                <w:szCs w:val="36"/>
                                <w:lang w:val="en-US"/>
                              </w:rPr>
                            </w:pPr>
                            <w:r w:rsidRPr="00BB2311">
                              <w:rPr>
                                <w:sz w:val="36"/>
                                <w:szCs w:val="36"/>
                                <w:lang w:val="en-US"/>
                              </w:rPr>
                              <w:t>Critical Evaluation Of Banking Fees In The Era Of Automation And Self-Service</w:t>
                            </w:r>
                          </w:p>
                        </w:txbxContent>
                      </v:textbox>
                    </v:shape>
                    <v:line id="Gerader Verbinder 11" o:spid="_x0000_s1030" style="position:absolute;visibility:visible;mso-wrap-style:square" from="2286,12128" to="54486,12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" strokecolor="black [3213]" strokeweight="3pt">
                      <v:stroke joinstyle="miter"/>
                    </v:line>
                    <v:shape id="_x0000_s1031" type="#_x0000_t202" style="position:absolute;left:16383;top:24130;width:24384;height:5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" stroked="f">
                      <v:textbox>
                        <w:txbxContent>
                          <w:p w14:paraId="78783940" w14:textId="0AFD15BF" w:rsidR="00126409" w:rsidRPr="00BB2311" w:rsidRDefault="00126409" w:rsidP="00BB2311">
                            <w:pPr>
                              <w:jc w:val="center"/>
                              <w:rPr>
                                <w:b/>
                                <w:bCs/>
                                <w:smallCaps/>
                                <w:color w:val="767171" w:themeColor="background2" w:themeShade="80"/>
                                <w:sz w:val="28"/>
                                <w:szCs w:val="28"/>
                                <w:lang w:val="en-US"/>
                              </w:rPr>
                            </w:pPr>
                            <w:r w:rsidRPr="00BB2311">
                              <w:rPr>
                                <w:b/>
                                <w:bCs/>
                                <w:smallCaps/>
                                <w:color w:val="767171" w:themeColor="background2" w:themeShade="80"/>
                                <w:sz w:val="28"/>
                                <w:szCs w:val="28"/>
                                <w:lang w:val="en-US"/>
                              </w:rPr>
                              <w:t>Seminarpaper</w:t>
                            </w:r>
                          </w:p>
                        </w:txbxContent>
                      </v:textbox>
                    </v:shape>
                    <w10:wrap anchorx="margin"/>
                  </v:group>
                </w:pict>
              </mc:Fallback>
            </mc:AlternateContent>
          </w:r>
          <w:r w:rsidR="00A04987" w:rsidRPr="00A04987">
            <w:rPr>
              <w:rFonts w:ascii="Times New Roman" w:hAnsi="Times New Roman" w:cs="Times New Roman"/>
              <w:b/>
              <w:bCs/>
              <w:noProof/>
            </w:rPr>
            <mc:AlternateContent>
              <mc:Choice Requires="wpg">
                <w:drawing>
                  <wp:anchor distT="0" distB="0" distL="114300" distR="114300" simplePos="0" relativeHeight="251671552" behindDoc="0" locked="0" layoutInCell="1" allowOverlap="1" wp14:anchorId="12B84504" wp14:editId="43BFD78D">
                    <wp:simplePos x="0" y="0"/>
                    <wp:positionH relativeFrom="margin">
                      <wp:align>center</wp:align>
                    </wp:positionH>
                    <wp:positionV relativeFrom="paragraph">
                      <wp:posOffset>1049020</wp:posOffset>
                    </wp:positionV>
                    <wp:extent cx="3016639" cy="355600"/>
                    <wp:effectExtent l="0" t="0" r="0" b="6350"/>
                    <wp:wrapNone/>
                    <wp:docPr id="17" name="Gruppieren 5"/>
                    <wp:cNvGraphicFramePr/>
                    <a:graphic xmlns:a="http://schemas.openxmlformats.org/drawingml/2006/main">
                      <a:graphicData uri="http://schemas.microsoft.com/office/word/2010/wordprocessingGroup">
                        <wpg:wgp>
                          <wpg:cNvGrpSpPr/>
                          <wpg:grpSpPr>
                            <a:xfrm>
                              <a:off x="0" y="0"/>
                              <a:ext cx="3016639" cy="355600"/>
                              <a:chOff x="0" y="0"/>
                              <a:chExt cx="3016639" cy="355600"/>
                            </a:xfrm>
                          </wpg:grpSpPr>
                          <wps:wsp>
                            <wps:cNvPr id="18" name="Gleichschenkliges Dreieck 18"/>
                            <wps:cNvSpPr/>
                            <wps:spPr>
                              <a:xfrm>
                                <a:off x="0" y="0"/>
                                <a:ext cx="1460500" cy="355600"/>
                              </a:xfrm>
                              <a:prstGeom prst="triangle">
                                <a:avLst>
                                  <a:gd name="adj" fmla="val 10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Gleichschenkliges Dreieck 19"/>
                            <wps:cNvSpPr/>
                            <wps:spPr>
                              <a:xfrm>
                                <a:off x="1556139" y="0"/>
                                <a:ext cx="1460500" cy="355600"/>
                              </a:xfrm>
                              <a:prstGeom prst="triangle">
                                <a:avLst>
                                  <a:gd name="adj" fmla="val 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083CF5C" id="Gruppieren 5" o:spid="_x0000_s1026" style="position:absolute;margin-left:0;margin-top:82.6pt;width:237.55pt;height:28pt;z-index:251671552;mso-position-horizontal:center;mso-position-horizontal-relative:margin" coordsize="30166,3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18" o:spid="_x0000_s1027" type="#_x0000_t5" style="position:absolute;width:14605;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" adj="21600" fillcolor="black [3213]" stroked="f" strokeweight="1pt"/>
                    <v:shape id="Gleichschenkliges Dreieck 19" o:spid="_x0000_s1028" type="#_x0000_t5" style="position:absolute;left:15561;width:14605;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" adj="0" fillcolor="black [3213]" stroked="f" strokeweight="1pt"/>
                    <w10:wrap anchorx="margin"/>
                  </v:group>
                </w:pict>
              </mc:Fallback>
            </mc:AlternateContent>
          </w:r>
          <w:r w:rsidR="0064286E" w:rsidRPr="00BB2311">
            <w:rPr>
              <w:rFonts w:ascii="Times New Roman" w:hAnsi="Times New Roman" w:cs="Times New Roman"/>
              <w:b/>
              <w:bCs/>
              <w:noProof/>
              <w:lang w:val="de-DE"/>
            </w:rPr>
            <mc:AlternateContent>
              <mc:Choice Requires="wps">
                <w:drawing>
                  <wp:anchor distT="45720" distB="45720" distL="114300" distR="114300" simplePos="0" relativeHeight="251669504" behindDoc="0" locked="0" layoutInCell="1" allowOverlap="1" wp14:anchorId="777F3FE7" wp14:editId="155F50E9">
                    <wp:simplePos x="0" y="0"/>
                    <wp:positionH relativeFrom="margin">
                      <wp:align>center</wp:align>
                    </wp:positionH>
                    <wp:positionV relativeFrom="paragraph">
                      <wp:posOffset>6083935</wp:posOffset>
                    </wp:positionV>
                    <wp:extent cx="5427980" cy="1897380"/>
                    <wp:effectExtent l="0" t="0" r="1270" b="7620"/>
                    <wp:wrapSquare wrapText="bothSides"/>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7980" cy="1897380"/>
                            </a:xfrm>
                            <a:prstGeom prst="rect">
                              <a:avLst/>
                            </a:prstGeom>
                            <a:solidFill>
                              <a:srgbClr val="FFFFFF"/>
                            </a:solidFill>
                            <a:ln w="9525">
                              <a:noFill/>
                              <a:miter lim="800000"/>
                              <a:headEnd/>
                              <a:tailEnd/>
                            </a:ln>
                          </wps:spPr>
                          <wps:txbx>
                            <w:txbxContent>
                              <w:p w14:paraId="7A85ED50" w14:textId="0DEE5C1E" w:rsidR="00126409" w:rsidRPr="00AC3391" w:rsidRDefault="00126409" w:rsidP="00AC3391">
                                <w:pPr>
                                  <w:tabs>
                                    <w:tab w:val="left" w:pos="2835"/>
                                  </w:tabs>
                                  <w:jc w:val="left"/>
                                  <w:rPr>
                                    <w:sz w:val="28"/>
                                    <w:szCs w:val="28"/>
                                    <w:lang w:val="en-US"/>
                                  </w:rPr>
                                </w:pPr>
                                <w:r w:rsidRPr="00AC3391">
                                  <w:rPr>
                                    <w:i/>
                                    <w:iCs/>
                                    <w:sz w:val="28"/>
                                    <w:szCs w:val="28"/>
                                    <w:lang w:val="en-US"/>
                                  </w:rPr>
                                  <w:t>Date:</w:t>
                                </w:r>
                                <w:r w:rsidRPr="00AC3391">
                                  <w:rPr>
                                    <w:sz w:val="28"/>
                                    <w:szCs w:val="28"/>
                                    <w:lang w:val="en-US"/>
                                  </w:rPr>
                                  <w:tab/>
                                </w:r>
                                <w:r w:rsidR="003D5B47">
                                  <w:rPr>
                                    <w:sz w:val="28"/>
                                    <w:szCs w:val="28"/>
                                    <w:lang w:val="en-US"/>
                                  </w:rPr>
                                  <w:t>3</w:t>
                                </w:r>
                                <w:r w:rsidR="003D5B47">
                                  <w:rPr>
                                    <w:sz w:val="28"/>
                                    <w:szCs w:val="28"/>
                                    <w:vertAlign w:val="superscript"/>
                                    <w:lang w:val="en-US"/>
                                  </w:rPr>
                                  <w:t>rd</w:t>
                                </w:r>
                                <w:r w:rsidRPr="00AC3391">
                                  <w:rPr>
                                    <w:sz w:val="28"/>
                                    <w:szCs w:val="28"/>
                                    <w:lang w:val="en-US"/>
                                  </w:rPr>
                                  <w:t xml:space="preserve"> June 2020</w:t>
                                </w:r>
                              </w:p>
                              <w:p w14:paraId="2A0D9E4C" w14:textId="17B78CF3" w:rsidR="00126409" w:rsidRPr="00AC3391" w:rsidRDefault="00126409" w:rsidP="00AC3391">
                                <w:pPr>
                                  <w:tabs>
                                    <w:tab w:val="left" w:pos="2835"/>
                                  </w:tabs>
                                  <w:jc w:val="left"/>
                                  <w:rPr>
                                    <w:sz w:val="28"/>
                                    <w:szCs w:val="28"/>
                                    <w:lang w:val="en-US"/>
                                  </w:rPr>
                                </w:pPr>
                                <w:r w:rsidRPr="00AC3391">
                                  <w:rPr>
                                    <w:i/>
                                    <w:iCs/>
                                    <w:sz w:val="28"/>
                                    <w:szCs w:val="28"/>
                                    <w:lang w:val="en-US"/>
                                  </w:rPr>
                                  <w:t>Author:</w:t>
                                </w:r>
                                <w:r w:rsidRPr="00AC3391">
                                  <w:rPr>
                                    <w:sz w:val="28"/>
                                    <w:szCs w:val="28"/>
                                    <w:lang w:val="en-US"/>
                                  </w:rPr>
                                  <w:tab/>
                                  <w:t>Markus Cservenka</w:t>
                                </w:r>
                              </w:p>
                              <w:p w14:paraId="2E0124DB" w14:textId="5FB085C7" w:rsidR="00126409" w:rsidRPr="00AC3391" w:rsidRDefault="00126409" w:rsidP="00AC3391">
                                <w:pPr>
                                  <w:tabs>
                                    <w:tab w:val="left" w:pos="2835"/>
                                  </w:tabs>
                                  <w:jc w:val="left"/>
                                  <w:rPr>
                                    <w:sz w:val="28"/>
                                    <w:szCs w:val="28"/>
                                    <w:lang w:val="en-US"/>
                                  </w:rPr>
                                </w:pPr>
                                <w:r w:rsidRPr="00AC3391">
                                  <w:rPr>
                                    <w:i/>
                                    <w:iCs/>
                                    <w:sz w:val="28"/>
                                    <w:szCs w:val="28"/>
                                    <w:lang w:val="en-US"/>
                                  </w:rPr>
                                  <w:t>Matriculation</w:t>
                                </w:r>
                                <w:r w:rsidRPr="00AC3391">
                                  <w:rPr>
                                    <w:sz w:val="28"/>
                                    <w:szCs w:val="28"/>
                                    <w:lang w:val="en-US"/>
                                  </w:rPr>
                                  <w:t xml:space="preserve"> </w:t>
                                </w:r>
                                <w:r w:rsidRPr="00AC3391">
                                  <w:rPr>
                                    <w:i/>
                                    <w:iCs/>
                                    <w:sz w:val="28"/>
                                    <w:szCs w:val="28"/>
                                    <w:lang w:val="en-US"/>
                                  </w:rPr>
                                  <w:t>Nr.:</w:t>
                                </w:r>
                                <w:r w:rsidRPr="00AC3391">
                                  <w:rPr>
                                    <w:sz w:val="28"/>
                                    <w:szCs w:val="28"/>
                                    <w:lang w:val="en-US"/>
                                  </w:rPr>
                                  <w:tab/>
                                  <w:t>11706187</w:t>
                                </w:r>
                              </w:p>
                              <w:p w14:paraId="4323BF81" w14:textId="0164AAAE" w:rsidR="00126409" w:rsidRPr="00AC3391" w:rsidRDefault="00126409" w:rsidP="00AC3391">
                                <w:pPr>
                                  <w:tabs>
                                    <w:tab w:val="left" w:pos="2835"/>
                                  </w:tabs>
                                  <w:jc w:val="left"/>
                                  <w:rPr>
                                    <w:sz w:val="28"/>
                                    <w:szCs w:val="28"/>
                                    <w:lang w:val="en-US"/>
                                  </w:rPr>
                                </w:pPr>
                                <w:r w:rsidRPr="00AC3391">
                                  <w:rPr>
                                    <w:i/>
                                    <w:iCs/>
                                    <w:sz w:val="28"/>
                                    <w:szCs w:val="28"/>
                                    <w:lang w:val="en-US"/>
                                  </w:rPr>
                                  <w:t>Course:</w:t>
                                </w:r>
                                <w:r w:rsidRPr="00AC3391">
                                  <w:rPr>
                                    <w:sz w:val="28"/>
                                    <w:szCs w:val="28"/>
                                    <w:lang w:val="en-US"/>
                                  </w:rPr>
                                  <w:tab/>
                                  <w:t>4167 BIS Seminar</w:t>
                                </w:r>
                              </w:p>
                              <w:p w14:paraId="091EDCE7" w14:textId="76247C87" w:rsidR="00126409" w:rsidRPr="00AC3391" w:rsidRDefault="00126409" w:rsidP="00AC3391">
                                <w:pPr>
                                  <w:tabs>
                                    <w:tab w:val="left" w:pos="2835"/>
                                  </w:tabs>
                                  <w:jc w:val="left"/>
                                  <w:rPr>
                                    <w:sz w:val="28"/>
                                    <w:szCs w:val="28"/>
                                    <w:lang w:val="en-US"/>
                                  </w:rPr>
                                </w:pPr>
                                <w:r w:rsidRPr="00AC3391">
                                  <w:rPr>
                                    <w:i/>
                                    <w:iCs/>
                                    <w:sz w:val="28"/>
                                    <w:szCs w:val="28"/>
                                    <w:lang w:val="en-US"/>
                                  </w:rPr>
                                  <w:t>Tutor:</w:t>
                                </w:r>
                                <w:r w:rsidRPr="00AC3391">
                                  <w:rPr>
                                    <w:sz w:val="28"/>
                                    <w:szCs w:val="28"/>
                                    <w:lang w:val="en-US"/>
                                  </w:rPr>
                                  <w:tab/>
                                  <w:t>Prof. Dr. Rony G. Flatscher</w:t>
                                </w:r>
                              </w:p>
                              <w:p w14:paraId="6A26E18E" w14:textId="77777777" w:rsidR="00126409" w:rsidRPr="0064286E" w:rsidRDefault="00126409" w:rsidP="0064286E">
                                <w:pPr>
                                  <w:tabs>
                                    <w:tab w:val="left" w:pos="2977"/>
                                  </w:tabs>
                                  <w:jc w:val="center"/>
                                  <w:rPr>
                                    <w:sz w:val="32"/>
                                    <w:szCs w:val="32"/>
                                    <w:lang w:val="en-U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7F3FE7" id="_x0000_s1032" type="#_x0000_t202" style="position:absolute;margin-left:0;margin-top:479.05pt;width:427.4pt;height:149.4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" stroked="f">
                    <v:textbox>
                      <w:txbxContent>
                        <w:p w14:paraId="7A85ED50" w14:textId="0DEE5C1E" w:rsidR="00126409" w:rsidRPr="00AC3391" w:rsidRDefault="00126409" w:rsidP="00AC3391">
                          <w:pPr>
                            <w:tabs>
                              <w:tab w:val="left" w:pos="2835"/>
                            </w:tabs>
                            <w:jc w:val="left"/>
                            <w:rPr>
                              <w:sz w:val="28"/>
                              <w:szCs w:val="28"/>
                              <w:lang w:val="en-US"/>
                            </w:rPr>
                          </w:pPr>
                          <w:r w:rsidRPr="00AC3391">
                            <w:rPr>
                              <w:i/>
                              <w:iCs/>
                              <w:sz w:val="28"/>
                              <w:szCs w:val="28"/>
                              <w:lang w:val="en-US"/>
                            </w:rPr>
                            <w:t>Date:</w:t>
                          </w:r>
                          <w:r w:rsidRPr="00AC3391">
                            <w:rPr>
                              <w:sz w:val="28"/>
                              <w:szCs w:val="28"/>
                              <w:lang w:val="en-US"/>
                            </w:rPr>
                            <w:tab/>
                          </w:r>
                          <w:r w:rsidR="003D5B47">
                            <w:rPr>
                              <w:sz w:val="28"/>
                              <w:szCs w:val="28"/>
                              <w:lang w:val="en-US"/>
                            </w:rPr>
                            <w:t>3</w:t>
                          </w:r>
                          <w:r w:rsidR="003D5B47">
                            <w:rPr>
                              <w:sz w:val="28"/>
                              <w:szCs w:val="28"/>
                              <w:vertAlign w:val="superscript"/>
                              <w:lang w:val="en-US"/>
                            </w:rPr>
                            <w:t>rd</w:t>
                          </w:r>
                          <w:r w:rsidRPr="00AC3391">
                            <w:rPr>
                              <w:sz w:val="28"/>
                              <w:szCs w:val="28"/>
                              <w:lang w:val="en-US"/>
                            </w:rPr>
                            <w:t xml:space="preserve"> June 2020</w:t>
                          </w:r>
                        </w:p>
                        <w:p w14:paraId="2A0D9E4C" w14:textId="17B78CF3" w:rsidR="00126409" w:rsidRPr="00AC3391" w:rsidRDefault="00126409" w:rsidP="00AC3391">
                          <w:pPr>
                            <w:tabs>
                              <w:tab w:val="left" w:pos="2835"/>
                            </w:tabs>
                            <w:jc w:val="left"/>
                            <w:rPr>
                              <w:sz w:val="28"/>
                              <w:szCs w:val="28"/>
                              <w:lang w:val="en-US"/>
                            </w:rPr>
                          </w:pPr>
                          <w:r w:rsidRPr="00AC3391">
                            <w:rPr>
                              <w:i/>
                              <w:iCs/>
                              <w:sz w:val="28"/>
                              <w:szCs w:val="28"/>
                              <w:lang w:val="en-US"/>
                            </w:rPr>
                            <w:t>Author:</w:t>
                          </w:r>
                          <w:r w:rsidRPr="00AC3391">
                            <w:rPr>
                              <w:sz w:val="28"/>
                              <w:szCs w:val="28"/>
                              <w:lang w:val="en-US"/>
                            </w:rPr>
                            <w:tab/>
                            <w:t>Markus Cservenka</w:t>
                          </w:r>
                        </w:p>
                        <w:p w14:paraId="2E0124DB" w14:textId="5FB085C7" w:rsidR="00126409" w:rsidRPr="00AC3391" w:rsidRDefault="00126409" w:rsidP="00AC3391">
                          <w:pPr>
                            <w:tabs>
                              <w:tab w:val="left" w:pos="2835"/>
                            </w:tabs>
                            <w:jc w:val="left"/>
                            <w:rPr>
                              <w:sz w:val="28"/>
                              <w:szCs w:val="28"/>
                              <w:lang w:val="en-US"/>
                            </w:rPr>
                          </w:pPr>
                          <w:r w:rsidRPr="00AC3391">
                            <w:rPr>
                              <w:i/>
                              <w:iCs/>
                              <w:sz w:val="28"/>
                              <w:szCs w:val="28"/>
                              <w:lang w:val="en-US"/>
                            </w:rPr>
                            <w:t>Matriculation</w:t>
                          </w:r>
                          <w:r w:rsidRPr="00AC3391">
                            <w:rPr>
                              <w:sz w:val="28"/>
                              <w:szCs w:val="28"/>
                              <w:lang w:val="en-US"/>
                            </w:rPr>
                            <w:t xml:space="preserve"> </w:t>
                          </w:r>
                          <w:r w:rsidRPr="00AC3391">
                            <w:rPr>
                              <w:i/>
                              <w:iCs/>
                              <w:sz w:val="28"/>
                              <w:szCs w:val="28"/>
                              <w:lang w:val="en-US"/>
                            </w:rPr>
                            <w:t>Nr.:</w:t>
                          </w:r>
                          <w:r w:rsidRPr="00AC3391">
                            <w:rPr>
                              <w:sz w:val="28"/>
                              <w:szCs w:val="28"/>
                              <w:lang w:val="en-US"/>
                            </w:rPr>
                            <w:tab/>
                            <w:t>11706187</w:t>
                          </w:r>
                        </w:p>
                        <w:p w14:paraId="4323BF81" w14:textId="0164AAAE" w:rsidR="00126409" w:rsidRPr="00AC3391" w:rsidRDefault="00126409" w:rsidP="00AC3391">
                          <w:pPr>
                            <w:tabs>
                              <w:tab w:val="left" w:pos="2835"/>
                            </w:tabs>
                            <w:jc w:val="left"/>
                            <w:rPr>
                              <w:sz w:val="28"/>
                              <w:szCs w:val="28"/>
                              <w:lang w:val="en-US"/>
                            </w:rPr>
                          </w:pPr>
                          <w:r w:rsidRPr="00AC3391">
                            <w:rPr>
                              <w:i/>
                              <w:iCs/>
                              <w:sz w:val="28"/>
                              <w:szCs w:val="28"/>
                              <w:lang w:val="en-US"/>
                            </w:rPr>
                            <w:t>Course:</w:t>
                          </w:r>
                          <w:r w:rsidRPr="00AC3391">
                            <w:rPr>
                              <w:sz w:val="28"/>
                              <w:szCs w:val="28"/>
                              <w:lang w:val="en-US"/>
                            </w:rPr>
                            <w:tab/>
                            <w:t>4167 BIS Seminar</w:t>
                          </w:r>
                        </w:p>
                        <w:p w14:paraId="091EDCE7" w14:textId="76247C87" w:rsidR="00126409" w:rsidRPr="00AC3391" w:rsidRDefault="00126409" w:rsidP="00AC3391">
                          <w:pPr>
                            <w:tabs>
                              <w:tab w:val="left" w:pos="2835"/>
                            </w:tabs>
                            <w:jc w:val="left"/>
                            <w:rPr>
                              <w:sz w:val="28"/>
                              <w:szCs w:val="28"/>
                              <w:lang w:val="en-US"/>
                            </w:rPr>
                          </w:pPr>
                          <w:r w:rsidRPr="00AC3391">
                            <w:rPr>
                              <w:i/>
                              <w:iCs/>
                              <w:sz w:val="28"/>
                              <w:szCs w:val="28"/>
                              <w:lang w:val="en-US"/>
                            </w:rPr>
                            <w:t>Tutor:</w:t>
                          </w:r>
                          <w:r w:rsidRPr="00AC3391">
                            <w:rPr>
                              <w:sz w:val="28"/>
                              <w:szCs w:val="28"/>
                              <w:lang w:val="en-US"/>
                            </w:rPr>
                            <w:tab/>
                            <w:t>Prof. Dr. Rony G. Flatscher</w:t>
                          </w:r>
                        </w:p>
                        <w:p w14:paraId="6A26E18E" w14:textId="77777777" w:rsidR="00126409" w:rsidRPr="0064286E" w:rsidRDefault="00126409" w:rsidP="0064286E">
                          <w:pPr>
                            <w:tabs>
                              <w:tab w:val="left" w:pos="2977"/>
                            </w:tabs>
                            <w:jc w:val="center"/>
                            <w:rPr>
                              <w:sz w:val="32"/>
                              <w:szCs w:val="32"/>
                              <w:lang w:val="en-US"/>
                            </w:rPr>
                          </w:pPr>
                        </w:p>
                      </w:txbxContent>
                    </v:textbox>
                    <w10:wrap type="square" anchorx="margin"/>
                  </v:shape>
                </w:pict>
              </mc:Fallback>
            </mc:AlternateContent>
          </w:r>
          <w:r w:rsidR="0039546A">
            <w:rPr>
              <w:rFonts w:ascii="Times New Roman" w:hAnsi="Times New Roman" w:cs="Times New Roman"/>
              <w:b/>
              <w:bCs/>
              <w:lang w:val="de-DE"/>
            </w:rPr>
            <w:br w:type="page"/>
          </w:r>
        </w:p>
      </w:sdtContent>
    </w:sdt>
    <w:p w14:paraId="06C845E8" w14:textId="7239E27A" w:rsidR="00437A2F" w:rsidRPr="0039546A" w:rsidRDefault="00437A2F" w:rsidP="00437A2F">
      <w:pPr>
        <w:pStyle w:val="Inhaltsverzeichnisberschrift"/>
        <w:spacing w:after="240"/>
        <w:rPr>
          <w:rFonts w:ascii="Times New Roman" w:hAnsi="Times New Roman" w:cs="Times New Roman"/>
          <w:b/>
          <w:bCs/>
          <w:color w:val="auto"/>
          <w:lang w:val="en-US"/>
        </w:rPr>
      </w:pPr>
      <w:r w:rsidRPr="0039546A">
        <w:rPr>
          <w:rFonts w:ascii="Times New Roman" w:hAnsi="Times New Roman" w:cs="Times New Roman"/>
          <w:b/>
          <w:bCs/>
          <w:color w:val="auto"/>
          <w:lang w:val="en-US"/>
        </w:rPr>
        <w:lastRenderedPageBreak/>
        <w:t>Abstract</w:t>
      </w:r>
    </w:p>
    <w:p w14:paraId="08AE0C30" w14:textId="12AA6324" w:rsidR="00627CBE" w:rsidRDefault="00A90320" w:rsidP="001E4A2D">
      <w:pPr>
        <w:spacing w:line="360" w:lineRule="auto"/>
        <w:rPr>
          <w:lang w:val="en-US"/>
        </w:rPr>
      </w:pPr>
      <w:r w:rsidRPr="00234CDF">
        <w:rPr>
          <w:lang w:val="en-US"/>
        </w:rPr>
        <w:t>Banking fees and the corresponding income share of banks have increased over the recent years, although the technological progress enables new service models, which provide cost reduction possibilities for enterprises in the financial market. Therefore, the prices on banking services are encountering lack of understanding by the customers. However, other factors have to be considered relevant as well. Based on the European financial industry, the paper investigates, whether internal factors from a bank’s point of view, like the stock market returns or revenues based on fees in the past, affect the amount of banking fees charged. In addition external circumstances, like key interest rates or the economic cycle, are analyzed and observed by means of four EU member states. Furthermore the paper briefly covers the history of banking and illustrates novel developments within the banking sector regarding digital innovations.</w:t>
      </w:r>
    </w:p>
    <w:p w14:paraId="51DE338B" w14:textId="5B132638" w:rsidR="00437A2F" w:rsidRPr="00234CDF" w:rsidRDefault="00437A2F" w:rsidP="001E4A2D">
      <w:pPr>
        <w:spacing w:line="360" w:lineRule="auto"/>
        <w:rPr>
          <w:lang w:val="en-US"/>
        </w:rPr>
      </w:pPr>
      <w:r w:rsidRPr="00234CDF">
        <w:rPr>
          <w:lang w:val="en-US"/>
        </w:rPr>
        <w:br w:type="page"/>
      </w:r>
    </w:p>
    <w:sdt>
      <w:sdtPr>
        <w:rPr>
          <w:rFonts w:ascii="Arial" w:eastAsiaTheme="minorHAnsi" w:hAnsi="Arial" w:cstheme="minorBidi"/>
          <w:color w:val="auto"/>
          <w:sz w:val="22"/>
          <w:szCs w:val="22"/>
          <w:lang w:val="de-DE" w:eastAsia="en-US"/>
        </w:rPr>
        <w:id w:val="1469786254"/>
        <w:docPartObj>
          <w:docPartGallery w:val="Table of Contents"/>
          <w:docPartUnique/>
        </w:docPartObj>
      </w:sdtPr>
      <w:sdtEndPr>
        <w:rPr>
          <w:b/>
          <w:bCs/>
        </w:rPr>
      </w:sdtEndPr>
      <w:sdtContent>
        <w:p w14:paraId="576F16C9" w14:textId="06B466F3" w:rsidR="001A5917" w:rsidRDefault="001A5917" w:rsidP="001A5917">
          <w:pPr>
            <w:pStyle w:val="Inhaltsverzeichnisberschrift"/>
            <w:spacing w:after="240"/>
          </w:pPr>
          <w:r>
            <w:rPr>
              <w:rFonts w:ascii="Times New Roman" w:hAnsi="Times New Roman" w:cs="Times New Roman"/>
              <w:b/>
              <w:bCs/>
              <w:color w:val="auto"/>
              <w:lang w:val="de-DE"/>
            </w:rPr>
            <w:t>Contents</w:t>
          </w:r>
        </w:p>
        <w:p w14:paraId="4F0E674B" w14:textId="57695BB6" w:rsidR="009F15B2" w:rsidRDefault="001A5917" w:rsidP="009F15B2">
          <w:pPr>
            <w:pStyle w:val="Verzeichnis1"/>
            <w:tabs>
              <w:tab w:val="right" w:pos="9062"/>
            </w:tabs>
            <w:rPr>
              <w:rFonts w:asciiTheme="minorHAnsi" w:eastAsiaTheme="minorEastAsia" w:hAnsiTheme="minorHAnsi"/>
              <w:noProof/>
              <w:lang w:eastAsia="de-AT"/>
            </w:rPr>
          </w:pPr>
          <w:r>
            <w:fldChar w:fldCharType="begin"/>
          </w:r>
          <w:r>
            <w:instrText xml:space="preserve"> TOC \o "1-3" \h \z \u </w:instrText>
          </w:r>
          <w:r>
            <w:fldChar w:fldCharType="separate"/>
          </w:r>
          <w:hyperlink w:anchor="_Toc42077727" w:history="1">
            <w:r w:rsidR="009F15B2" w:rsidRPr="009A0C18">
              <w:rPr>
                <w:rStyle w:val="Hyperlink"/>
                <w:noProof/>
                <w:lang w:val="en-US"/>
              </w:rPr>
              <w:t>1</w:t>
            </w:r>
            <w:r w:rsidR="009F15B2">
              <w:rPr>
                <w:rFonts w:asciiTheme="minorHAnsi" w:eastAsiaTheme="minorEastAsia" w:hAnsiTheme="minorHAnsi"/>
                <w:noProof/>
                <w:lang w:eastAsia="de-AT"/>
              </w:rPr>
              <w:tab/>
            </w:r>
            <w:r w:rsidR="009F15B2" w:rsidRPr="009A0C18">
              <w:rPr>
                <w:rStyle w:val="Hyperlink"/>
                <w:noProof/>
                <w:lang w:val="en-US"/>
              </w:rPr>
              <w:t>Introduction</w:t>
            </w:r>
            <w:r w:rsidR="009F15B2">
              <w:rPr>
                <w:noProof/>
                <w:webHidden/>
              </w:rPr>
              <w:tab/>
            </w:r>
            <w:r w:rsidR="009F15B2">
              <w:rPr>
                <w:noProof/>
                <w:webHidden/>
              </w:rPr>
              <w:fldChar w:fldCharType="begin"/>
            </w:r>
            <w:r w:rsidR="009F15B2">
              <w:rPr>
                <w:noProof/>
                <w:webHidden/>
              </w:rPr>
              <w:instrText xml:space="preserve"> PAGEREF _Toc42077727 \h </w:instrText>
            </w:r>
            <w:r w:rsidR="009F15B2">
              <w:rPr>
                <w:noProof/>
                <w:webHidden/>
              </w:rPr>
            </w:r>
            <w:r w:rsidR="009F15B2">
              <w:rPr>
                <w:noProof/>
                <w:webHidden/>
              </w:rPr>
              <w:fldChar w:fldCharType="separate"/>
            </w:r>
            <w:r w:rsidR="00B75C93">
              <w:rPr>
                <w:noProof/>
                <w:webHidden/>
              </w:rPr>
              <w:t>1</w:t>
            </w:r>
            <w:r w:rsidR="009F15B2">
              <w:rPr>
                <w:noProof/>
                <w:webHidden/>
              </w:rPr>
              <w:fldChar w:fldCharType="end"/>
            </w:r>
          </w:hyperlink>
        </w:p>
        <w:p w14:paraId="769D7A37" w14:textId="7E5EDFDD" w:rsidR="009F15B2" w:rsidRDefault="00562F4C" w:rsidP="009F15B2">
          <w:pPr>
            <w:pStyle w:val="Verzeichnis1"/>
            <w:tabs>
              <w:tab w:val="right" w:pos="9062"/>
            </w:tabs>
            <w:rPr>
              <w:rFonts w:asciiTheme="minorHAnsi" w:eastAsiaTheme="minorEastAsia" w:hAnsiTheme="minorHAnsi"/>
              <w:noProof/>
              <w:lang w:eastAsia="de-AT"/>
            </w:rPr>
          </w:pPr>
          <w:hyperlink w:anchor="_Toc42077728" w:history="1">
            <w:r w:rsidR="009F15B2" w:rsidRPr="009A0C18">
              <w:rPr>
                <w:rStyle w:val="Hyperlink"/>
                <w:noProof/>
                <w:lang w:val="en-US"/>
              </w:rPr>
              <w:t>2</w:t>
            </w:r>
            <w:r w:rsidR="009F15B2">
              <w:rPr>
                <w:rFonts w:asciiTheme="minorHAnsi" w:eastAsiaTheme="minorEastAsia" w:hAnsiTheme="minorHAnsi"/>
                <w:noProof/>
                <w:lang w:eastAsia="de-AT"/>
              </w:rPr>
              <w:tab/>
            </w:r>
            <w:r w:rsidR="009F15B2" w:rsidRPr="009A0C18">
              <w:rPr>
                <w:rStyle w:val="Hyperlink"/>
                <w:noProof/>
                <w:lang w:val="en-US"/>
              </w:rPr>
              <w:t>Research Question</w:t>
            </w:r>
            <w:r w:rsidR="009F15B2">
              <w:rPr>
                <w:noProof/>
                <w:webHidden/>
              </w:rPr>
              <w:tab/>
            </w:r>
            <w:r w:rsidR="009F15B2">
              <w:rPr>
                <w:noProof/>
                <w:webHidden/>
              </w:rPr>
              <w:fldChar w:fldCharType="begin"/>
            </w:r>
            <w:r w:rsidR="009F15B2">
              <w:rPr>
                <w:noProof/>
                <w:webHidden/>
              </w:rPr>
              <w:instrText xml:space="preserve"> PAGEREF _Toc42077728 \h </w:instrText>
            </w:r>
            <w:r w:rsidR="009F15B2">
              <w:rPr>
                <w:noProof/>
                <w:webHidden/>
              </w:rPr>
            </w:r>
            <w:r w:rsidR="009F15B2">
              <w:rPr>
                <w:noProof/>
                <w:webHidden/>
              </w:rPr>
              <w:fldChar w:fldCharType="separate"/>
            </w:r>
            <w:r w:rsidR="00B75C93">
              <w:rPr>
                <w:noProof/>
                <w:webHidden/>
              </w:rPr>
              <w:t>2</w:t>
            </w:r>
            <w:r w:rsidR="009F15B2">
              <w:rPr>
                <w:noProof/>
                <w:webHidden/>
              </w:rPr>
              <w:fldChar w:fldCharType="end"/>
            </w:r>
          </w:hyperlink>
        </w:p>
        <w:p w14:paraId="1266853F" w14:textId="775D8B30" w:rsidR="009F15B2" w:rsidRDefault="00562F4C" w:rsidP="009F15B2">
          <w:pPr>
            <w:pStyle w:val="Verzeichnis1"/>
            <w:tabs>
              <w:tab w:val="right" w:pos="9062"/>
            </w:tabs>
            <w:rPr>
              <w:rFonts w:asciiTheme="minorHAnsi" w:eastAsiaTheme="minorEastAsia" w:hAnsiTheme="minorHAnsi"/>
              <w:noProof/>
              <w:lang w:eastAsia="de-AT"/>
            </w:rPr>
          </w:pPr>
          <w:hyperlink w:anchor="_Toc42077729" w:history="1">
            <w:r w:rsidR="009F15B2" w:rsidRPr="009A0C18">
              <w:rPr>
                <w:rStyle w:val="Hyperlink"/>
                <w:noProof/>
                <w:lang w:val="en-US"/>
              </w:rPr>
              <w:t>3</w:t>
            </w:r>
            <w:r w:rsidR="009F15B2">
              <w:rPr>
                <w:rFonts w:asciiTheme="minorHAnsi" w:eastAsiaTheme="minorEastAsia" w:hAnsiTheme="minorHAnsi"/>
                <w:noProof/>
                <w:lang w:eastAsia="de-AT"/>
              </w:rPr>
              <w:tab/>
            </w:r>
            <w:r w:rsidR="009F15B2" w:rsidRPr="009A0C18">
              <w:rPr>
                <w:rStyle w:val="Hyperlink"/>
                <w:noProof/>
                <w:lang w:val="en-US"/>
              </w:rPr>
              <w:t>Basic Terminology</w:t>
            </w:r>
            <w:r w:rsidR="009F15B2">
              <w:rPr>
                <w:noProof/>
                <w:webHidden/>
              </w:rPr>
              <w:tab/>
            </w:r>
            <w:r w:rsidR="009F15B2">
              <w:rPr>
                <w:noProof/>
                <w:webHidden/>
              </w:rPr>
              <w:fldChar w:fldCharType="begin"/>
            </w:r>
            <w:r w:rsidR="009F15B2">
              <w:rPr>
                <w:noProof/>
                <w:webHidden/>
              </w:rPr>
              <w:instrText xml:space="preserve"> PAGEREF _Toc42077729 \h </w:instrText>
            </w:r>
            <w:r w:rsidR="009F15B2">
              <w:rPr>
                <w:noProof/>
                <w:webHidden/>
              </w:rPr>
            </w:r>
            <w:r w:rsidR="009F15B2">
              <w:rPr>
                <w:noProof/>
                <w:webHidden/>
              </w:rPr>
              <w:fldChar w:fldCharType="separate"/>
            </w:r>
            <w:r w:rsidR="00B75C93">
              <w:rPr>
                <w:noProof/>
                <w:webHidden/>
              </w:rPr>
              <w:t>3</w:t>
            </w:r>
            <w:r w:rsidR="009F15B2">
              <w:rPr>
                <w:noProof/>
                <w:webHidden/>
              </w:rPr>
              <w:fldChar w:fldCharType="end"/>
            </w:r>
          </w:hyperlink>
        </w:p>
        <w:p w14:paraId="02127FB5" w14:textId="6DFD7375" w:rsidR="009F15B2" w:rsidRDefault="00562F4C" w:rsidP="009F15B2">
          <w:pPr>
            <w:pStyle w:val="Verzeichnis2"/>
            <w:tabs>
              <w:tab w:val="left" w:pos="880"/>
              <w:tab w:val="right" w:pos="9062"/>
            </w:tabs>
            <w:spacing w:line="360" w:lineRule="auto"/>
            <w:rPr>
              <w:rFonts w:asciiTheme="minorHAnsi" w:eastAsiaTheme="minorEastAsia" w:hAnsiTheme="minorHAnsi"/>
              <w:noProof/>
              <w:lang w:eastAsia="de-AT"/>
            </w:rPr>
          </w:pPr>
          <w:hyperlink w:anchor="_Toc42077730" w:history="1">
            <w:r w:rsidR="009F15B2" w:rsidRPr="009A0C18">
              <w:rPr>
                <w:rStyle w:val="Hyperlink"/>
                <w:noProof/>
                <w:lang w:val="en-US"/>
              </w:rPr>
              <w:t>3.1</w:t>
            </w:r>
            <w:r w:rsidR="009F15B2">
              <w:rPr>
                <w:rFonts w:asciiTheme="minorHAnsi" w:eastAsiaTheme="minorEastAsia" w:hAnsiTheme="minorHAnsi"/>
                <w:noProof/>
                <w:lang w:eastAsia="de-AT"/>
              </w:rPr>
              <w:tab/>
            </w:r>
            <w:r w:rsidR="009F15B2" w:rsidRPr="009A0C18">
              <w:rPr>
                <w:rStyle w:val="Hyperlink"/>
                <w:noProof/>
                <w:lang w:val="en-US"/>
              </w:rPr>
              <w:t>Financial Institutions</w:t>
            </w:r>
            <w:r w:rsidR="009F15B2">
              <w:rPr>
                <w:noProof/>
                <w:webHidden/>
              </w:rPr>
              <w:tab/>
            </w:r>
            <w:r w:rsidR="009F15B2">
              <w:rPr>
                <w:noProof/>
                <w:webHidden/>
              </w:rPr>
              <w:fldChar w:fldCharType="begin"/>
            </w:r>
            <w:r w:rsidR="009F15B2">
              <w:rPr>
                <w:noProof/>
                <w:webHidden/>
              </w:rPr>
              <w:instrText xml:space="preserve"> PAGEREF _Toc42077730 \h </w:instrText>
            </w:r>
            <w:r w:rsidR="009F15B2">
              <w:rPr>
                <w:noProof/>
                <w:webHidden/>
              </w:rPr>
            </w:r>
            <w:r w:rsidR="009F15B2">
              <w:rPr>
                <w:noProof/>
                <w:webHidden/>
              </w:rPr>
              <w:fldChar w:fldCharType="separate"/>
            </w:r>
            <w:r w:rsidR="00B75C93">
              <w:rPr>
                <w:noProof/>
                <w:webHidden/>
              </w:rPr>
              <w:t>3</w:t>
            </w:r>
            <w:r w:rsidR="009F15B2">
              <w:rPr>
                <w:noProof/>
                <w:webHidden/>
              </w:rPr>
              <w:fldChar w:fldCharType="end"/>
            </w:r>
          </w:hyperlink>
        </w:p>
        <w:p w14:paraId="1AB9F09D" w14:textId="42D755C7" w:rsidR="009F15B2" w:rsidRDefault="00562F4C" w:rsidP="009F15B2">
          <w:pPr>
            <w:pStyle w:val="Verzeichnis2"/>
            <w:tabs>
              <w:tab w:val="left" w:pos="880"/>
              <w:tab w:val="right" w:pos="9062"/>
            </w:tabs>
            <w:spacing w:line="360" w:lineRule="auto"/>
            <w:rPr>
              <w:rFonts w:asciiTheme="minorHAnsi" w:eastAsiaTheme="minorEastAsia" w:hAnsiTheme="minorHAnsi"/>
              <w:noProof/>
              <w:lang w:eastAsia="de-AT"/>
            </w:rPr>
          </w:pPr>
          <w:hyperlink w:anchor="_Toc42077731" w:history="1">
            <w:r w:rsidR="009F15B2" w:rsidRPr="009A0C18">
              <w:rPr>
                <w:rStyle w:val="Hyperlink"/>
                <w:noProof/>
                <w:lang w:val="en-US"/>
              </w:rPr>
              <w:t>3.2</w:t>
            </w:r>
            <w:r w:rsidR="009F15B2">
              <w:rPr>
                <w:rFonts w:asciiTheme="minorHAnsi" w:eastAsiaTheme="minorEastAsia" w:hAnsiTheme="minorHAnsi"/>
                <w:noProof/>
                <w:lang w:eastAsia="de-AT"/>
              </w:rPr>
              <w:tab/>
            </w:r>
            <w:r w:rsidR="009F15B2" w:rsidRPr="009A0C18">
              <w:rPr>
                <w:rStyle w:val="Hyperlink"/>
                <w:noProof/>
                <w:lang w:val="en-US"/>
              </w:rPr>
              <w:t>Banking Fees And Charges</w:t>
            </w:r>
            <w:r w:rsidR="009F15B2">
              <w:rPr>
                <w:noProof/>
                <w:webHidden/>
              </w:rPr>
              <w:tab/>
            </w:r>
            <w:r w:rsidR="009F15B2">
              <w:rPr>
                <w:noProof/>
                <w:webHidden/>
              </w:rPr>
              <w:fldChar w:fldCharType="begin"/>
            </w:r>
            <w:r w:rsidR="009F15B2">
              <w:rPr>
                <w:noProof/>
                <w:webHidden/>
              </w:rPr>
              <w:instrText xml:space="preserve"> PAGEREF _Toc42077731 \h </w:instrText>
            </w:r>
            <w:r w:rsidR="009F15B2">
              <w:rPr>
                <w:noProof/>
                <w:webHidden/>
              </w:rPr>
            </w:r>
            <w:r w:rsidR="009F15B2">
              <w:rPr>
                <w:noProof/>
                <w:webHidden/>
              </w:rPr>
              <w:fldChar w:fldCharType="separate"/>
            </w:r>
            <w:r w:rsidR="00B75C93">
              <w:rPr>
                <w:noProof/>
                <w:webHidden/>
              </w:rPr>
              <w:t>3</w:t>
            </w:r>
            <w:r w:rsidR="009F15B2">
              <w:rPr>
                <w:noProof/>
                <w:webHidden/>
              </w:rPr>
              <w:fldChar w:fldCharType="end"/>
            </w:r>
          </w:hyperlink>
        </w:p>
        <w:p w14:paraId="6A5070CE" w14:textId="2CD95AF3" w:rsidR="009F15B2" w:rsidRDefault="00562F4C" w:rsidP="009F15B2">
          <w:pPr>
            <w:pStyle w:val="Verzeichnis2"/>
            <w:tabs>
              <w:tab w:val="left" w:pos="880"/>
              <w:tab w:val="right" w:pos="9062"/>
            </w:tabs>
            <w:spacing w:line="360" w:lineRule="auto"/>
            <w:rPr>
              <w:rFonts w:asciiTheme="minorHAnsi" w:eastAsiaTheme="minorEastAsia" w:hAnsiTheme="minorHAnsi"/>
              <w:noProof/>
              <w:lang w:eastAsia="de-AT"/>
            </w:rPr>
          </w:pPr>
          <w:hyperlink w:anchor="_Toc42077732" w:history="1">
            <w:r w:rsidR="009F15B2" w:rsidRPr="009A0C18">
              <w:rPr>
                <w:rStyle w:val="Hyperlink"/>
                <w:noProof/>
                <w:lang w:val="en-US"/>
              </w:rPr>
              <w:t>3.3</w:t>
            </w:r>
            <w:r w:rsidR="009F15B2">
              <w:rPr>
                <w:rFonts w:asciiTheme="minorHAnsi" w:eastAsiaTheme="minorEastAsia" w:hAnsiTheme="minorHAnsi"/>
                <w:noProof/>
                <w:lang w:eastAsia="de-AT"/>
              </w:rPr>
              <w:tab/>
            </w:r>
            <w:r w:rsidR="009F15B2" w:rsidRPr="009A0C18">
              <w:rPr>
                <w:rStyle w:val="Hyperlink"/>
                <w:noProof/>
                <w:lang w:val="en-US"/>
              </w:rPr>
              <w:t>Taxes</w:t>
            </w:r>
            <w:r w:rsidR="009F15B2">
              <w:rPr>
                <w:noProof/>
                <w:webHidden/>
              </w:rPr>
              <w:tab/>
            </w:r>
            <w:r w:rsidR="009F15B2">
              <w:rPr>
                <w:noProof/>
                <w:webHidden/>
              </w:rPr>
              <w:fldChar w:fldCharType="begin"/>
            </w:r>
            <w:r w:rsidR="009F15B2">
              <w:rPr>
                <w:noProof/>
                <w:webHidden/>
              </w:rPr>
              <w:instrText xml:space="preserve"> PAGEREF _Toc42077732 \h </w:instrText>
            </w:r>
            <w:r w:rsidR="009F15B2">
              <w:rPr>
                <w:noProof/>
                <w:webHidden/>
              </w:rPr>
            </w:r>
            <w:r w:rsidR="009F15B2">
              <w:rPr>
                <w:noProof/>
                <w:webHidden/>
              </w:rPr>
              <w:fldChar w:fldCharType="separate"/>
            </w:r>
            <w:r w:rsidR="00B75C93">
              <w:rPr>
                <w:noProof/>
                <w:webHidden/>
              </w:rPr>
              <w:t>3</w:t>
            </w:r>
            <w:r w:rsidR="009F15B2">
              <w:rPr>
                <w:noProof/>
                <w:webHidden/>
              </w:rPr>
              <w:fldChar w:fldCharType="end"/>
            </w:r>
          </w:hyperlink>
        </w:p>
        <w:p w14:paraId="2B048167" w14:textId="1F5C97C1" w:rsidR="009F15B2" w:rsidRDefault="00562F4C" w:rsidP="009F15B2">
          <w:pPr>
            <w:pStyle w:val="Verzeichnis2"/>
            <w:tabs>
              <w:tab w:val="left" w:pos="880"/>
              <w:tab w:val="right" w:pos="9062"/>
            </w:tabs>
            <w:spacing w:line="360" w:lineRule="auto"/>
            <w:rPr>
              <w:rFonts w:asciiTheme="minorHAnsi" w:eastAsiaTheme="minorEastAsia" w:hAnsiTheme="minorHAnsi"/>
              <w:noProof/>
              <w:lang w:eastAsia="de-AT"/>
            </w:rPr>
          </w:pPr>
          <w:hyperlink w:anchor="_Toc42077733" w:history="1">
            <w:r w:rsidR="009F15B2" w:rsidRPr="009A0C18">
              <w:rPr>
                <w:rStyle w:val="Hyperlink"/>
                <w:noProof/>
                <w:lang w:val="en-US"/>
              </w:rPr>
              <w:t>3.4</w:t>
            </w:r>
            <w:r w:rsidR="009F15B2">
              <w:rPr>
                <w:rFonts w:asciiTheme="minorHAnsi" w:eastAsiaTheme="minorEastAsia" w:hAnsiTheme="minorHAnsi"/>
                <w:noProof/>
                <w:lang w:eastAsia="de-AT"/>
              </w:rPr>
              <w:tab/>
            </w:r>
            <w:r w:rsidR="009F15B2" w:rsidRPr="009A0C18">
              <w:rPr>
                <w:rStyle w:val="Hyperlink"/>
                <w:noProof/>
                <w:lang w:val="en-US"/>
              </w:rPr>
              <w:t>Interest</w:t>
            </w:r>
            <w:r w:rsidR="009F15B2">
              <w:rPr>
                <w:noProof/>
                <w:webHidden/>
              </w:rPr>
              <w:tab/>
            </w:r>
            <w:r w:rsidR="009F15B2">
              <w:rPr>
                <w:noProof/>
                <w:webHidden/>
              </w:rPr>
              <w:fldChar w:fldCharType="begin"/>
            </w:r>
            <w:r w:rsidR="009F15B2">
              <w:rPr>
                <w:noProof/>
                <w:webHidden/>
              </w:rPr>
              <w:instrText xml:space="preserve"> PAGEREF _Toc42077733 \h </w:instrText>
            </w:r>
            <w:r w:rsidR="009F15B2">
              <w:rPr>
                <w:noProof/>
                <w:webHidden/>
              </w:rPr>
            </w:r>
            <w:r w:rsidR="009F15B2">
              <w:rPr>
                <w:noProof/>
                <w:webHidden/>
              </w:rPr>
              <w:fldChar w:fldCharType="separate"/>
            </w:r>
            <w:r w:rsidR="00B75C93">
              <w:rPr>
                <w:noProof/>
                <w:webHidden/>
              </w:rPr>
              <w:t>4</w:t>
            </w:r>
            <w:r w:rsidR="009F15B2">
              <w:rPr>
                <w:noProof/>
                <w:webHidden/>
              </w:rPr>
              <w:fldChar w:fldCharType="end"/>
            </w:r>
          </w:hyperlink>
        </w:p>
        <w:p w14:paraId="66E51BD7" w14:textId="4E933BCA" w:rsidR="009F15B2" w:rsidRDefault="00562F4C" w:rsidP="009F15B2">
          <w:pPr>
            <w:pStyle w:val="Verzeichnis2"/>
            <w:tabs>
              <w:tab w:val="left" w:pos="880"/>
              <w:tab w:val="right" w:pos="9062"/>
            </w:tabs>
            <w:spacing w:line="360" w:lineRule="auto"/>
            <w:rPr>
              <w:rFonts w:asciiTheme="minorHAnsi" w:eastAsiaTheme="minorEastAsia" w:hAnsiTheme="minorHAnsi"/>
              <w:noProof/>
              <w:lang w:eastAsia="de-AT"/>
            </w:rPr>
          </w:pPr>
          <w:hyperlink w:anchor="_Toc42077734" w:history="1">
            <w:r w:rsidR="009F15B2" w:rsidRPr="009A0C18">
              <w:rPr>
                <w:rStyle w:val="Hyperlink"/>
                <w:noProof/>
                <w:lang w:val="en-US"/>
              </w:rPr>
              <w:t>3.5</w:t>
            </w:r>
            <w:r w:rsidR="009F15B2">
              <w:rPr>
                <w:rFonts w:asciiTheme="minorHAnsi" w:eastAsiaTheme="minorEastAsia" w:hAnsiTheme="minorHAnsi"/>
                <w:noProof/>
                <w:lang w:eastAsia="de-AT"/>
              </w:rPr>
              <w:tab/>
            </w:r>
            <w:r w:rsidR="009F15B2" w:rsidRPr="009A0C18">
              <w:rPr>
                <w:rStyle w:val="Hyperlink"/>
                <w:noProof/>
                <w:lang w:val="en-US"/>
              </w:rPr>
              <w:t>Digitalization</w:t>
            </w:r>
            <w:r w:rsidR="009F15B2">
              <w:rPr>
                <w:noProof/>
                <w:webHidden/>
              </w:rPr>
              <w:tab/>
            </w:r>
            <w:r w:rsidR="009F15B2">
              <w:rPr>
                <w:noProof/>
                <w:webHidden/>
              </w:rPr>
              <w:fldChar w:fldCharType="begin"/>
            </w:r>
            <w:r w:rsidR="009F15B2">
              <w:rPr>
                <w:noProof/>
                <w:webHidden/>
              </w:rPr>
              <w:instrText xml:space="preserve"> PAGEREF _Toc42077734 \h </w:instrText>
            </w:r>
            <w:r w:rsidR="009F15B2">
              <w:rPr>
                <w:noProof/>
                <w:webHidden/>
              </w:rPr>
            </w:r>
            <w:r w:rsidR="009F15B2">
              <w:rPr>
                <w:noProof/>
                <w:webHidden/>
              </w:rPr>
              <w:fldChar w:fldCharType="separate"/>
            </w:r>
            <w:r w:rsidR="00B75C93">
              <w:rPr>
                <w:noProof/>
                <w:webHidden/>
              </w:rPr>
              <w:t>4</w:t>
            </w:r>
            <w:r w:rsidR="009F15B2">
              <w:rPr>
                <w:noProof/>
                <w:webHidden/>
              </w:rPr>
              <w:fldChar w:fldCharType="end"/>
            </w:r>
          </w:hyperlink>
        </w:p>
        <w:p w14:paraId="7E69F59F" w14:textId="4A5F486C" w:rsidR="009F15B2" w:rsidRDefault="00562F4C" w:rsidP="009F15B2">
          <w:pPr>
            <w:pStyle w:val="Verzeichnis1"/>
            <w:tabs>
              <w:tab w:val="right" w:pos="9062"/>
            </w:tabs>
            <w:rPr>
              <w:rFonts w:asciiTheme="minorHAnsi" w:eastAsiaTheme="minorEastAsia" w:hAnsiTheme="minorHAnsi"/>
              <w:noProof/>
              <w:lang w:eastAsia="de-AT"/>
            </w:rPr>
          </w:pPr>
          <w:hyperlink w:anchor="_Toc42077735" w:history="1">
            <w:r w:rsidR="009F15B2" w:rsidRPr="009A0C18">
              <w:rPr>
                <w:rStyle w:val="Hyperlink"/>
                <w:noProof/>
                <w:lang w:val="en-US"/>
              </w:rPr>
              <w:t>4</w:t>
            </w:r>
            <w:r w:rsidR="009F15B2">
              <w:rPr>
                <w:rFonts w:asciiTheme="minorHAnsi" w:eastAsiaTheme="minorEastAsia" w:hAnsiTheme="minorHAnsi"/>
                <w:noProof/>
                <w:lang w:eastAsia="de-AT"/>
              </w:rPr>
              <w:tab/>
            </w:r>
            <w:r w:rsidR="009F15B2" w:rsidRPr="009A0C18">
              <w:rPr>
                <w:rStyle w:val="Hyperlink"/>
                <w:noProof/>
                <w:lang w:val="en-US"/>
              </w:rPr>
              <w:t>Historical Developments In Banking</w:t>
            </w:r>
            <w:r w:rsidR="009F15B2">
              <w:rPr>
                <w:noProof/>
                <w:webHidden/>
              </w:rPr>
              <w:tab/>
            </w:r>
            <w:r w:rsidR="009F15B2">
              <w:rPr>
                <w:noProof/>
                <w:webHidden/>
              </w:rPr>
              <w:fldChar w:fldCharType="begin"/>
            </w:r>
            <w:r w:rsidR="009F15B2">
              <w:rPr>
                <w:noProof/>
                <w:webHidden/>
              </w:rPr>
              <w:instrText xml:space="preserve"> PAGEREF _Toc42077735 \h </w:instrText>
            </w:r>
            <w:r w:rsidR="009F15B2">
              <w:rPr>
                <w:noProof/>
                <w:webHidden/>
              </w:rPr>
            </w:r>
            <w:r w:rsidR="009F15B2">
              <w:rPr>
                <w:noProof/>
                <w:webHidden/>
              </w:rPr>
              <w:fldChar w:fldCharType="separate"/>
            </w:r>
            <w:r w:rsidR="00B75C93">
              <w:rPr>
                <w:noProof/>
                <w:webHidden/>
              </w:rPr>
              <w:t>5</w:t>
            </w:r>
            <w:r w:rsidR="009F15B2">
              <w:rPr>
                <w:noProof/>
                <w:webHidden/>
              </w:rPr>
              <w:fldChar w:fldCharType="end"/>
            </w:r>
          </w:hyperlink>
        </w:p>
        <w:p w14:paraId="4200D1E4" w14:textId="3748B5CB" w:rsidR="009F15B2" w:rsidRDefault="00562F4C" w:rsidP="009F15B2">
          <w:pPr>
            <w:pStyle w:val="Verzeichnis2"/>
            <w:tabs>
              <w:tab w:val="left" w:pos="880"/>
              <w:tab w:val="right" w:pos="9062"/>
            </w:tabs>
            <w:spacing w:line="360" w:lineRule="auto"/>
            <w:rPr>
              <w:rFonts w:asciiTheme="minorHAnsi" w:eastAsiaTheme="minorEastAsia" w:hAnsiTheme="minorHAnsi"/>
              <w:noProof/>
              <w:lang w:eastAsia="de-AT"/>
            </w:rPr>
          </w:pPr>
          <w:hyperlink w:anchor="_Toc42077736" w:history="1">
            <w:r w:rsidR="009F15B2" w:rsidRPr="009A0C18">
              <w:rPr>
                <w:rStyle w:val="Hyperlink"/>
                <w:noProof/>
                <w:lang w:val="en-US"/>
              </w:rPr>
              <w:t>4.1</w:t>
            </w:r>
            <w:r w:rsidR="009F15B2">
              <w:rPr>
                <w:rFonts w:asciiTheme="minorHAnsi" w:eastAsiaTheme="minorEastAsia" w:hAnsiTheme="minorHAnsi"/>
                <w:noProof/>
                <w:lang w:eastAsia="de-AT"/>
              </w:rPr>
              <w:tab/>
            </w:r>
            <w:r w:rsidR="009F15B2" w:rsidRPr="009A0C18">
              <w:rPr>
                <w:rStyle w:val="Hyperlink"/>
                <w:noProof/>
                <w:lang w:val="en-US"/>
              </w:rPr>
              <w:t>Beginning of Banking</w:t>
            </w:r>
            <w:r w:rsidR="009F15B2">
              <w:rPr>
                <w:noProof/>
                <w:webHidden/>
              </w:rPr>
              <w:tab/>
            </w:r>
            <w:r w:rsidR="009F15B2">
              <w:rPr>
                <w:noProof/>
                <w:webHidden/>
              </w:rPr>
              <w:fldChar w:fldCharType="begin"/>
            </w:r>
            <w:r w:rsidR="009F15B2">
              <w:rPr>
                <w:noProof/>
                <w:webHidden/>
              </w:rPr>
              <w:instrText xml:space="preserve"> PAGEREF _Toc42077736 \h </w:instrText>
            </w:r>
            <w:r w:rsidR="009F15B2">
              <w:rPr>
                <w:noProof/>
                <w:webHidden/>
              </w:rPr>
            </w:r>
            <w:r w:rsidR="009F15B2">
              <w:rPr>
                <w:noProof/>
                <w:webHidden/>
              </w:rPr>
              <w:fldChar w:fldCharType="separate"/>
            </w:r>
            <w:r w:rsidR="00B75C93">
              <w:rPr>
                <w:noProof/>
                <w:webHidden/>
              </w:rPr>
              <w:t>5</w:t>
            </w:r>
            <w:r w:rsidR="009F15B2">
              <w:rPr>
                <w:noProof/>
                <w:webHidden/>
              </w:rPr>
              <w:fldChar w:fldCharType="end"/>
            </w:r>
          </w:hyperlink>
        </w:p>
        <w:p w14:paraId="3480FEDB" w14:textId="031BE4D8" w:rsidR="009F15B2" w:rsidRDefault="00562F4C" w:rsidP="009F15B2">
          <w:pPr>
            <w:pStyle w:val="Verzeichnis2"/>
            <w:tabs>
              <w:tab w:val="left" w:pos="880"/>
              <w:tab w:val="right" w:pos="9062"/>
            </w:tabs>
            <w:spacing w:line="360" w:lineRule="auto"/>
            <w:rPr>
              <w:rFonts w:asciiTheme="minorHAnsi" w:eastAsiaTheme="minorEastAsia" w:hAnsiTheme="minorHAnsi"/>
              <w:noProof/>
              <w:lang w:eastAsia="de-AT"/>
            </w:rPr>
          </w:pPr>
          <w:hyperlink w:anchor="_Toc42077737" w:history="1">
            <w:r w:rsidR="009F15B2" w:rsidRPr="009A0C18">
              <w:rPr>
                <w:rStyle w:val="Hyperlink"/>
                <w:noProof/>
                <w:lang w:val="en-US"/>
              </w:rPr>
              <w:t>4.2</w:t>
            </w:r>
            <w:r w:rsidR="009F15B2">
              <w:rPr>
                <w:rFonts w:asciiTheme="minorHAnsi" w:eastAsiaTheme="minorEastAsia" w:hAnsiTheme="minorHAnsi"/>
                <w:noProof/>
                <w:lang w:eastAsia="de-AT"/>
              </w:rPr>
              <w:tab/>
            </w:r>
            <w:r w:rsidR="009F15B2" w:rsidRPr="009A0C18">
              <w:rPr>
                <w:rStyle w:val="Hyperlink"/>
                <w:noProof/>
                <w:lang w:val="en-US"/>
              </w:rPr>
              <w:t>Continuous Developments</w:t>
            </w:r>
            <w:r w:rsidR="009F15B2">
              <w:rPr>
                <w:noProof/>
                <w:webHidden/>
              </w:rPr>
              <w:tab/>
            </w:r>
            <w:r w:rsidR="009F15B2">
              <w:rPr>
                <w:noProof/>
                <w:webHidden/>
              </w:rPr>
              <w:fldChar w:fldCharType="begin"/>
            </w:r>
            <w:r w:rsidR="009F15B2">
              <w:rPr>
                <w:noProof/>
                <w:webHidden/>
              </w:rPr>
              <w:instrText xml:space="preserve"> PAGEREF _Toc42077737 \h </w:instrText>
            </w:r>
            <w:r w:rsidR="009F15B2">
              <w:rPr>
                <w:noProof/>
                <w:webHidden/>
              </w:rPr>
            </w:r>
            <w:r w:rsidR="009F15B2">
              <w:rPr>
                <w:noProof/>
                <w:webHidden/>
              </w:rPr>
              <w:fldChar w:fldCharType="separate"/>
            </w:r>
            <w:r w:rsidR="00B75C93">
              <w:rPr>
                <w:noProof/>
                <w:webHidden/>
              </w:rPr>
              <w:t>6</w:t>
            </w:r>
            <w:r w:rsidR="009F15B2">
              <w:rPr>
                <w:noProof/>
                <w:webHidden/>
              </w:rPr>
              <w:fldChar w:fldCharType="end"/>
            </w:r>
          </w:hyperlink>
        </w:p>
        <w:p w14:paraId="53BDE808" w14:textId="51D4299E" w:rsidR="009F15B2" w:rsidRDefault="00562F4C" w:rsidP="009F15B2">
          <w:pPr>
            <w:pStyle w:val="Verzeichnis2"/>
            <w:tabs>
              <w:tab w:val="left" w:pos="880"/>
              <w:tab w:val="right" w:pos="9062"/>
            </w:tabs>
            <w:spacing w:line="360" w:lineRule="auto"/>
            <w:rPr>
              <w:rFonts w:asciiTheme="minorHAnsi" w:eastAsiaTheme="minorEastAsia" w:hAnsiTheme="minorHAnsi"/>
              <w:noProof/>
              <w:lang w:eastAsia="de-AT"/>
            </w:rPr>
          </w:pPr>
          <w:hyperlink w:anchor="_Toc42077738" w:history="1">
            <w:r w:rsidR="009F15B2" w:rsidRPr="009A0C18">
              <w:rPr>
                <w:rStyle w:val="Hyperlink"/>
                <w:noProof/>
                <w:lang w:val="en-US"/>
              </w:rPr>
              <w:t>4.3</w:t>
            </w:r>
            <w:r w:rsidR="009F15B2">
              <w:rPr>
                <w:rFonts w:asciiTheme="minorHAnsi" w:eastAsiaTheme="minorEastAsia" w:hAnsiTheme="minorHAnsi"/>
                <w:noProof/>
                <w:lang w:eastAsia="de-AT"/>
              </w:rPr>
              <w:tab/>
            </w:r>
            <w:r w:rsidR="009F15B2" w:rsidRPr="009A0C18">
              <w:rPr>
                <w:rStyle w:val="Hyperlink"/>
                <w:noProof/>
                <w:lang w:val="en-US"/>
              </w:rPr>
              <w:t>Banking After World War II</w:t>
            </w:r>
            <w:r w:rsidR="009F15B2">
              <w:rPr>
                <w:noProof/>
                <w:webHidden/>
              </w:rPr>
              <w:tab/>
            </w:r>
            <w:r w:rsidR="009F15B2">
              <w:rPr>
                <w:noProof/>
                <w:webHidden/>
              </w:rPr>
              <w:fldChar w:fldCharType="begin"/>
            </w:r>
            <w:r w:rsidR="009F15B2">
              <w:rPr>
                <w:noProof/>
                <w:webHidden/>
              </w:rPr>
              <w:instrText xml:space="preserve"> PAGEREF _Toc42077738 \h </w:instrText>
            </w:r>
            <w:r w:rsidR="009F15B2">
              <w:rPr>
                <w:noProof/>
                <w:webHidden/>
              </w:rPr>
            </w:r>
            <w:r w:rsidR="009F15B2">
              <w:rPr>
                <w:noProof/>
                <w:webHidden/>
              </w:rPr>
              <w:fldChar w:fldCharType="separate"/>
            </w:r>
            <w:r w:rsidR="00B75C93">
              <w:rPr>
                <w:noProof/>
                <w:webHidden/>
              </w:rPr>
              <w:t>7</w:t>
            </w:r>
            <w:r w:rsidR="009F15B2">
              <w:rPr>
                <w:noProof/>
                <w:webHidden/>
              </w:rPr>
              <w:fldChar w:fldCharType="end"/>
            </w:r>
          </w:hyperlink>
        </w:p>
        <w:p w14:paraId="377B57E5" w14:textId="5F436F0B" w:rsidR="009F15B2" w:rsidRDefault="00562F4C" w:rsidP="009F15B2">
          <w:pPr>
            <w:pStyle w:val="Verzeichnis2"/>
            <w:tabs>
              <w:tab w:val="left" w:pos="880"/>
              <w:tab w:val="right" w:pos="9062"/>
            </w:tabs>
            <w:spacing w:line="360" w:lineRule="auto"/>
            <w:rPr>
              <w:rFonts w:asciiTheme="minorHAnsi" w:eastAsiaTheme="minorEastAsia" w:hAnsiTheme="minorHAnsi"/>
              <w:noProof/>
              <w:lang w:eastAsia="de-AT"/>
            </w:rPr>
          </w:pPr>
          <w:hyperlink w:anchor="_Toc42077739" w:history="1">
            <w:r w:rsidR="009F15B2" w:rsidRPr="009A0C18">
              <w:rPr>
                <w:rStyle w:val="Hyperlink"/>
                <w:noProof/>
                <w:lang w:val="en-US"/>
              </w:rPr>
              <w:t>4.4</w:t>
            </w:r>
            <w:r w:rsidR="009F15B2">
              <w:rPr>
                <w:rFonts w:asciiTheme="minorHAnsi" w:eastAsiaTheme="minorEastAsia" w:hAnsiTheme="minorHAnsi"/>
                <w:noProof/>
                <w:lang w:eastAsia="de-AT"/>
              </w:rPr>
              <w:tab/>
            </w:r>
            <w:r w:rsidR="009F15B2" w:rsidRPr="009A0C18">
              <w:rPr>
                <w:rStyle w:val="Hyperlink"/>
                <w:noProof/>
                <w:lang w:val="en-US"/>
              </w:rPr>
              <w:t>Banking In The 21</w:t>
            </w:r>
            <w:r w:rsidR="009F15B2" w:rsidRPr="009A0C18">
              <w:rPr>
                <w:rStyle w:val="Hyperlink"/>
                <w:noProof/>
                <w:vertAlign w:val="superscript"/>
                <w:lang w:val="en-US"/>
              </w:rPr>
              <w:t>st</w:t>
            </w:r>
            <w:r w:rsidR="009F15B2" w:rsidRPr="009A0C18">
              <w:rPr>
                <w:rStyle w:val="Hyperlink"/>
                <w:noProof/>
                <w:lang w:val="en-US"/>
              </w:rPr>
              <w:t xml:space="preserve"> Century</w:t>
            </w:r>
            <w:r w:rsidR="009F15B2">
              <w:rPr>
                <w:noProof/>
                <w:webHidden/>
              </w:rPr>
              <w:tab/>
            </w:r>
            <w:r w:rsidR="009F15B2">
              <w:rPr>
                <w:noProof/>
                <w:webHidden/>
              </w:rPr>
              <w:fldChar w:fldCharType="begin"/>
            </w:r>
            <w:r w:rsidR="009F15B2">
              <w:rPr>
                <w:noProof/>
                <w:webHidden/>
              </w:rPr>
              <w:instrText xml:space="preserve"> PAGEREF _Toc42077739 \h </w:instrText>
            </w:r>
            <w:r w:rsidR="009F15B2">
              <w:rPr>
                <w:noProof/>
                <w:webHidden/>
              </w:rPr>
            </w:r>
            <w:r w:rsidR="009F15B2">
              <w:rPr>
                <w:noProof/>
                <w:webHidden/>
              </w:rPr>
              <w:fldChar w:fldCharType="separate"/>
            </w:r>
            <w:r w:rsidR="00B75C93">
              <w:rPr>
                <w:noProof/>
                <w:webHidden/>
              </w:rPr>
              <w:t>8</w:t>
            </w:r>
            <w:r w:rsidR="009F15B2">
              <w:rPr>
                <w:noProof/>
                <w:webHidden/>
              </w:rPr>
              <w:fldChar w:fldCharType="end"/>
            </w:r>
          </w:hyperlink>
        </w:p>
        <w:p w14:paraId="11E7AFA1" w14:textId="7CB74755" w:rsidR="009F15B2" w:rsidRDefault="00562F4C" w:rsidP="009F15B2">
          <w:pPr>
            <w:pStyle w:val="Verzeichnis1"/>
            <w:tabs>
              <w:tab w:val="right" w:pos="9062"/>
            </w:tabs>
            <w:rPr>
              <w:rFonts w:asciiTheme="minorHAnsi" w:eastAsiaTheme="minorEastAsia" w:hAnsiTheme="minorHAnsi"/>
              <w:noProof/>
              <w:lang w:eastAsia="de-AT"/>
            </w:rPr>
          </w:pPr>
          <w:hyperlink w:anchor="_Toc42077740" w:history="1">
            <w:r w:rsidR="009F15B2" w:rsidRPr="009A0C18">
              <w:rPr>
                <w:rStyle w:val="Hyperlink"/>
                <w:noProof/>
                <w:lang w:val="en-US"/>
              </w:rPr>
              <w:t>5</w:t>
            </w:r>
            <w:r w:rsidR="009F15B2">
              <w:rPr>
                <w:rFonts w:asciiTheme="minorHAnsi" w:eastAsiaTheme="minorEastAsia" w:hAnsiTheme="minorHAnsi"/>
                <w:noProof/>
                <w:lang w:eastAsia="de-AT"/>
              </w:rPr>
              <w:tab/>
            </w:r>
            <w:r w:rsidR="009F15B2" w:rsidRPr="009A0C18">
              <w:rPr>
                <w:rStyle w:val="Hyperlink"/>
                <w:noProof/>
                <w:lang w:val="en-US"/>
              </w:rPr>
              <w:t>Banking in Europe</w:t>
            </w:r>
            <w:r w:rsidR="009F15B2">
              <w:rPr>
                <w:noProof/>
                <w:webHidden/>
              </w:rPr>
              <w:tab/>
            </w:r>
            <w:r w:rsidR="009F15B2">
              <w:rPr>
                <w:noProof/>
                <w:webHidden/>
              </w:rPr>
              <w:fldChar w:fldCharType="begin"/>
            </w:r>
            <w:r w:rsidR="009F15B2">
              <w:rPr>
                <w:noProof/>
                <w:webHidden/>
              </w:rPr>
              <w:instrText xml:space="preserve"> PAGEREF _Toc42077740 \h </w:instrText>
            </w:r>
            <w:r w:rsidR="009F15B2">
              <w:rPr>
                <w:noProof/>
                <w:webHidden/>
              </w:rPr>
            </w:r>
            <w:r w:rsidR="009F15B2">
              <w:rPr>
                <w:noProof/>
                <w:webHidden/>
              </w:rPr>
              <w:fldChar w:fldCharType="separate"/>
            </w:r>
            <w:r w:rsidR="00B75C93">
              <w:rPr>
                <w:noProof/>
                <w:webHidden/>
              </w:rPr>
              <w:t>9</w:t>
            </w:r>
            <w:r w:rsidR="009F15B2">
              <w:rPr>
                <w:noProof/>
                <w:webHidden/>
              </w:rPr>
              <w:fldChar w:fldCharType="end"/>
            </w:r>
          </w:hyperlink>
        </w:p>
        <w:p w14:paraId="00497940" w14:textId="7970434F" w:rsidR="009F15B2" w:rsidRDefault="00562F4C" w:rsidP="009F15B2">
          <w:pPr>
            <w:pStyle w:val="Verzeichnis2"/>
            <w:tabs>
              <w:tab w:val="left" w:pos="880"/>
              <w:tab w:val="right" w:pos="9062"/>
            </w:tabs>
            <w:spacing w:line="360" w:lineRule="auto"/>
            <w:rPr>
              <w:rFonts w:asciiTheme="minorHAnsi" w:eastAsiaTheme="minorEastAsia" w:hAnsiTheme="minorHAnsi"/>
              <w:noProof/>
              <w:lang w:eastAsia="de-AT"/>
            </w:rPr>
          </w:pPr>
          <w:hyperlink w:anchor="_Toc42077741" w:history="1">
            <w:r w:rsidR="009F15B2" w:rsidRPr="009A0C18">
              <w:rPr>
                <w:rStyle w:val="Hyperlink"/>
                <w:noProof/>
                <w:lang w:val="en-US"/>
              </w:rPr>
              <w:t>5.1</w:t>
            </w:r>
            <w:r w:rsidR="009F15B2">
              <w:rPr>
                <w:rFonts w:asciiTheme="minorHAnsi" w:eastAsiaTheme="minorEastAsia" w:hAnsiTheme="minorHAnsi"/>
                <w:noProof/>
                <w:lang w:eastAsia="de-AT"/>
              </w:rPr>
              <w:tab/>
            </w:r>
            <w:r w:rsidR="009F15B2" w:rsidRPr="009A0C18">
              <w:rPr>
                <w:rStyle w:val="Hyperlink"/>
                <w:noProof/>
                <w:lang w:val="en-US"/>
              </w:rPr>
              <w:t>Types Of Banking Institutions</w:t>
            </w:r>
            <w:r w:rsidR="009F15B2">
              <w:rPr>
                <w:noProof/>
                <w:webHidden/>
              </w:rPr>
              <w:tab/>
            </w:r>
            <w:r w:rsidR="009F15B2">
              <w:rPr>
                <w:noProof/>
                <w:webHidden/>
              </w:rPr>
              <w:fldChar w:fldCharType="begin"/>
            </w:r>
            <w:r w:rsidR="009F15B2">
              <w:rPr>
                <w:noProof/>
                <w:webHidden/>
              </w:rPr>
              <w:instrText xml:space="preserve"> PAGEREF _Toc42077741 \h </w:instrText>
            </w:r>
            <w:r w:rsidR="009F15B2">
              <w:rPr>
                <w:noProof/>
                <w:webHidden/>
              </w:rPr>
            </w:r>
            <w:r w:rsidR="009F15B2">
              <w:rPr>
                <w:noProof/>
                <w:webHidden/>
              </w:rPr>
              <w:fldChar w:fldCharType="separate"/>
            </w:r>
            <w:r w:rsidR="00B75C93">
              <w:rPr>
                <w:noProof/>
                <w:webHidden/>
              </w:rPr>
              <w:t>9</w:t>
            </w:r>
            <w:r w:rsidR="009F15B2">
              <w:rPr>
                <w:noProof/>
                <w:webHidden/>
              </w:rPr>
              <w:fldChar w:fldCharType="end"/>
            </w:r>
          </w:hyperlink>
        </w:p>
        <w:p w14:paraId="1DBD43D9" w14:textId="56A995E0" w:rsidR="009F15B2" w:rsidRDefault="00562F4C" w:rsidP="009F15B2">
          <w:pPr>
            <w:pStyle w:val="Verzeichnis3"/>
            <w:tabs>
              <w:tab w:val="left" w:pos="1320"/>
              <w:tab w:val="right" w:pos="9062"/>
            </w:tabs>
            <w:spacing w:line="360" w:lineRule="auto"/>
            <w:rPr>
              <w:rFonts w:asciiTheme="minorHAnsi" w:eastAsiaTheme="minorEastAsia" w:hAnsiTheme="minorHAnsi"/>
              <w:noProof/>
              <w:lang w:eastAsia="de-AT"/>
            </w:rPr>
          </w:pPr>
          <w:hyperlink w:anchor="_Toc42077742" w:history="1">
            <w:r w:rsidR="009F15B2" w:rsidRPr="009A0C18">
              <w:rPr>
                <w:rStyle w:val="Hyperlink"/>
                <w:noProof/>
                <w:lang w:val="en-US"/>
              </w:rPr>
              <w:t>5.1.1</w:t>
            </w:r>
            <w:r w:rsidR="009F15B2">
              <w:rPr>
                <w:rFonts w:asciiTheme="minorHAnsi" w:eastAsiaTheme="minorEastAsia" w:hAnsiTheme="minorHAnsi"/>
                <w:noProof/>
                <w:lang w:eastAsia="de-AT"/>
              </w:rPr>
              <w:tab/>
            </w:r>
            <w:r w:rsidR="009F15B2" w:rsidRPr="009A0C18">
              <w:rPr>
                <w:rStyle w:val="Hyperlink"/>
                <w:noProof/>
                <w:lang w:val="en-US"/>
              </w:rPr>
              <w:t>Traditional Banks</w:t>
            </w:r>
            <w:r w:rsidR="009F15B2">
              <w:rPr>
                <w:noProof/>
                <w:webHidden/>
              </w:rPr>
              <w:tab/>
            </w:r>
            <w:r w:rsidR="009F15B2">
              <w:rPr>
                <w:noProof/>
                <w:webHidden/>
              </w:rPr>
              <w:fldChar w:fldCharType="begin"/>
            </w:r>
            <w:r w:rsidR="009F15B2">
              <w:rPr>
                <w:noProof/>
                <w:webHidden/>
              </w:rPr>
              <w:instrText xml:space="preserve"> PAGEREF _Toc42077742 \h </w:instrText>
            </w:r>
            <w:r w:rsidR="009F15B2">
              <w:rPr>
                <w:noProof/>
                <w:webHidden/>
              </w:rPr>
            </w:r>
            <w:r w:rsidR="009F15B2">
              <w:rPr>
                <w:noProof/>
                <w:webHidden/>
              </w:rPr>
              <w:fldChar w:fldCharType="separate"/>
            </w:r>
            <w:r w:rsidR="00B75C93">
              <w:rPr>
                <w:noProof/>
                <w:webHidden/>
              </w:rPr>
              <w:t>9</w:t>
            </w:r>
            <w:r w:rsidR="009F15B2">
              <w:rPr>
                <w:noProof/>
                <w:webHidden/>
              </w:rPr>
              <w:fldChar w:fldCharType="end"/>
            </w:r>
          </w:hyperlink>
        </w:p>
        <w:p w14:paraId="00E0AD23" w14:textId="47121621" w:rsidR="009F15B2" w:rsidRDefault="00562F4C" w:rsidP="009F15B2">
          <w:pPr>
            <w:pStyle w:val="Verzeichnis3"/>
            <w:tabs>
              <w:tab w:val="left" w:pos="1320"/>
              <w:tab w:val="right" w:pos="9062"/>
            </w:tabs>
            <w:spacing w:line="360" w:lineRule="auto"/>
            <w:rPr>
              <w:rFonts w:asciiTheme="minorHAnsi" w:eastAsiaTheme="minorEastAsia" w:hAnsiTheme="minorHAnsi"/>
              <w:noProof/>
              <w:lang w:eastAsia="de-AT"/>
            </w:rPr>
          </w:pPr>
          <w:hyperlink w:anchor="_Toc42077743" w:history="1">
            <w:r w:rsidR="009F15B2" w:rsidRPr="009A0C18">
              <w:rPr>
                <w:rStyle w:val="Hyperlink"/>
                <w:noProof/>
                <w:lang w:val="en-US"/>
              </w:rPr>
              <w:t>5.1.2</w:t>
            </w:r>
            <w:r w:rsidR="009F15B2">
              <w:rPr>
                <w:rFonts w:asciiTheme="minorHAnsi" w:eastAsiaTheme="minorEastAsia" w:hAnsiTheme="minorHAnsi"/>
                <w:noProof/>
                <w:lang w:eastAsia="de-AT"/>
              </w:rPr>
              <w:tab/>
            </w:r>
            <w:r w:rsidR="009F15B2" w:rsidRPr="009A0C18">
              <w:rPr>
                <w:rStyle w:val="Hyperlink"/>
                <w:noProof/>
                <w:lang w:val="en-US"/>
              </w:rPr>
              <w:t>Direct Banks</w:t>
            </w:r>
            <w:r w:rsidR="009F15B2">
              <w:rPr>
                <w:noProof/>
                <w:webHidden/>
              </w:rPr>
              <w:tab/>
            </w:r>
            <w:r w:rsidR="009F15B2">
              <w:rPr>
                <w:noProof/>
                <w:webHidden/>
              </w:rPr>
              <w:fldChar w:fldCharType="begin"/>
            </w:r>
            <w:r w:rsidR="009F15B2">
              <w:rPr>
                <w:noProof/>
                <w:webHidden/>
              </w:rPr>
              <w:instrText xml:space="preserve"> PAGEREF _Toc42077743 \h </w:instrText>
            </w:r>
            <w:r w:rsidR="009F15B2">
              <w:rPr>
                <w:noProof/>
                <w:webHidden/>
              </w:rPr>
            </w:r>
            <w:r w:rsidR="009F15B2">
              <w:rPr>
                <w:noProof/>
                <w:webHidden/>
              </w:rPr>
              <w:fldChar w:fldCharType="separate"/>
            </w:r>
            <w:r w:rsidR="00B75C93">
              <w:rPr>
                <w:noProof/>
                <w:webHidden/>
              </w:rPr>
              <w:t>10</w:t>
            </w:r>
            <w:r w:rsidR="009F15B2">
              <w:rPr>
                <w:noProof/>
                <w:webHidden/>
              </w:rPr>
              <w:fldChar w:fldCharType="end"/>
            </w:r>
          </w:hyperlink>
        </w:p>
        <w:p w14:paraId="465EB649" w14:textId="246D9041" w:rsidR="009F15B2" w:rsidRDefault="00562F4C" w:rsidP="009F15B2">
          <w:pPr>
            <w:pStyle w:val="Verzeichnis2"/>
            <w:tabs>
              <w:tab w:val="left" w:pos="880"/>
              <w:tab w:val="right" w:pos="9062"/>
            </w:tabs>
            <w:spacing w:line="360" w:lineRule="auto"/>
            <w:rPr>
              <w:rFonts w:asciiTheme="minorHAnsi" w:eastAsiaTheme="minorEastAsia" w:hAnsiTheme="minorHAnsi"/>
              <w:noProof/>
              <w:lang w:eastAsia="de-AT"/>
            </w:rPr>
          </w:pPr>
          <w:hyperlink w:anchor="_Toc42077744" w:history="1">
            <w:r w:rsidR="009F15B2" w:rsidRPr="009A0C18">
              <w:rPr>
                <w:rStyle w:val="Hyperlink"/>
                <w:noProof/>
                <w:lang w:val="en-US"/>
              </w:rPr>
              <w:t>5.2</w:t>
            </w:r>
            <w:r w:rsidR="009F15B2">
              <w:rPr>
                <w:rFonts w:asciiTheme="minorHAnsi" w:eastAsiaTheme="minorEastAsia" w:hAnsiTheme="minorHAnsi"/>
                <w:noProof/>
                <w:lang w:eastAsia="de-AT"/>
              </w:rPr>
              <w:tab/>
            </w:r>
            <w:r w:rsidR="009F15B2" w:rsidRPr="009A0C18">
              <w:rPr>
                <w:rStyle w:val="Hyperlink"/>
                <w:noProof/>
                <w:lang w:val="en-US"/>
              </w:rPr>
              <w:t>Market Analysis</w:t>
            </w:r>
            <w:r w:rsidR="009F15B2">
              <w:rPr>
                <w:noProof/>
                <w:webHidden/>
              </w:rPr>
              <w:tab/>
            </w:r>
            <w:r w:rsidR="009F15B2">
              <w:rPr>
                <w:noProof/>
                <w:webHidden/>
              </w:rPr>
              <w:fldChar w:fldCharType="begin"/>
            </w:r>
            <w:r w:rsidR="009F15B2">
              <w:rPr>
                <w:noProof/>
                <w:webHidden/>
              </w:rPr>
              <w:instrText xml:space="preserve"> PAGEREF _Toc42077744 \h </w:instrText>
            </w:r>
            <w:r w:rsidR="009F15B2">
              <w:rPr>
                <w:noProof/>
                <w:webHidden/>
              </w:rPr>
            </w:r>
            <w:r w:rsidR="009F15B2">
              <w:rPr>
                <w:noProof/>
                <w:webHidden/>
              </w:rPr>
              <w:fldChar w:fldCharType="separate"/>
            </w:r>
            <w:r w:rsidR="00B75C93">
              <w:rPr>
                <w:noProof/>
                <w:webHidden/>
              </w:rPr>
              <w:t>11</w:t>
            </w:r>
            <w:r w:rsidR="009F15B2">
              <w:rPr>
                <w:noProof/>
                <w:webHidden/>
              </w:rPr>
              <w:fldChar w:fldCharType="end"/>
            </w:r>
          </w:hyperlink>
        </w:p>
        <w:p w14:paraId="3A83EC8E" w14:textId="34B7FC80" w:rsidR="009F15B2" w:rsidRDefault="00562F4C" w:rsidP="009F15B2">
          <w:pPr>
            <w:pStyle w:val="Verzeichnis2"/>
            <w:tabs>
              <w:tab w:val="left" w:pos="880"/>
              <w:tab w:val="right" w:pos="9062"/>
            </w:tabs>
            <w:spacing w:line="360" w:lineRule="auto"/>
            <w:rPr>
              <w:rFonts w:asciiTheme="minorHAnsi" w:eastAsiaTheme="minorEastAsia" w:hAnsiTheme="minorHAnsi"/>
              <w:noProof/>
              <w:lang w:eastAsia="de-AT"/>
            </w:rPr>
          </w:pPr>
          <w:hyperlink w:anchor="_Toc42077745" w:history="1">
            <w:r w:rsidR="009F15B2" w:rsidRPr="009A0C18">
              <w:rPr>
                <w:rStyle w:val="Hyperlink"/>
                <w:noProof/>
                <w:lang w:val="en-US"/>
              </w:rPr>
              <w:t>5.3</w:t>
            </w:r>
            <w:r w:rsidR="009F15B2">
              <w:rPr>
                <w:rFonts w:asciiTheme="minorHAnsi" w:eastAsiaTheme="minorEastAsia" w:hAnsiTheme="minorHAnsi"/>
                <w:noProof/>
                <w:lang w:eastAsia="de-AT"/>
              </w:rPr>
              <w:tab/>
            </w:r>
            <w:r w:rsidR="009F15B2" w:rsidRPr="009A0C18">
              <w:rPr>
                <w:rStyle w:val="Hyperlink"/>
                <w:noProof/>
                <w:lang w:val="en-US"/>
              </w:rPr>
              <w:t>Recent Developments</w:t>
            </w:r>
            <w:r w:rsidR="009F15B2">
              <w:rPr>
                <w:noProof/>
                <w:webHidden/>
              </w:rPr>
              <w:tab/>
            </w:r>
            <w:r w:rsidR="009F15B2">
              <w:rPr>
                <w:noProof/>
                <w:webHidden/>
              </w:rPr>
              <w:fldChar w:fldCharType="begin"/>
            </w:r>
            <w:r w:rsidR="009F15B2">
              <w:rPr>
                <w:noProof/>
                <w:webHidden/>
              </w:rPr>
              <w:instrText xml:space="preserve"> PAGEREF _Toc42077745 \h </w:instrText>
            </w:r>
            <w:r w:rsidR="009F15B2">
              <w:rPr>
                <w:noProof/>
                <w:webHidden/>
              </w:rPr>
            </w:r>
            <w:r w:rsidR="009F15B2">
              <w:rPr>
                <w:noProof/>
                <w:webHidden/>
              </w:rPr>
              <w:fldChar w:fldCharType="separate"/>
            </w:r>
            <w:r w:rsidR="00B75C93">
              <w:rPr>
                <w:noProof/>
                <w:webHidden/>
              </w:rPr>
              <w:t>12</w:t>
            </w:r>
            <w:r w:rsidR="009F15B2">
              <w:rPr>
                <w:noProof/>
                <w:webHidden/>
              </w:rPr>
              <w:fldChar w:fldCharType="end"/>
            </w:r>
          </w:hyperlink>
        </w:p>
        <w:p w14:paraId="7216E750" w14:textId="75BDF025" w:rsidR="009F15B2" w:rsidRDefault="00562F4C" w:rsidP="009F15B2">
          <w:pPr>
            <w:pStyle w:val="Verzeichnis1"/>
            <w:tabs>
              <w:tab w:val="right" w:pos="9062"/>
            </w:tabs>
            <w:rPr>
              <w:rFonts w:asciiTheme="minorHAnsi" w:eastAsiaTheme="minorEastAsia" w:hAnsiTheme="minorHAnsi"/>
              <w:noProof/>
              <w:lang w:eastAsia="de-AT"/>
            </w:rPr>
          </w:pPr>
          <w:hyperlink w:anchor="_Toc42077746" w:history="1">
            <w:r w:rsidR="009F15B2" w:rsidRPr="009A0C18">
              <w:rPr>
                <w:rStyle w:val="Hyperlink"/>
                <w:noProof/>
                <w:lang w:val="en-US"/>
              </w:rPr>
              <w:t>6</w:t>
            </w:r>
            <w:r w:rsidR="009F15B2">
              <w:rPr>
                <w:rFonts w:asciiTheme="minorHAnsi" w:eastAsiaTheme="minorEastAsia" w:hAnsiTheme="minorHAnsi"/>
                <w:noProof/>
                <w:lang w:eastAsia="de-AT"/>
              </w:rPr>
              <w:tab/>
            </w:r>
            <w:r w:rsidR="009F15B2" w:rsidRPr="009A0C18">
              <w:rPr>
                <w:rStyle w:val="Hyperlink"/>
                <w:noProof/>
                <w:lang w:val="en-US"/>
              </w:rPr>
              <w:t>Digitalization And Automation Of The Banking Industry</w:t>
            </w:r>
            <w:r w:rsidR="009F15B2">
              <w:rPr>
                <w:noProof/>
                <w:webHidden/>
              </w:rPr>
              <w:tab/>
            </w:r>
            <w:r w:rsidR="009F15B2">
              <w:rPr>
                <w:noProof/>
                <w:webHidden/>
              </w:rPr>
              <w:fldChar w:fldCharType="begin"/>
            </w:r>
            <w:r w:rsidR="009F15B2">
              <w:rPr>
                <w:noProof/>
                <w:webHidden/>
              </w:rPr>
              <w:instrText xml:space="preserve"> PAGEREF _Toc42077746 \h </w:instrText>
            </w:r>
            <w:r w:rsidR="009F15B2">
              <w:rPr>
                <w:noProof/>
                <w:webHidden/>
              </w:rPr>
            </w:r>
            <w:r w:rsidR="009F15B2">
              <w:rPr>
                <w:noProof/>
                <w:webHidden/>
              </w:rPr>
              <w:fldChar w:fldCharType="separate"/>
            </w:r>
            <w:r w:rsidR="00B75C93">
              <w:rPr>
                <w:noProof/>
                <w:webHidden/>
              </w:rPr>
              <w:t>13</w:t>
            </w:r>
            <w:r w:rsidR="009F15B2">
              <w:rPr>
                <w:noProof/>
                <w:webHidden/>
              </w:rPr>
              <w:fldChar w:fldCharType="end"/>
            </w:r>
          </w:hyperlink>
        </w:p>
        <w:p w14:paraId="73B4DF32" w14:textId="6A7FC12C" w:rsidR="009F15B2" w:rsidRDefault="00562F4C" w:rsidP="009F15B2">
          <w:pPr>
            <w:pStyle w:val="Verzeichnis2"/>
            <w:tabs>
              <w:tab w:val="left" w:pos="880"/>
              <w:tab w:val="right" w:pos="9062"/>
            </w:tabs>
            <w:spacing w:line="360" w:lineRule="auto"/>
            <w:rPr>
              <w:rFonts w:asciiTheme="minorHAnsi" w:eastAsiaTheme="minorEastAsia" w:hAnsiTheme="minorHAnsi"/>
              <w:noProof/>
              <w:lang w:eastAsia="de-AT"/>
            </w:rPr>
          </w:pPr>
          <w:hyperlink w:anchor="_Toc42077747" w:history="1">
            <w:r w:rsidR="009F15B2" w:rsidRPr="009A0C18">
              <w:rPr>
                <w:rStyle w:val="Hyperlink"/>
                <w:noProof/>
                <w:lang w:val="en-US"/>
              </w:rPr>
              <w:t>6.1</w:t>
            </w:r>
            <w:r w:rsidR="009F15B2">
              <w:rPr>
                <w:rFonts w:asciiTheme="minorHAnsi" w:eastAsiaTheme="minorEastAsia" w:hAnsiTheme="minorHAnsi"/>
                <w:noProof/>
                <w:lang w:eastAsia="de-AT"/>
              </w:rPr>
              <w:tab/>
            </w:r>
            <w:r w:rsidR="009F15B2" w:rsidRPr="009A0C18">
              <w:rPr>
                <w:rStyle w:val="Hyperlink"/>
                <w:noProof/>
                <w:lang w:val="en-US"/>
              </w:rPr>
              <w:t>FinTech</w:t>
            </w:r>
            <w:r w:rsidR="009F15B2">
              <w:rPr>
                <w:noProof/>
                <w:webHidden/>
              </w:rPr>
              <w:tab/>
            </w:r>
            <w:r w:rsidR="009F15B2">
              <w:rPr>
                <w:noProof/>
                <w:webHidden/>
              </w:rPr>
              <w:fldChar w:fldCharType="begin"/>
            </w:r>
            <w:r w:rsidR="009F15B2">
              <w:rPr>
                <w:noProof/>
                <w:webHidden/>
              </w:rPr>
              <w:instrText xml:space="preserve"> PAGEREF _Toc42077747 \h </w:instrText>
            </w:r>
            <w:r w:rsidR="009F15B2">
              <w:rPr>
                <w:noProof/>
                <w:webHidden/>
              </w:rPr>
            </w:r>
            <w:r w:rsidR="009F15B2">
              <w:rPr>
                <w:noProof/>
                <w:webHidden/>
              </w:rPr>
              <w:fldChar w:fldCharType="separate"/>
            </w:r>
            <w:r w:rsidR="00B75C93">
              <w:rPr>
                <w:noProof/>
                <w:webHidden/>
              </w:rPr>
              <w:t>13</w:t>
            </w:r>
            <w:r w:rsidR="009F15B2">
              <w:rPr>
                <w:noProof/>
                <w:webHidden/>
              </w:rPr>
              <w:fldChar w:fldCharType="end"/>
            </w:r>
          </w:hyperlink>
        </w:p>
        <w:p w14:paraId="7CE37A2B" w14:textId="44469562" w:rsidR="009F15B2" w:rsidRDefault="00562F4C" w:rsidP="009F15B2">
          <w:pPr>
            <w:pStyle w:val="Verzeichnis2"/>
            <w:tabs>
              <w:tab w:val="left" w:pos="880"/>
              <w:tab w:val="right" w:pos="9062"/>
            </w:tabs>
            <w:spacing w:line="360" w:lineRule="auto"/>
            <w:rPr>
              <w:rFonts w:asciiTheme="minorHAnsi" w:eastAsiaTheme="minorEastAsia" w:hAnsiTheme="minorHAnsi"/>
              <w:noProof/>
              <w:lang w:eastAsia="de-AT"/>
            </w:rPr>
          </w:pPr>
          <w:hyperlink w:anchor="_Toc42077748" w:history="1">
            <w:r w:rsidR="009F15B2" w:rsidRPr="009A0C18">
              <w:rPr>
                <w:rStyle w:val="Hyperlink"/>
                <w:noProof/>
                <w:lang w:val="en-US"/>
              </w:rPr>
              <w:t>6.2</w:t>
            </w:r>
            <w:r w:rsidR="009F15B2">
              <w:rPr>
                <w:rFonts w:asciiTheme="minorHAnsi" w:eastAsiaTheme="minorEastAsia" w:hAnsiTheme="minorHAnsi"/>
                <w:noProof/>
                <w:lang w:eastAsia="de-AT"/>
              </w:rPr>
              <w:tab/>
            </w:r>
            <w:r w:rsidR="009F15B2" w:rsidRPr="009A0C18">
              <w:rPr>
                <w:rStyle w:val="Hyperlink"/>
                <w:noProof/>
                <w:lang w:val="en-US"/>
              </w:rPr>
              <w:t>Changing Business Models</w:t>
            </w:r>
            <w:r w:rsidR="009F15B2">
              <w:rPr>
                <w:noProof/>
                <w:webHidden/>
              </w:rPr>
              <w:tab/>
            </w:r>
            <w:r w:rsidR="009F15B2">
              <w:rPr>
                <w:noProof/>
                <w:webHidden/>
              </w:rPr>
              <w:fldChar w:fldCharType="begin"/>
            </w:r>
            <w:r w:rsidR="009F15B2">
              <w:rPr>
                <w:noProof/>
                <w:webHidden/>
              </w:rPr>
              <w:instrText xml:space="preserve"> PAGEREF _Toc42077748 \h </w:instrText>
            </w:r>
            <w:r w:rsidR="009F15B2">
              <w:rPr>
                <w:noProof/>
                <w:webHidden/>
              </w:rPr>
            </w:r>
            <w:r w:rsidR="009F15B2">
              <w:rPr>
                <w:noProof/>
                <w:webHidden/>
              </w:rPr>
              <w:fldChar w:fldCharType="separate"/>
            </w:r>
            <w:r w:rsidR="00B75C93">
              <w:rPr>
                <w:noProof/>
                <w:webHidden/>
              </w:rPr>
              <w:t>15</w:t>
            </w:r>
            <w:r w:rsidR="009F15B2">
              <w:rPr>
                <w:noProof/>
                <w:webHidden/>
              </w:rPr>
              <w:fldChar w:fldCharType="end"/>
            </w:r>
          </w:hyperlink>
        </w:p>
        <w:p w14:paraId="3DD2D150" w14:textId="6C64E848" w:rsidR="009F15B2" w:rsidRDefault="00562F4C" w:rsidP="009F15B2">
          <w:pPr>
            <w:pStyle w:val="Verzeichnis2"/>
            <w:tabs>
              <w:tab w:val="left" w:pos="880"/>
              <w:tab w:val="right" w:pos="9062"/>
            </w:tabs>
            <w:spacing w:line="360" w:lineRule="auto"/>
            <w:rPr>
              <w:rFonts w:asciiTheme="minorHAnsi" w:eastAsiaTheme="minorEastAsia" w:hAnsiTheme="minorHAnsi"/>
              <w:noProof/>
              <w:lang w:eastAsia="de-AT"/>
            </w:rPr>
          </w:pPr>
          <w:hyperlink w:anchor="_Toc42077749" w:history="1">
            <w:r w:rsidR="009F15B2" w:rsidRPr="009A0C18">
              <w:rPr>
                <w:rStyle w:val="Hyperlink"/>
                <w:noProof/>
                <w:lang w:val="en-US"/>
              </w:rPr>
              <w:t>6.3</w:t>
            </w:r>
            <w:r w:rsidR="009F15B2">
              <w:rPr>
                <w:rFonts w:asciiTheme="minorHAnsi" w:eastAsiaTheme="minorEastAsia" w:hAnsiTheme="minorHAnsi"/>
                <w:noProof/>
                <w:lang w:eastAsia="de-AT"/>
              </w:rPr>
              <w:tab/>
            </w:r>
            <w:r w:rsidR="009F15B2" w:rsidRPr="009A0C18">
              <w:rPr>
                <w:rStyle w:val="Hyperlink"/>
                <w:noProof/>
                <w:lang w:val="en-US"/>
              </w:rPr>
              <w:t>Automation Of Banking Processes</w:t>
            </w:r>
            <w:r w:rsidR="009F15B2">
              <w:rPr>
                <w:noProof/>
                <w:webHidden/>
              </w:rPr>
              <w:tab/>
            </w:r>
            <w:r w:rsidR="009F15B2">
              <w:rPr>
                <w:noProof/>
                <w:webHidden/>
              </w:rPr>
              <w:fldChar w:fldCharType="begin"/>
            </w:r>
            <w:r w:rsidR="009F15B2">
              <w:rPr>
                <w:noProof/>
                <w:webHidden/>
              </w:rPr>
              <w:instrText xml:space="preserve"> PAGEREF _Toc42077749 \h </w:instrText>
            </w:r>
            <w:r w:rsidR="009F15B2">
              <w:rPr>
                <w:noProof/>
                <w:webHidden/>
              </w:rPr>
            </w:r>
            <w:r w:rsidR="009F15B2">
              <w:rPr>
                <w:noProof/>
                <w:webHidden/>
              </w:rPr>
              <w:fldChar w:fldCharType="separate"/>
            </w:r>
            <w:r w:rsidR="00B75C93">
              <w:rPr>
                <w:noProof/>
                <w:webHidden/>
              </w:rPr>
              <w:t>16</w:t>
            </w:r>
            <w:r w:rsidR="009F15B2">
              <w:rPr>
                <w:noProof/>
                <w:webHidden/>
              </w:rPr>
              <w:fldChar w:fldCharType="end"/>
            </w:r>
          </w:hyperlink>
        </w:p>
        <w:p w14:paraId="5BB4B01E" w14:textId="2AFB5F3D" w:rsidR="009F15B2" w:rsidRDefault="00562F4C" w:rsidP="009F15B2">
          <w:pPr>
            <w:pStyle w:val="Verzeichnis3"/>
            <w:tabs>
              <w:tab w:val="left" w:pos="1320"/>
              <w:tab w:val="right" w:pos="9062"/>
            </w:tabs>
            <w:spacing w:line="360" w:lineRule="auto"/>
            <w:rPr>
              <w:rFonts w:asciiTheme="minorHAnsi" w:eastAsiaTheme="minorEastAsia" w:hAnsiTheme="minorHAnsi"/>
              <w:noProof/>
              <w:lang w:eastAsia="de-AT"/>
            </w:rPr>
          </w:pPr>
          <w:hyperlink w:anchor="_Toc42077750" w:history="1">
            <w:r w:rsidR="009F15B2" w:rsidRPr="009A0C18">
              <w:rPr>
                <w:rStyle w:val="Hyperlink"/>
                <w:noProof/>
                <w:lang w:val="en-US"/>
              </w:rPr>
              <w:t>6.3.1</w:t>
            </w:r>
            <w:r w:rsidR="009F15B2">
              <w:rPr>
                <w:rFonts w:asciiTheme="minorHAnsi" w:eastAsiaTheme="minorEastAsia" w:hAnsiTheme="minorHAnsi"/>
                <w:noProof/>
                <w:lang w:eastAsia="de-AT"/>
              </w:rPr>
              <w:tab/>
            </w:r>
            <w:r w:rsidR="009F15B2" w:rsidRPr="009A0C18">
              <w:rPr>
                <w:rStyle w:val="Hyperlink"/>
                <w:noProof/>
                <w:lang w:val="en-US"/>
              </w:rPr>
              <w:t>Internet Banking</w:t>
            </w:r>
            <w:r w:rsidR="009F15B2">
              <w:rPr>
                <w:noProof/>
                <w:webHidden/>
              </w:rPr>
              <w:tab/>
            </w:r>
            <w:r w:rsidR="009F15B2">
              <w:rPr>
                <w:noProof/>
                <w:webHidden/>
              </w:rPr>
              <w:fldChar w:fldCharType="begin"/>
            </w:r>
            <w:r w:rsidR="009F15B2">
              <w:rPr>
                <w:noProof/>
                <w:webHidden/>
              </w:rPr>
              <w:instrText xml:space="preserve"> PAGEREF _Toc42077750 \h </w:instrText>
            </w:r>
            <w:r w:rsidR="009F15B2">
              <w:rPr>
                <w:noProof/>
                <w:webHidden/>
              </w:rPr>
            </w:r>
            <w:r w:rsidR="009F15B2">
              <w:rPr>
                <w:noProof/>
                <w:webHidden/>
              </w:rPr>
              <w:fldChar w:fldCharType="separate"/>
            </w:r>
            <w:r w:rsidR="00B75C93">
              <w:rPr>
                <w:noProof/>
                <w:webHidden/>
              </w:rPr>
              <w:t>17</w:t>
            </w:r>
            <w:r w:rsidR="009F15B2">
              <w:rPr>
                <w:noProof/>
                <w:webHidden/>
              </w:rPr>
              <w:fldChar w:fldCharType="end"/>
            </w:r>
          </w:hyperlink>
        </w:p>
        <w:p w14:paraId="3DD568BB" w14:textId="6AEE324A" w:rsidR="009F15B2" w:rsidRDefault="00562F4C" w:rsidP="009F15B2">
          <w:pPr>
            <w:pStyle w:val="Verzeichnis3"/>
            <w:tabs>
              <w:tab w:val="left" w:pos="1320"/>
              <w:tab w:val="right" w:pos="9062"/>
            </w:tabs>
            <w:spacing w:line="360" w:lineRule="auto"/>
            <w:rPr>
              <w:rFonts w:asciiTheme="minorHAnsi" w:eastAsiaTheme="minorEastAsia" w:hAnsiTheme="minorHAnsi"/>
              <w:noProof/>
              <w:lang w:eastAsia="de-AT"/>
            </w:rPr>
          </w:pPr>
          <w:hyperlink w:anchor="_Toc42077751" w:history="1">
            <w:r w:rsidR="009F15B2" w:rsidRPr="009A0C18">
              <w:rPr>
                <w:rStyle w:val="Hyperlink"/>
                <w:noProof/>
                <w:lang w:val="en-US"/>
              </w:rPr>
              <w:t>6.3.2</w:t>
            </w:r>
            <w:r w:rsidR="009F15B2">
              <w:rPr>
                <w:rFonts w:asciiTheme="minorHAnsi" w:eastAsiaTheme="minorEastAsia" w:hAnsiTheme="minorHAnsi"/>
                <w:noProof/>
                <w:lang w:eastAsia="de-AT"/>
              </w:rPr>
              <w:tab/>
            </w:r>
            <w:r w:rsidR="009F15B2" w:rsidRPr="009A0C18">
              <w:rPr>
                <w:rStyle w:val="Hyperlink"/>
                <w:noProof/>
                <w:lang w:val="en-US"/>
              </w:rPr>
              <w:t>Self-Service Models</w:t>
            </w:r>
            <w:r w:rsidR="009F15B2">
              <w:rPr>
                <w:noProof/>
                <w:webHidden/>
              </w:rPr>
              <w:tab/>
            </w:r>
            <w:r w:rsidR="009F15B2">
              <w:rPr>
                <w:noProof/>
                <w:webHidden/>
              </w:rPr>
              <w:fldChar w:fldCharType="begin"/>
            </w:r>
            <w:r w:rsidR="009F15B2">
              <w:rPr>
                <w:noProof/>
                <w:webHidden/>
              </w:rPr>
              <w:instrText xml:space="preserve"> PAGEREF _Toc42077751 \h </w:instrText>
            </w:r>
            <w:r w:rsidR="009F15B2">
              <w:rPr>
                <w:noProof/>
                <w:webHidden/>
              </w:rPr>
            </w:r>
            <w:r w:rsidR="009F15B2">
              <w:rPr>
                <w:noProof/>
                <w:webHidden/>
              </w:rPr>
              <w:fldChar w:fldCharType="separate"/>
            </w:r>
            <w:r w:rsidR="00B75C93">
              <w:rPr>
                <w:noProof/>
                <w:webHidden/>
              </w:rPr>
              <w:t>18</w:t>
            </w:r>
            <w:r w:rsidR="009F15B2">
              <w:rPr>
                <w:noProof/>
                <w:webHidden/>
              </w:rPr>
              <w:fldChar w:fldCharType="end"/>
            </w:r>
          </w:hyperlink>
        </w:p>
        <w:p w14:paraId="3F1FB51C" w14:textId="2423FB00" w:rsidR="009F15B2" w:rsidRDefault="00562F4C" w:rsidP="009F15B2">
          <w:pPr>
            <w:pStyle w:val="Verzeichnis1"/>
            <w:tabs>
              <w:tab w:val="right" w:pos="9062"/>
            </w:tabs>
            <w:rPr>
              <w:rFonts w:asciiTheme="minorHAnsi" w:eastAsiaTheme="minorEastAsia" w:hAnsiTheme="minorHAnsi"/>
              <w:noProof/>
              <w:lang w:eastAsia="de-AT"/>
            </w:rPr>
          </w:pPr>
          <w:hyperlink w:anchor="_Toc42077752" w:history="1">
            <w:r w:rsidR="009F15B2" w:rsidRPr="009A0C18">
              <w:rPr>
                <w:rStyle w:val="Hyperlink"/>
                <w:noProof/>
                <w:lang w:val="en-US"/>
              </w:rPr>
              <w:t>7</w:t>
            </w:r>
            <w:r w:rsidR="009F15B2">
              <w:rPr>
                <w:rFonts w:asciiTheme="minorHAnsi" w:eastAsiaTheme="minorEastAsia" w:hAnsiTheme="minorHAnsi"/>
                <w:noProof/>
                <w:lang w:eastAsia="de-AT"/>
              </w:rPr>
              <w:tab/>
            </w:r>
            <w:r w:rsidR="009F15B2" w:rsidRPr="009A0C18">
              <w:rPr>
                <w:rStyle w:val="Hyperlink"/>
                <w:noProof/>
                <w:lang w:val="en-US"/>
              </w:rPr>
              <w:t>Development Of Banking Charges In Europe</w:t>
            </w:r>
            <w:r w:rsidR="009F15B2">
              <w:rPr>
                <w:noProof/>
                <w:webHidden/>
              </w:rPr>
              <w:tab/>
            </w:r>
            <w:r w:rsidR="009F15B2">
              <w:rPr>
                <w:noProof/>
                <w:webHidden/>
              </w:rPr>
              <w:fldChar w:fldCharType="begin"/>
            </w:r>
            <w:r w:rsidR="009F15B2">
              <w:rPr>
                <w:noProof/>
                <w:webHidden/>
              </w:rPr>
              <w:instrText xml:space="preserve"> PAGEREF _Toc42077752 \h </w:instrText>
            </w:r>
            <w:r w:rsidR="009F15B2">
              <w:rPr>
                <w:noProof/>
                <w:webHidden/>
              </w:rPr>
            </w:r>
            <w:r w:rsidR="009F15B2">
              <w:rPr>
                <w:noProof/>
                <w:webHidden/>
              </w:rPr>
              <w:fldChar w:fldCharType="separate"/>
            </w:r>
            <w:r w:rsidR="00B75C93">
              <w:rPr>
                <w:noProof/>
                <w:webHidden/>
              </w:rPr>
              <w:t>19</w:t>
            </w:r>
            <w:r w:rsidR="009F15B2">
              <w:rPr>
                <w:noProof/>
                <w:webHidden/>
              </w:rPr>
              <w:fldChar w:fldCharType="end"/>
            </w:r>
          </w:hyperlink>
        </w:p>
        <w:p w14:paraId="3E73D195" w14:textId="09137A85" w:rsidR="009F15B2" w:rsidRDefault="00562F4C" w:rsidP="009F15B2">
          <w:pPr>
            <w:pStyle w:val="Verzeichnis2"/>
            <w:tabs>
              <w:tab w:val="left" w:pos="880"/>
              <w:tab w:val="right" w:pos="9062"/>
            </w:tabs>
            <w:spacing w:line="360" w:lineRule="auto"/>
            <w:rPr>
              <w:rFonts w:asciiTheme="minorHAnsi" w:eastAsiaTheme="minorEastAsia" w:hAnsiTheme="minorHAnsi"/>
              <w:noProof/>
              <w:lang w:eastAsia="de-AT"/>
            </w:rPr>
          </w:pPr>
          <w:hyperlink w:anchor="_Toc42077753" w:history="1">
            <w:r w:rsidR="009F15B2" w:rsidRPr="009A0C18">
              <w:rPr>
                <w:rStyle w:val="Hyperlink"/>
                <w:noProof/>
                <w:lang w:val="en-US"/>
              </w:rPr>
              <w:t>7.1</w:t>
            </w:r>
            <w:r w:rsidR="009F15B2">
              <w:rPr>
                <w:rFonts w:asciiTheme="minorHAnsi" w:eastAsiaTheme="minorEastAsia" w:hAnsiTheme="minorHAnsi"/>
                <w:noProof/>
                <w:lang w:eastAsia="de-AT"/>
              </w:rPr>
              <w:tab/>
            </w:r>
            <w:r w:rsidR="009F15B2" w:rsidRPr="009A0C18">
              <w:rPr>
                <w:rStyle w:val="Hyperlink"/>
                <w:noProof/>
                <w:lang w:val="en-US"/>
              </w:rPr>
              <w:t>Banking Fee Models</w:t>
            </w:r>
            <w:r w:rsidR="009F15B2">
              <w:rPr>
                <w:noProof/>
                <w:webHidden/>
              </w:rPr>
              <w:tab/>
            </w:r>
            <w:r w:rsidR="009F15B2">
              <w:rPr>
                <w:noProof/>
                <w:webHidden/>
              </w:rPr>
              <w:fldChar w:fldCharType="begin"/>
            </w:r>
            <w:r w:rsidR="009F15B2">
              <w:rPr>
                <w:noProof/>
                <w:webHidden/>
              </w:rPr>
              <w:instrText xml:space="preserve"> PAGEREF _Toc42077753 \h </w:instrText>
            </w:r>
            <w:r w:rsidR="009F15B2">
              <w:rPr>
                <w:noProof/>
                <w:webHidden/>
              </w:rPr>
            </w:r>
            <w:r w:rsidR="009F15B2">
              <w:rPr>
                <w:noProof/>
                <w:webHidden/>
              </w:rPr>
              <w:fldChar w:fldCharType="separate"/>
            </w:r>
            <w:r w:rsidR="00B75C93">
              <w:rPr>
                <w:noProof/>
                <w:webHidden/>
              </w:rPr>
              <w:t>21</w:t>
            </w:r>
            <w:r w:rsidR="009F15B2">
              <w:rPr>
                <w:noProof/>
                <w:webHidden/>
              </w:rPr>
              <w:fldChar w:fldCharType="end"/>
            </w:r>
          </w:hyperlink>
        </w:p>
        <w:p w14:paraId="7C3C15DF" w14:textId="5448AFED" w:rsidR="009F15B2" w:rsidRDefault="00562F4C" w:rsidP="009F15B2">
          <w:pPr>
            <w:pStyle w:val="Verzeichnis2"/>
            <w:tabs>
              <w:tab w:val="left" w:pos="880"/>
              <w:tab w:val="right" w:pos="9062"/>
            </w:tabs>
            <w:spacing w:line="360" w:lineRule="auto"/>
            <w:rPr>
              <w:rFonts w:asciiTheme="minorHAnsi" w:eastAsiaTheme="minorEastAsia" w:hAnsiTheme="minorHAnsi"/>
              <w:noProof/>
              <w:lang w:eastAsia="de-AT"/>
            </w:rPr>
          </w:pPr>
          <w:hyperlink w:anchor="_Toc42077754" w:history="1">
            <w:r w:rsidR="009F15B2" w:rsidRPr="009A0C18">
              <w:rPr>
                <w:rStyle w:val="Hyperlink"/>
                <w:noProof/>
                <w:lang w:val="en-US"/>
              </w:rPr>
              <w:t>7.2</w:t>
            </w:r>
            <w:r w:rsidR="009F15B2">
              <w:rPr>
                <w:rFonts w:asciiTheme="minorHAnsi" w:eastAsiaTheme="minorEastAsia" w:hAnsiTheme="minorHAnsi"/>
                <w:noProof/>
                <w:lang w:eastAsia="de-AT"/>
              </w:rPr>
              <w:tab/>
            </w:r>
            <w:r w:rsidR="009F15B2" w:rsidRPr="009A0C18">
              <w:rPr>
                <w:rStyle w:val="Hyperlink"/>
                <w:noProof/>
                <w:lang w:val="en-US"/>
              </w:rPr>
              <w:t>European Law Restrictions</w:t>
            </w:r>
            <w:r w:rsidR="009F15B2">
              <w:rPr>
                <w:noProof/>
                <w:webHidden/>
              </w:rPr>
              <w:tab/>
            </w:r>
            <w:r w:rsidR="009F15B2">
              <w:rPr>
                <w:noProof/>
                <w:webHidden/>
              </w:rPr>
              <w:fldChar w:fldCharType="begin"/>
            </w:r>
            <w:r w:rsidR="009F15B2">
              <w:rPr>
                <w:noProof/>
                <w:webHidden/>
              </w:rPr>
              <w:instrText xml:space="preserve"> PAGEREF _Toc42077754 \h </w:instrText>
            </w:r>
            <w:r w:rsidR="009F15B2">
              <w:rPr>
                <w:noProof/>
                <w:webHidden/>
              </w:rPr>
            </w:r>
            <w:r w:rsidR="009F15B2">
              <w:rPr>
                <w:noProof/>
                <w:webHidden/>
              </w:rPr>
              <w:fldChar w:fldCharType="separate"/>
            </w:r>
            <w:r w:rsidR="00B75C93">
              <w:rPr>
                <w:noProof/>
                <w:webHidden/>
              </w:rPr>
              <w:t>22</w:t>
            </w:r>
            <w:r w:rsidR="009F15B2">
              <w:rPr>
                <w:noProof/>
                <w:webHidden/>
              </w:rPr>
              <w:fldChar w:fldCharType="end"/>
            </w:r>
          </w:hyperlink>
        </w:p>
        <w:p w14:paraId="281FF690" w14:textId="13FCB486" w:rsidR="009F15B2" w:rsidRDefault="00562F4C" w:rsidP="009F15B2">
          <w:pPr>
            <w:pStyle w:val="Verzeichnis3"/>
            <w:tabs>
              <w:tab w:val="left" w:pos="1320"/>
              <w:tab w:val="right" w:pos="9062"/>
            </w:tabs>
            <w:spacing w:line="360" w:lineRule="auto"/>
            <w:rPr>
              <w:rFonts w:asciiTheme="minorHAnsi" w:eastAsiaTheme="minorEastAsia" w:hAnsiTheme="minorHAnsi"/>
              <w:noProof/>
              <w:lang w:eastAsia="de-AT"/>
            </w:rPr>
          </w:pPr>
          <w:hyperlink w:anchor="_Toc42077755" w:history="1">
            <w:r w:rsidR="009F15B2" w:rsidRPr="009A0C18">
              <w:rPr>
                <w:rStyle w:val="Hyperlink"/>
                <w:noProof/>
                <w:lang w:val="en-US"/>
              </w:rPr>
              <w:t>7.2.1</w:t>
            </w:r>
            <w:r w:rsidR="009F15B2">
              <w:rPr>
                <w:rFonts w:asciiTheme="minorHAnsi" w:eastAsiaTheme="minorEastAsia" w:hAnsiTheme="minorHAnsi"/>
                <w:noProof/>
                <w:lang w:eastAsia="de-AT"/>
              </w:rPr>
              <w:tab/>
            </w:r>
            <w:r w:rsidR="009F15B2" w:rsidRPr="009A0C18">
              <w:rPr>
                <w:rStyle w:val="Hyperlink"/>
                <w:noProof/>
                <w:lang w:val="en-US"/>
              </w:rPr>
              <w:t>EU Directives</w:t>
            </w:r>
            <w:r w:rsidR="009F15B2">
              <w:rPr>
                <w:noProof/>
                <w:webHidden/>
              </w:rPr>
              <w:tab/>
            </w:r>
            <w:r w:rsidR="009F15B2">
              <w:rPr>
                <w:noProof/>
                <w:webHidden/>
              </w:rPr>
              <w:fldChar w:fldCharType="begin"/>
            </w:r>
            <w:r w:rsidR="009F15B2">
              <w:rPr>
                <w:noProof/>
                <w:webHidden/>
              </w:rPr>
              <w:instrText xml:space="preserve"> PAGEREF _Toc42077755 \h </w:instrText>
            </w:r>
            <w:r w:rsidR="009F15B2">
              <w:rPr>
                <w:noProof/>
                <w:webHidden/>
              </w:rPr>
            </w:r>
            <w:r w:rsidR="009F15B2">
              <w:rPr>
                <w:noProof/>
                <w:webHidden/>
              </w:rPr>
              <w:fldChar w:fldCharType="separate"/>
            </w:r>
            <w:r w:rsidR="00B75C93">
              <w:rPr>
                <w:noProof/>
                <w:webHidden/>
              </w:rPr>
              <w:t>22</w:t>
            </w:r>
            <w:r w:rsidR="009F15B2">
              <w:rPr>
                <w:noProof/>
                <w:webHidden/>
              </w:rPr>
              <w:fldChar w:fldCharType="end"/>
            </w:r>
          </w:hyperlink>
        </w:p>
        <w:p w14:paraId="6D42B12D" w14:textId="60D67943" w:rsidR="009F15B2" w:rsidRDefault="00562F4C" w:rsidP="009F15B2">
          <w:pPr>
            <w:pStyle w:val="Verzeichnis3"/>
            <w:tabs>
              <w:tab w:val="left" w:pos="1320"/>
              <w:tab w:val="right" w:pos="9062"/>
            </w:tabs>
            <w:spacing w:line="360" w:lineRule="auto"/>
            <w:rPr>
              <w:rFonts w:asciiTheme="minorHAnsi" w:eastAsiaTheme="minorEastAsia" w:hAnsiTheme="minorHAnsi"/>
              <w:noProof/>
              <w:lang w:eastAsia="de-AT"/>
            </w:rPr>
          </w:pPr>
          <w:hyperlink w:anchor="_Toc42077756" w:history="1">
            <w:r w:rsidR="009F15B2" w:rsidRPr="009A0C18">
              <w:rPr>
                <w:rStyle w:val="Hyperlink"/>
                <w:noProof/>
                <w:lang w:val="en-US"/>
              </w:rPr>
              <w:t>7.2.2</w:t>
            </w:r>
            <w:r w:rsidR="009F15B2">
              <w:rPr>
                <w:rFonts w:asciiTheme="minorHAnsi" w:eastAsiaTheme="minorEastAsia" w:hAnsiTheme="minorHAnsi"/>
                <w:noProof/>
                <w:lang w:eastAsia="de-AT"/>
              </w:rPr>
              <w:tab/>
            </w:r>
            <w:r w:rsidR="009F15B2" w:rsidRPr="009A0C18">
              <w:rPr>
                <w:rStyle w:val="Hyperlink"/>
                <w:noProof/>
                <w:lang w:val="en-US"/>
              </w:rPr>
              <w:t>Single-Euro-Payments-Area (SEPA)</w:t>
            </w:r>
            <w:r w:rsidR="009F15B2">
              <w:rPr>
                <w:noProof/>
                <w:webHidden/>
              </w:rPr>
              <w:tab/>
            </w:r>
            <w:r w:rsidR="009F15B2">
              <w:rPr>
                <w:noProof/>
                <w:webHidden/>
              </w:rPr>
              <w:fldChar w:fldCharType="begin"/>
            </w:r>
            <w:r w:rsidR="009F15B2">
              <w:rPr>
                <w:noProof/>
                <w:webHidden/>
              </w:rPr>
              <w:instrText xml:space="preserve"> PAGEREF _Toc42077756 \h </w:instrText>
            </w:r>
            <w:r w:rsidR="009F15B2">
              <w:rPr>
                <w:noProof/>
                <w:webHidden/>
              </w:rPr>
            </w:r>
            <w:r w:rsidR="009F15B2">
              <w:rPr>
                <w:noProof/>
                <w:webHidden/>
              </w:rPr>
              <w:fldChar w:fldCharType="separate"/>
            </w:r>
            <w:r w:rsidR="00B75C93">
              <w:rPr>
                <w:noProof/>
                <w:webHidden/>
              </w:rPr>
              <w:t>23</w:t>
            </w:r>
            <w:r w:rsidR="009F15B2">
              <w:rPr>
                <w:noProof/>
                <w:webHidden/>
              </w:rPr>
              <w:fldChar w:fldCharType="end"/>
            </w:r>
          </w:hyperlink>
        </w:p>
        <w:p w14:paraId="3293F466" w14:textId="03C7B3E8" w:rsidR="009F15B2" w:rsidRDefault="00562F4C" w:rsidP="009F15B2">
          <w:pPr>
            <w:pStyle w:val="Verzeichnis2"/>
            <w:tabs>
              <w:tab w:val="left" w:pos="880"/>
              <w:tab w:val="right" w:pos="9062"/>
            </w:tabs>
            <w:spacing w:line="360" w:lineRule="auto"/>
            <w:rPr>
              <w:rFonts w:asciiTheme="minorHAnsi" w:eastAsiaTheme="minorEastAsia" w:hAnsiTheme="minorHAnsi"/>
              <w:noProof/>
              <w:lang w:eastAsia="de-AT"/>
            </w:rPr>
          </w:pPr>
          <w:hyperlink w:anchor="_Toc42077757" w:history="1">
            <w:r w:rsidR="009F15B2" w:rsidRPr="009A0C18">
              <w:rPr>
                <w:rStyle w:val="Hyperlink"/>
                <w:noProof/>
                <w:lang w:val="en-US"/>
              </w:rPr>
              <w:t>7.3</w:t>
            </w:r>
            <w:r w:rsidR="009F15B2">
              <w:rPr>
                <w:rFonts w:asciiTheme="minorHAnsi" w:eastAsiaTheme="minorEastAsia" w:hAnsiTheme="minorHAnsi"/>
                <w:noProof/>
                <w:lang w:eastAsia="de-AT"/>
              </w:rPr>
              <w:tab/>
            </w:r>
            <w:r w:rsidR="009F15B2" w:rsidRPr="009A0C18">
              <w:rPr>
                <w:rStyle w:val="Hyperlink"/>
                <w:noProof/>
                <w:lang w:val="en-US"/>
              </w:rPr>
              <w:t>Comparison of EU Member States</w:t>
            </w:r>
            <w:r w:rsidR="009F15B2">
              <w:rPr>
                <w:noProof/>
                <w:webHidden/>
              </w:rPr>
              <w:tab/>
            </w:r>
            <w:r w:rsidR="009F15B2">
              <w:rPr>
                <w:noProof/>
                <w:webHidden/>
              </w:rPr>
              <w:fldChar w:fldCharType="begin"/>
            </w:r>
            <w:r w:rsidR="009F15B2">
              <w:rPr>
                <w:noProof/>
                <w:webHidden/>
              </w:rPr>
              <w:instrText xml:space="preserve"> PAGEREF _Toc42077757 \h </w:instrText>
            </w:r>
            <w:r w:rsidR="009F15B2">
              <w:rPr>
                <w:noProof/>
                <w:webHidden/>
              </w:rPr>
            </w:r>
            <w:r w:rsidR="009F15B2">
              <w:rPr>
                <w:noProof/>
                <w:webHidden/>
              </w:rPr>
              <w:fldChar w:fldCharType="separate"/>
            </w:r>
            <w:r w:rsidR="00B75C93">
              <w:rPr>
                <w:noProof/>
                <w:webHidden/>
              </w:rPr>
              <w:t>24</w:t>
            </w:r>
            <w:r w:rsidR="009F15B2">
              <w:rPr>
                <w:noProof/>
                <w:webHidden/>
              </w:rPr>
              <w:fldChar w:fldCharType="end"/>
            </w:r>
          </w:hyperlink>
        </w:p>
        <w:p w14:paraId="7113BA01" w14:textId="7A77D07B" w:rsidR="009F15B2" w:rsidRDefault="00562F4C" w:rsidP="009F15B2">
          <w:pPr>
            <w:pStyle w:val="Verzeichnis3"/>
            <w:tabs>
              <w:tab w:val="left" w:pos="1320"/>
              <w:tab w:val="right" w:pos="9062"/>
            </w:tabs>
            <w:spacing w:line="360" w:lineRule="auto"/>
            <w:rPr>
              <w:rFonts w:asciiTheme="minorHAnsi" w:eastAsiaTheme="minorEastAsia" w:hAnsiTheme="minorHAnsi"/>
              <w:noProof/>
              <w:lang w:eastAsia="de-AT"/>
            </w:rPr>
          </w:pPr>
          <w:hyperlink w:anchor="_Toc42077758" w:history="1">
            <w:r w:rsidR="009F15B2" w:rsidRPr="009A0C18">
              <w:rPr>
                <w:rStyle w:val="Hyperlink"/>
                <w:noProof/>
                <w:lang w:val="en-US"/>
              </w:rPr>
              <w:t>7.3.1</w:t>
            </w:r>
            <w:r w:rsidR="009F15B2">
              <w:rPr>
                <w:rFonts w:asciiTheme="minorHAnsi" w:eastAsiaTheme="minorEastAsia" w:hAnsiTheme="minorHAnsi"/>
                <w:noProof/>
                <w:lang w:eastAsia="de-AT"/>
              </w:rPr>
              <w:tab/>
            </w:r>
            <w:r w:rsidR="009F15B2" w:rsidRPr="009A0C18">
              <w:rPr>
                <w:rStyle w:val="Hyperlink"/>
                <w:noProof/>
                <w:lang w:val="en-US"/>
              </w:rPr>
              <w:t>Austria</w:t>
            </w:r>
            <w:r w:rsidR="009F15B2">
              <w:rPr>
                <w:noProof/>
                <w:webHidden/>
              </w:rPr>
              <w:tab/>
            </w:r>
            <w:r w:rsidR="009F15B2">
              <w:rPr>
                <w:noProof/>
                <w:webHidden/>
              </w:rPr>
              <w:fldChar w:fldCharType="begin"/>
            </w:r>
            <w:r w:rsidR="009F15B2">
              <w:rPr>
                <w:noProof/>
                <w:webHidden/>
              </w:rPr>
              <w:instrText xml:space="preserve"> PAGEREF _Toc42077758 \h </w:instrText>
            </w:r>
            <w:r w:rsidR="009F15B2">
              <w:rPr>
                <w:noProof/>
                <w:webHidden/>
              </w:rPr>
            </w:r>
            <w:r w:rsidR="009F15B2">
              <w:rPr>
                <w:noProof/>
                <w:webHidden/>
              </w:rPr>
              <w:fldChar w:fldCharType="separate"/>
            </w:r>
            <w:r w:rsidR="00B75C93">
              <w:rPr>
                <w:noProof/>
                <w:webHidden/>
              </w:rPr>
              <w:t>25</w:t>
            </w:r>
            <w:r w:rsidR="009F15B2">
              <w:rPr>
                <w:noProof/>
                <w:webHidden/>
              </w:rPr>
              <w:fldChar w:fldCharType="end"/>
            </w:r>
          </w:hyperlink>
        </w:p>
        <w:p w14:paraId="1CD3A71C" w14:textId="6E02EB73" w:rsidR="009F15B2" w:rsidRDefault="00562F4C" w:rsidP="009F15B2">
          <w:pPr>
            <w:pStyle w:val="Verzeichnis3"/>
            <w:tabs>
              <w:tab w:val="left" w:pos="1320"/>
              <w:tab w:val="right" w:pos="9062"/>
            </w:tabs>
            <w:spacing w:line="360" w:lineRule="auto"/>
            <w:rPr>
              <w:rFonts w:asciiTheme="minorHAnsi" w:eastAsiaTheme="minorEastAsia" w:hAnsiTheme="minorHAnsi"/>
              <w:noProof/>
              <w:lang w:eastAsia="de-AT"/>
            </w:rPr>
          </w:pPr>
          <w:hyperlink w:anchor="_Toc42077759" w:history="1">
            <w:r w:rsidR="009F15B2" w:rsidRPr="009A0C18">
              <w:rPr>
                <w:rStyle w:val="Hyperlink"/>
                <w:noProof/>
                <w:lang w:val="en-US"/>
              </w:rPr>
              <w:t>7.3.2</w:t>
            </w:r>
            <w:r w:rsidR="009F15B2">
              <w:rPr>
                <w:rFonts w:asciiTheme="minorHAnsi" w:eastAsiaTheme="minorEastAsia" w:hAnsiTheme="minorHAnsi"/>
                <w:noProof/>
                <w:lang w:eastAsia="de-AT"/>
              </w:rPr>
              <w:tab/>
            </w:r>
            <w:r w:rsidR="009F15B2" w:rsidRPr="009A0C18">
              <w:rPr>
                <w:rStyle w:val="Hyperlink"/>
                <w:noProof/>
                <w:lang w:val="en-US"/>
              </w:rPr>
              <w:t>Germany</w:t>
            </w:r>
            <w:r w:rsidR="009F15B2">
              <w:rPr>
                <w:noProof/>
                <w:webHidden/>
              </w:rPr>
              <w:tab/>
            </w:r>
            <w:r w:rsidR="009F15B2">
              <w:rPr>
                <w:noProof/>
                <w:webHidden/>
              </w:rPr>
              <w:fldChar w:fldCharType="begin"/>
            </w:r>
            <w:r w:rsidR="009F15B2">
              <w:rPr>
                <w:noProof/>
                <w:webHidden/>
              </w:rPr>
              <w:instrText xml:space="preserve"> PAGEREF _Toc42077759 \h </w:instrText>
            </w:r>
            <w:r w:rsidR="009F15B2">
              <w:rPr>
                <w:noProof/>
                <w:webHidden/>
              </w:rPr>
            </w:r>
            <w:r w:rsidR="009F15B2">
              <w:rPr>
                <w:noProof/>
                <w:webHidden/>
              </w:rPr>
              <w:fldChar w:fldCharType="separate"/>
            </w:r>
            <w:r w:rsidR="00B75C93">
              <w:rPr>
                <w:noProof/>
                <w:webHidden/>
              </w:rPr>
              <w:t>26</w:t>
            </w:r>
            <w:r w:rsidR="009F15B2">
              <w:rPr>
                <w:noProof/>
                <w:webHidden/>
              </w:rPr>
              <w:fldChar w:fldCharType="end"/>
            </w:r>
          </w:hyperlink>
        </w:p>
        <w:p w14:paraId="7EBEA2A0" w14:textId="4F79F857" w:rsidR="009F15B2" w:rsidRDefault="00562F4C" w:rsidP="009F15B2">
          <w:pPr>
            <w:pStyle w:val="Verzeichnis3"/>
            <w:tabs>
              <w:tab w:val="left" w:pos="1320"/>
              <w:tab w:val="right" w:pos="9062"/>
            </w:tabs>
            <w:spacing w:line="360" w:lineRule="auto"/>
            <w:rPr>
              <w:rFonts w:asciiTheme="minorHAnsi" w:eastAsiaTheme="minorEastAsia" w:hAnsiTheme="minorHAnsi"/>
              <w:noProof/>
              <w:lang w:eastAsia="de-AT"/>
            </w:rPr>
          </w:pPr>
          <w:hyperlink w:anchor="_Toc42077760" w:history="1">
            <w:r w:rsidR="009F15B2" w:rsidRPr="009A0C18">
              <w:rPr>
                <w:rStyle w:val="Hyperlink"/>
                <w:noProof/>
                <w:lang w:val="en-US"/>
              </w:rPr>
              <w:t>7.3.3</w:t>
            </w:r>
            <w:r w:rsidR="009F15B2">
              <w:rPr>
                <w:rFonts w:asciiTheme="minorHAnsi" w:eastAsiaTheme="minorEastAsia" w:hAnsiTheme="minorHAnsi"/>
                <w:noProof/>
                <w:lang w:eastAsia="de-AT"/>
              </w:rPr>
              <w:tab/>
            </w:r>
            <w:r w:rsidR="009F15B2" w:rsidRPr="009A0C18">
              <w:rPr>
                <w:rStyle w:val="Hyperlink"/>
                <w:noProof/>
                <w:lang w:val="en-US"/>
              </w:rPr>
              <w:t>Italy</w:t>
            </w:r>
            <w:r w:rsidR="009F15B2">
              <w:rPr>
                <w:noProof/>
                <w:webHidden/>
              </w:rPr>
              <w:tab/>
            </w:r>
            <w:r w:rsidR="009F15B2">
              <w:rPr>
                <w:noProof/>
                <w:webHidden/>
              </w:rPr>
              <w:fldChar w:fldCharType="begin"/>
            </w:r>
            <w:r w:rsidR="009F15B2">
              <w:rPr>
                <w:noProof/>
                <w:webHidden/>
              </w:rPr>
              <w:instrText xml:space="preserve"> PAGEREF _Toc42077760 \h </w:instrText>
            </w:r>
            <w:r w:rsidR="009F15B2">
              <w:rPr>
                <w:noProof/>
                <w:webHidden/>
              </w:rPr>
            </w:r>
            <w:r w:rsidR="009F15B2">
              <w:rPr>
                <w:noProof/>
                <w:webHidden/>
              </w:rPr>
              <w:fldChar w:fldCharType="separate"/>
            </w:r>
            <w:r w:rsidR="00B75C93">
              <w:rPr>
                <w:noProof/>
                <w:webHidden/>
              </w:rPr>
              <w:t>27</w:t>
            </w:r>
            <w:r w:rsidR="009F15B2">
              <w:rPr>
                <w:noProof/>
                <w:webHidden/>
              </w:rPr>
              <w:fldChar w:fldCharType="end"/>
            </w:r>
          </w:hyperlink>
        </w:p>
        <w:p w14:paraId="7271E2F0" w14:textId="46F63755" w:rsidR="009F15B2" w:rsidRDefault="00562F4C" w:rsidP="009F15B2">
          <w:pPr>
            <w:pStyle w:val="Verzeichnis3"/>
            <w:tabs>
              <w:tab w:val="left" w:pos="1320"/>
              <w:tab w:val="right" w:pos="9062"/>
            </w:tabs>
            <w:spacing w:line="360" w:lineRule="auto"/>
            <w:rPr>
              <w:rFonts w:asciiTheme="minorHAnsi" w:eastAsiaTheme="minorEastAsia" w:hAnsiTheme="minorHAnsi"/>
              <w:noProof/>
              <w:lang w:eastAsia="de-AT"/>
            </w:rPr>
          </w:pPr>
          <w:hyperlink w:anchor="_Toc42077761" w:history="1">
            <w:r w:rsidR="009F15B2" w:rsidRPr="009A0C18">
              <w:rPr>
                <w:rStyle w:val="Hyperlink"/>
                <w:noProof/>
                <w:lang w:val="en-US"/>
              </w:rPr>
              <w:t>7.3.4</w:t>
            </w:r>
            <w:r w:rsidR="009F15B2">
              <w:rPr>
                <w:rFonts w:asciiTheme="minorHAnsi" w:eastAsiaTheme="minorEastAsia" w:hAnsiTheme="minorHAnsi"/>
                <w:noProof/>
                <w:lang w:eastAsia="de-AT"/>
              </w:rPr>
              <w:tab/>
            </w:r>
            <w:r w:rsidR="009F15B2" w:rsidRPr="009A0C18">
              <w:rPr>
                <w:rStyle w:val="Hyperlink"/>
                <w:noProof/>
                <w:lang w:val="en-US"/>
              </w:rPr>
              <w:t>Netherlands</w:t>
            </w:r>
            <w:r w:rsidR="009F15B2">
              <w:rPr>
                <w:noProof/>
                <w:webHidden/>
              </w:rPr>
              <w:tab/>
            </w:r>
            <w:r w:rsidR="009F15B2">
              <w:rPr>
                <w:noProof/>
                <w:webHidden/>
              </w:rPr>
              <w:fldChar w:fldCharType="begin"/>
            </w:r>
            <w:r w:rsidR="009F15B2">
              <w:rPr>
                <w:noProof/>
                <w:webHidden/>
              </w:rPr>
              <w:instrText xml:space="preserve"> PAGEREF _Toc42077761 \h </w:instrText>
            </w:r>
            <w:r w:rsidR="009F15B2">
              <w:rPr>
                <w:noProof/>
                <w:webHidden/>
              </w:rPr>
            </w:r>
            <w:r w:rsidR="009F15B2">
              <w:rPr>
                <w:noProof/>
                <w:webHidden/>
              </w:rPr>
              <w:fldChar w:fldCharType="separate"/>
            </w:r>
            <w:r w:rsidR="00B75C93">
              <w:rPr>
                <w:noProof/>
                <w:webHidden/>
              </w:rPr>
              <w:t>28</w:t>
            </w:r>
            <w:r w:rsidR="009F15B2">
              <w:rPr>
                <w:noProof/>
                <w:webHidden/>
              </w:rPr>
              <w:fldChar w:fldCharType="end"/>
            </w:r>
          </w:hyperlink>
        </w:p>
        <w:p w14:paraId="161BF31F" w14:textId="48533E1E" w:rsidR="009F15B2" w:rsidRDefault="00562F4C" w:rsidP="009F15B2">
          <w:pPr>
            <w:pStyle w:val="Verzeichnis1"/>
            <w:tabs>
              <w:tab w:val="right" w:pos="9062"/>
            </w:tabs>
            <w:rPr>
              <w:rFonts w:asciiTheme="minorHAnsi" w:eastAsiaTheme="minorEastAsia" w:hAnsiTheme="minorHAnsi"/>
              <w:noProof/>
              <w:lang w:eastAsia="de-AT"/>
            </w:rPr>
          </w:pPr>
          <w:hyperlink w:anchor="_Toc42077762" w:history="1">
            <w:r w:rsidR="009F15B2" w:rsidRPr="009A0C18">
              <w:rPr>
                <w:rStyle w:val="Hyperlink"/>
                <w:noProof/>
                <w:lang w:val="en-US"/>
              </w:rPr>
              <w:t>8</w:t>
            </w:r>
            <w:r w:rsidR="009F15B2">
              <w:rPr>
                <w:rFonts w:asciiTheme="minorHAnsi" w:eastAsiaTheme="minorEastAsia" w:hAnsiTheme="minorHAnsi"/>
                <w:noProof/>
                <w:lang w:eastAsia="de-AT"/>
              </w:rPr>
              <w:tab/>
            </w:r>
            <w:r w:rsidR="009F15B2" w:rsidRPr="009A0C18">
              <w:rPr>
                <w:rStyle w:val="Hyperlink"/>
                <w:noProof/>
                <w:lang w:val="en-US"/>
              </w:rPr>
              <w:t>Conclusion</w:t>
            </w:r>
            <w:r w:rsidR="009F15B2">
              <w:rPr>
                <w:noProof/>
                <w:webHidden/>
              </w:rPr>
              <w:tab/>
            </w:r>
            <w:r w:rsidR="009F15B2">
              <w:rPr>
                <w:noProof/>
                <w:webHidden/>
              </w:rPr>
              <w:fldChar w:fldCharType="begin"/>
            </w:r>
            <w:r w:rsidR="009F15B2">
              <w:rPr>
                <w:noProof/>
                <w:webHidden/>
              </w:rPr>
              <w:instrText xml:space="preserve"> PAGEREF _Toc42077762 \h </w:instrText>
            </w:r>
            <w:r w:rsidR="009F15B2">
              <w:rPr>
                <w:noProof/>
                <w:webHidden/>
              </w:rPr>
            </w:r>
            <w:r w:rsidR="009F15B2">
              <w:rPr>
                <w:noProof/>
                <w:webHidden/>
              </w:rPr>
              <w:fldChar w:fldCharType="separate"/>
            </w:r>
            <w:r w:rsidR="00B75C93">
              <w:rPr>
                <w:noProof/>
                <w:webHidden/>
              </w:rPr>
              <w:t>29</w:t>
            </w:r>
            <w:r w:rsidR="009F15B2">
              <w:rPr>
                <w:noProof/>
                <w:webHidden/>
              </w:rPr>
              <w:fldChar w:fldCharType="end"/>
            </w:r>
          </w:hyperlink>
        </w:p>
        <w:p w14:paraId="494AAF53" w14:textId="02EFD29D" w:rsidR="009F15B2" w:rsidRDefault="00562F4C" w:rsidP="00FB314C">
          <w:pPr>
            <w:pStyle w:val="Verzeichnis1"/>
            <w:tabs>
              <w:tab w:val="right" w:pos="9062"/>
            </w:tabs>
            <w:rPr>
              <w:rFonts w:asciiTheme="minorHAnsi" w:eastAsiaTheme="minorEastAsia" w:hAnsiTheme="minorHAnsi"/>
              <w:noProof/>
              <w:lang w:eastAsia="de-AT"/>
            </w:rPr>
          </w:pPr>
          <w:hyperlink w:anchor="_Toc42077763" w:history="1">
            <w:r w:rsidR="009F15B2" w:rsidRPr="009A0C18">
              <w:rPr>
                <w:rStyle w:val="Hyperlink"/>
                <w:noProof/>
              </w:rPr>
              <w:t>9</w:t>
            </w:r>
            <w:r w:rsidR="009F15B2">
              <w:rPr>
                <w:rFonts w:asciiTheme="minorHAnsi" w:eastAsiaTheme="minorEastAsia" w:hAnsiTheme="minorHAnsi"/>
                <w:noProof/>
                <w:lang w:eastAsia="de-AT"/>
              </w:rPr>
              <w:tab/>
            </w:r>
            <w:r w:rsidR="009F15B2" w:rsidRPr="009A0C18">
              <w:rPr>
                <w:rStyle w:val="Hyperlink"/>
                <w:noProof/>
                <w:lang w:val="de-DE"/>
              </w:rPr>
              <w:t>References</w:t>
            </w:r>
            <w:r w:rsidR="009F15B2">
              <w:rPr>
                <w:noProof/>
                <w:webHidden/>
              </w:rPr>
              <w:tab/>
            </w:r>
            <w:r w:rsidR="009F15B2">
              <w:rPr>
                <w:noProof/>
                <w:webHidden/>
              </w:rPr>
              <w:fldChar w:fldCharType="begin"/>
            </w:r>
            <w:r w:rsidR="009F15B2">
              <w:rPr>
                <w:noProof/>
                <w:webHidden/>
              </w:rPr>
              <w:instrText xml:space="preserve"> PAGEREF _Toc42077763 \h </w:instrText>
            </w:r>
            <w:r w:rsidR="009F15B2">
              <w:rPr>
                <w:noProof/>
                <w:webHidden/>
              </w:rPr>
            </w:r>
            <w:r w:rsidR="009F15B2">
              <w:rPr>
                <w:noProof/>
                <w:webHidden/>
              </w:rPr>
              <w:fldChar w:fldCharType="separate"/>
            </w:r>
            <w:r w:rsidR="00B75C93">
              <w:rPr>
                <w:noProof/>
                <w:webHidden/>
              </w:rPr>
              <w:t>31</w:t>
            </w:r>
            <w:r w:rsidR="009F15B2">
              <w:rPr>
                <w:noProof/>
                <w:webHidden/>
              </w:rPr>
              <w:fldChar w:fldCharType="end"/>
            </w:r>
          </w:hyperlink>
        </w:p>
        <w:p w14:paraId="22EB4112" w14:textId="5134CC6E" w:rsidR="00E64CEF" w:rsidRDefault="001A5917" w:rsidP="000F44F6">
          <w:pPr>
            <w:spacing w:line="360" w:lineRule="auto"/>
            <w:rPr>
              <w:b/>
              <w:bCs/>
              <w:lang w:val="de-DE"/>
            </w:rPr>
          </w:pPr>
          <w:r>
            <w:rPr>
              <w:b/>
              <w:bCs/>
              <w:lang w:val="de-DE"/>
            </w:rPr>
            <w:fldChar w:fldCharType="end"/>
          </w:r>
        </w:p>
      </w:sdtContent>
    </w:sdt>
    <w:p w14:paraId="70955077" w14:textId="77777777" w:rsidR="00E64CEF" w:rsidRDefault="00E64CEF">
      <w:pPr>
        <w:jc w:val="left"/>
        <w:rPr>
          <w:b/>
          <w:bCs/>
          <w:lang w:val="de-DE"/>
        </w:rPr>
      </w:pPr>
      <w:r>
        <w:rPr>
          <w:b/>
          <w:bCs/>
          <w:lang w:val="de-DE"/>
        </w:rPr>
        <w:br w:type="page"/>
      </w:r>
    </w:p>
    <w:p w14:paraId="78A18558" w14:textId="5C2D08DF" w:rsidR="00E64CEF" w:rsidRDefault="00E64CEF" w:rsidP="00E64CEF">
      <w:pPr>
        <w:pStyle w:val="Inhaltsverzeichnisberschrift"/>
        <w:spacing w:after="240"/>
      </w:pPr>
      <w:proofErr w:type="spellStart"/>
      <w:r w:rsidRPr="00E64CEF">
        <w:rPr>
          <w:rFonts w:ascii="Times New Roman" w:hAnsi="Times New Roman" w:cs="Times New Roman"/>
          <w:b/>
          <w:bCs/>
          <w:color w:val="auto"/>
          <w:lang w:val="de-DE"/>
        </w:rPr>
        <w:lastRenderedPageBreak/>
        <w:t>Figures</w:t>
      </w:r>
      <w:proofErr w:type="spellEnd"/>
    </w:p>
    <w:p w14:paraId="5F17C94F" w14:textId="191FBBBB" w:rsidR="00E64CEF" w:rsidRDefault="00E64CEF" w:rsidP="00E64CEF">
      <w:pPr>
        <w:pStyle w:val="Abbildungsverzeichnis"/>
        <w:tabs>
          <w:tab w:val="right" w:pos="9062"/>
        </w:tabs>
        <w:spacing w:line="360" w:lineRule="auto"/>
        <w:rPr>
          <w:rFonts w:asciiTheme="minorHAnsi" w:eastAsiaTheme="minorEastAsia" w:hAnsiTheme="minorHAnsi"/>
          <w:noProof/>
          <w:lang w:eastAsia="de-AT"/>
        </w:rPr>
      </w:pPr>
      <w:r>
        <w:fldChar w:fldCharType="begin"/>
      </w:r>
      <w:r>
        <w:instrText xml:space="preserve"> TOC \h \z \c "Figure" </w:instrText>
      </w:r>
      <w:r>
        <w:fldChar w:fldCharType="separate"/>
      </w:r>
      <w:hyperlink w:anchor="_Toc42077592" w:history="1">
        <w:r w:rsidRPr="003248B1">
          <w:rPr>
            <w:rStyle w:val="Hyperlink"/>
            <w:noProof/>
            <w:lang w:val="en-US"/>
          </w:rPr>
          <w:t>Figure 1: Banking Branches In Germany (Bankenverband, 2019)</w:t>
        </w:r>
        <w:r>
          <w:rPr>
            <w:noProof/>
            <w:webHidden/>
          </w:rPr>
          <w:tab/>
        </w:r>
        <w:r>
          <w:rPr>
            <w:noProof/>
            <w:webHidden/>
          </w:rPr>
          <w:fldChar w:fldCharType="begin"/>
        </w:r>
        <w:r>
          <w:rPr>
            <w:noProof/>
            <w:webHidden/>
          </w:rPr>
          <w:instrText xml:space="preserve"> PAGEREF _Toc42077592 \h </w:instrText>
        </w:r>
        <w:r>
          <w:rPr>
            <w:noProof/>
            <w:webHidden/>
          </w:rPr>
        </w:r>
        <w:r>
          <w:rPr>
            <w:noProof/>
            <w:webHidden/>
          </w:rPr>
          <w:fldChar w:fldCharType="separate"/>
        </w:r>
        <w:r w:rsidR="00B75C93">
          <w:rPr>
            <w:noProof/>
            <w:webHidden/>
          </w:rPr>
          <w:t>8</w:t>
        </w:r>
        <w:r>
          <w:rPr>
            <w:noProof/>
            <w:webHidden/>
          </w:rPr>
          <w:fldChar w:fldCharType="end"/>
        </w:r>
      </w:hyperlink>
    </w:p>
    <w:p w14:paraId="2E92D084" w14:textId="31CF24E0" w:rsidR="00E64CEF" w:rsidRDefault="00562F4C" w:rsidP="00E64CEF">
      <w:pPr>
        <w:pStyle w:val="Abbildungsverzeichnis"/>
        <w:tabs>
          <w:tab w:val="right" w:pos="9062"/>
        </w:tabs>
        <w:spacing w:line="360" w:lineRule="auto"/>
        <w:rPr>
          <w:rFonts w:asciiTheme="minorHAnsi" w:eastAsiaTheme="minorEastAsia" w:hAnsiTheme="minorHAnsi"/>
          <w:noProof/>
          <w:lang w:eastAsia="de-AT"/>
        </w:rPr>
      </w:pPr>
      <w:hyperlink w:anchor="_Toc42077593" w:history="1">
        <w:r w:rsidR="00E64CEF" w:rsidRPr="003248B1">
          <w:rPr>
            <w:rStyle w:val="Hyperlink"/>
            <w:noProof/>
            <w:lang w:val="en-US"/>
          </w:rPr>
          <w:t>Figure 2: Change In Numbers Of Credit Institutions From 2017-2018 (European Banking Federation, 2019)</w:t>
        </w:r>
        <w:r w:rsidR="00E64CEF">
          <w:rPr>
            <w:noProof/>
            <w:webHidden/>
          </w:rPr>
          <w:tab/>
        </w:r>
        <w:r w:rsidR="00E64CEF">
          <w:rPr>
            <w:noProof/>
            <w:webHidden/>
          </w:rPr>
          <w:fldChar w:fldCharType="begin"/>
        </w:r>
        <w:r w:rsidR="00E64CEF">
          <w:rPr>
            <w:noProof/>
            <w:webHidden/>
          </w:rPr>
          <w:instrText xml:space="preserve"> PAGEREF _Toc42077593 \h </w:instrText>
        </w:r>
        <w:r w:rsidR="00E64CEF">
          <w:rPr>
            <w:noProof/>
            <w:webHidden/>
          </w:rPr>
        </w:r>
        <w:r w:rsidR="00E64CEF">
          <w:rPr>
            <w:noProof/>
            <w:webHidden/>
          </w:rPr>
          <w:fldChar w:fldCharType="separate"/>
        </w:r>
        <w:r w:rsidR="00B75C93">
          <w:rPr>
            <w:noProof/>
            <w:webHidden/>
          </w:rPr>
          <w:t>12</w:t>
        </w:r>
        <w:r w:rsidR="00E64CEF">
          <w:rPr>
            <w:noProof/>
            <w:webHidden/>
          </w:rPr>
          <w:fldChar w:fldCharType="end"/>
        </w:r>
      </w:hyperlink>
    </w:p>
    <w:p w14:paraId="5156123F" w14:textId="43927816" w:rsidR="00E64CEF" w:rsidRDefault="00562F4C" w:rsidP="00E64CEF">
      <w:pPr>
        <w:pStyle w:val="Abbildungsverzeichnis"/>
        <w:tabs>
          <w:tab w:val="right" w:pos="9062"/>
        </w:tabs>
        <w:spacing w:line="360" w:lineRule="auto"/>
        <w:rPr>
          <w:rFonts w:asciiTheme="minorHAnsi" w:eastAsiaTheme="minorEastAsia" w:hAnsiTheme="minorHAnsi"/>
          <w:noProof/>
          <w:lang w:eastAsia="de-AT"/>
        </w:rPr>
      </w:pPr>
      <w:hyperlink w:anchor="_Toc42077594" w:history="1">
        <w:r w:rsidR="00E64CEF" w:rsidRPr="003248B1">
          <w:rPr>
            <w:rStyle w:val="Hyperlink"/>
            <w:noProof/>
            <w:lang w:val="en-US"/>
          </w:rPr>
          <w:t>Figure 3: Proportion Of Users Of Online Banking (Rabe, 2020)</w:t>
        </w:r>
        <w:r w:rsidR="00E64CEF">
          <w:rPr>
            <w:noProof/>
            <w:webHidden/>
          </w:rPr>
          <w:tab/>
        </w:r>
        <w:r w:rsidR="00E64CEF">
          <w:rPr>
            <w:noProof/>
            <w:webHidden/>
          </w:rPr>
          <w:fldChar w:fldCharType="begin"/>
        </w:r>
        <w:r w:rsidR="00E64CEF">
          <w:rPr>
            <w:noProof/>
            <w:webHidden/>
          </w:rPr>
          <w:instrText xml:space="preserve"> PAGEREF _Toc42077594 \h </w:instrText>
        </w:r>
        <w:r w:rsidR="00E64CEF">
          <w:rPr>
            <w:noProof/>
            <w:webHidden/>
          </w:rPr>
        </w:r>
        <w:r w:rsidR="00E64CEF">
          <w:rPr>
            <w:noProof/>
            <w:webHidden/>
          </w:rPr>
          <w:fldChar w:fldCharType="separate"/>
        </w:r>
        <w:r w:rsidR="00B75C93">
          <w:rPr>
            <w:noProof/>
            <w:webHidden/>
          </w:rPr>
          <w:t>17</w:t>
        </w:r>
        <w:r w:rsidR="00E64CEF">
          <w:rPr>
            <w:noProof/>
            <w:webHidden/>
          </w:rPr>
          <w:fldChar w:fldCharType="end"/>
        </w:r>
      </w:hyperlink>
    </w:p>
    <w:p w14:paraId="6E06E0DD" w14:textId="0B408729" w:rsidR="00E64CEF" w:rsidRDefault="00562F4C" w:rsidP="00E64CEF">
      <w:pPr>
        <w:pStyle w:val="Abbildungsverzeichnis"/>
        <w:tabs>
          <w:tab w:val="right" w:pos="9062"/>
        </w:tabs>
        <w:spacing w:line="360" w:lineRule="auto"/>
        <w:rPr>
          <w:rFonts w:asciiTheme="minorHAnsi" w:eastAsiaTheme="minorEastAsia" w:hAnsiTheme="minorHAnsi"/>
          <w:noProof/>
          <w:lang w:eastAsia="de-AT"/>
        </w:rPr>
      </w:pPr>
      <w:hyperlink w:anchor="_Toc42077595" w:history="1">
        <w:r w:rsidR="00E64CEF" w:rsidRPr="003248B1">
          <w:rPr>
            <w:rStyle w:val="Hyperlink"/>
            <w:noProof/>
            <w:lang w:val="en-US"/>
          </w:rPr>
          <w:t>Figure 4: Development Of The EURIBOR (EURIBOR-Rates, 2020) Compared With Annual Banking Fees By European Countries (The Global Economy, 2020)</w:t>
        </w:r>
        <w:r w:rsidR="00E64CEF">
          <w:rPr>
            <w:noProof/>
            <w:webHidden/>
          </w:rPr>
          <w:tab/>
        </w:r>
        <w:r w:rsidR="00E64CEF">
          <w:rPr>
            <w:noProof/>
            <w:webHidden/>
          </w:rPr>
          <w:fldChar w:fldCharType="begin"/>
        </w:r>
        <w:r w:rsidR="00E64CEF">
          <w:rPr>
            <w:noProof/>
            <w:webHidden/>
          </w:rPr>
          <w:instrText xml:space="preserve"> PAGEREF _Toc42077595 \h </w:instrText>
        </w:r>
        <w:r w:rsidR="00E64CEF">
          <w:rPr>
            <w:noProof/>
            <w:webHidden/>
          </w:rPr>
        </w:r>
        <w:r w:rsidR="00E64CEF">
          <w:rPr>
            <w:noProof/>
            <w:webHidden/>
          </w:rPr>
          <w:fldChar w:fldCharType="separate"/>
        </w:r>
        <w:r w:rsidR="00B75C93">
          <w:rPr>
            <w:noProof/>
            <w:webHidden/>
          </w:rPr>
          <w:t>20</w:t>
        </w:r>
        <w:r w:rsidR="00E64CEF">
          <w:rPr>
            <w:noProof/>
            <w:webHidden/>
          </w:rPr>
          <w:fldChar w:fldCharType="end"/>
        </w:r>
      </w:hyperlink>
    </w:p>
    <w:p w14:paraId="18ED604B" w14:textId="722724D9" w:rsidR="00E64CEF" w:rsidRDefault="00562F4C" w:rsidP="00E64CEF">
      <w:pPr>
        <w:pStyle w:val="Abbildungsverzeichnis"/>
        <w:tabs>
          <w:tab w:val="right" w:pos="9062"/>
        </w:tabs>
        <w:spacing w:line="360" w:lineRule="auto"/>
        <w:rPr>
          <w:rFonts w:asciiTheme="minorHAnsi" w:eastAsiaTheme="minorEastAsia" w:hAnsiTheme="minorHAnsi"/>
          <w:noProof/>
          <w:lang w:eastAsia="de-AT"/>
        </w:rPr>
      </w:pPr>
      <w:hyperlink w:anchor="_Toc42077596" w:history="1">
        <w:r w:rsidR="00E64CEF" w:rsidRPr="003248B1">
          <w:rPr>
            <w:rStyle w:val="Hyperlink"/>
            <w:noProof/>
            <w:lang w:val="en-US"/>
          </w:rPr>
          <w:t>Figure 5: Annual Banking Fees In Europe In Euros (Statista Research Department, 2009)</w:t>
        </w:r>
        <w:r w:rsidR="00E64CEF">
          <w:rPr>
            <w:noProof/>
            <w:webHidden/>
          </w:rPr>
          <w:tab/>
        </w:r>
        <w:r w:rsidR="00E64CEF">
          <w:rPr>
            <w:noProof/>
            <w:webHidden/>
          </w:rPr>
          <w:fldChar w:fldCharType="begin"/>
        </w:r>
        <w:r w:rsidR="00E64CEF">
          <w:rPr>
            <w:noProof/>
            <w:webHidden/>
          </w:rPr>
          <w:instrText xml:space="preserve"> PAGEREF _Toc42077596 \h </w:instrText>
        </w:r>
        <w:r w:rsidR="00E64CEF">
          <w:rPr>
            <w:noProof/>
            <w:webHidden/>
          </w:rPr>
        </w:r>
        <w:r w:rsidR="00E64CEF">
          <w:rPr>
            <w:noProof/>
            <w:webHidden/>
          </w:rPr>
          <w:fldChar w:fldCharType="separate"/>
        </w:r>
        <w:r w:rsidR="00B75C93">
          <w:rPr>
            <w:noProof/>
            <w:webHidden/>
          </w:rPr>
          <w:t>24</w:t>
        </w:r>
        <w:r w:rsidR="00E64CEF">
          <w:rPr>
            <w:noProof/>
            <w:webHidden/>
          </w:rPr>
          <w:fldChar w:fldCharType="end"/>
        </w:r>
      </w:hyperlink>
    </w:p>
    <w:p w14:paraId="740769D0" w14:textId="101F40EC" w:rsidR="001A5917" w:rsidRDefault="00E64CEF" w:rsidP="00E64CEF">
      <w:pPr>
        <w:spacing w:line="360" w:lineRule="auto"/>
      </w:pPr>
      <w:r>
        <w:fldChar w:fldCharType="end"/>
      </w:r>
    </w:p>
    <w:p w14:paraId="1A0A55A2" w14:textId="3CC1AB80" w:rsidR="009F15B2" w:rsidRDefault="009F15B2" w:rsidP="009F15B2">
      <w:pPr>
        <w:pStyle w:val="Inhaltsverzeichnisberschrift"/>
        <w:spacing w:after="240"/>
      </w:pPr>
      <w:proofErr w:type="spellStart"/>
      <w:r w:rsidRPr="009F15B2">
        <w:rPr>
          <w:rFonts w:ascii="Times New Roman" w:hAnsi="Times New Roman" w:cs="Times New Roman"/>
          <w:b/>
          <w:bCs/>
          <w:color w:val="auto"/>
          <w:lang w:val="de-DE"/>
        </w:rPr>
        <w:t>Tables</w:t>
      </w:r>
      <w:proofErr w:type="spellEnd"/>
    </w:p>
    <w:p w14:paraId="50A15413" w14:textId="1F683739" w:rsidR="009F15B2" w:rsidRDefault="009F15B2">
      <w:pPr>
        <w:pStyle w:val="Abbildungsverzeichnis"/>
        <w:tabs>
          <w:tab w:val="right" w:pos="9062"/>
        </w:tabs>
        <w:rPr>
          <w:rFonts w:asciiTheme="minorHAnsi" w:eastAsiaTheme="minorEastAsia" w:hAnsiTheme="minorHAnsi"/>
          <w:noProof/>
          <w:lang w:eastAsia="de-AT"/>
        </w:rPr>
      </w:pPr>
      <w:r>
        <w:fldChar w:fldCharType="begin"/>
      </w:r>
      <w:r>
        <w:instrText xml:space="preserve"> TOC \h \z \c "Table" </w:instrText>
      </w:r>
      <w:r>
        <w:fldChar w:fldCharType="separate"/>
      </w:r>
      <w:hyperlink w:anchor="_Toc42077714" w:history="1">
        <w:r w:rsidRPr="00195534">
          <w:rPr>
            <w:rStyle w:val="Hyperlink"/>
            <w:noProof/>
            <w:lang w:val="en-US"/>
          </w:rPr>
          <w:t>Table 1: Economic Statistics Of Selected EU Member States</w:t>
        </w:r>
        <w:r>
          <w:rPr>
            <w:noProof/>
            <w:webHidden/>
          </w:rPr>
          <w:tab/>
        </w:r>
        <w:r>
          <w:rPr>
            <w:noProof/>
            <w:webHidden/>
          </w:rPr>
          <w:fldChar w:fldCharType="begin"/>
        </w:r>
        <w:r>
          <w:rPr>
            <w:noProof/>
            <w:webHidden/>
          </w:rPr>
          <w:instrText xml:space="preserve"> PAGEREF _Toc42077714 \h </w:instrText>
        </w:r>
        <w:r>
          <w:rPr>
            <w:noProof/>
            <w:webHidden/>
          </w:rPr>
        </w:r>
        <w:r>
          <w:rPr>
            <w:noProof/>
            <w:webHidden/>
          </w:rPr>
          <w:fldChar w:fldCharType="separate"/>
        </w:r>
        <w:r w:rsidR="00B75C93">
          <w:rPr>
            <w:noProof/>
            <w:webHidden/>
          </w:rPr>
          <w:t>25</w:t>
        </w:r>
        <w:r>
          <w:rPr>
            <w:noProof/>
            <w:webHidden/>
          </w:rPr>
          <w:fldChar w:fldCharType="end"/>
        </w:r>
      </w:hyperlink>
    </w:p>
    <w:p w14:paraId="6CDD34D3" w14:textId="5823407B" w:rsidR="009F15B2" w:rsidRPr="001A5917" w:rsidRDefault="009F15B2" w:rsidP="00E64CEF">
      <w:pPr>
        <w:spacing w:line="360" w:lineRule="auto"/>
      </w:pPr>
      <w:r>
        <w:fldChar w:fldCharType="end"/>
      </w:r>
    </w:p>
    <w:p w14:paraId="6650DA2E" w14:textId="77777777" w:rsidR="00693DC4" w:rsidRDefault="001A5917">
      <w:pPr>
        <w:jc w:val="left"/>
        <w:rPr>
          <w:lang w:val="en-US"/>
        </w:rPr>
      </w:pPr>
      <w:r>
        <w:rPr>
          <w:lang w:val="en-US"/>
        </w:rPr>
        <w:br w:type="page"/>
      </w:r>
    </w:p>
    <w:p w14:paraId="5A6CB608" w14:textId="2CD79A8D" w:rsidR="00E64CEF" w:rsidRDefault="00E64CEF">
      <w:pPr>
        <w:jc w:val="left"/>
        <w:rPr>
          <w:lang w:val="en-US"/>
        </w:rPr>
        <w:sectPr w:rsidR="00E64CEF" w:rsidSect="0039546A">
          <w:headerReference w:type="default" r:id="rId9"/>
          <w:footerReference w:type="default" r:id="rId10"/>
          <w:pgSz w:w="11906" w:h="16838"/>
          <w:pgMar w:top="1417" w:right="1417" w:bottom="1134" w:left="1417" w:header="708" w:footer="708" w:gutter="0"/>
          <w:pgNumType w:start="0"/>
          <w:cols w:space="708"/>
          <w:titlePg/>
          <w:docGrid w:linePitch="360"/>
        </w:sectPr>
      </w:pPr>
    </w:p>
    <w:p w14:paraId="444B8000" w14:textId="1B723E9A" w:rsidR="00624DD7" w:rsidRPr="00624DD7" w:rsidRDefault="00624DD7" w:rsidP="00481202">
      <w:pPr>
        <w:pStyle w:val="berschrift1"/>
        <w:rPr>
          <w:lang w:val="en-US"/>
        </w:rPr>
      </w:pPr>
      <w:bookmarkStart w:id="0" w:name="_Toc42077727"/>
      <w:r w:rsidRPr="00624DD7">
        <w:rPr>
          <w:lang w:val="en-US"/>
        </w:rPr>
        <w:lastRenderedPageBreak/>
        <w:t>Introduction</w:t>
      </w:r>
      <w:bookmarkEnd w:id="0"/>
    </w:p>
    <w:p w14:paraId="1F7A556C" w14:textId="77777777" w:rsidR="00624DD7" w:rsidRDefault="00624DD7" w:rsidP="00624DD7">
      <w:pPr>
        <w:spacing w:line="360" w:lineRule="auto"/>
        <w:rPr>
          <w:rFonts w:cs="Arial"/>
          <w:lang w:val="en-US"/>
        </w:rPr>
      </w:pPr>
      <w:r w:rsidRPr="005827D7">
        <w:rPr>
          <w:rFonts w:cs="Arial"/>
          <w:lang w:val="en-US"/>
        </w:rPr>
        <w:t xml:space="preserve">Recent developments regarding banking fees </w:t>
      </w:r>
      <w:r>
        <w:rPr>
          <w:rFonts w:cs="Arial"/>
          <w:lang w:val="en-US"/>
        </w:rPr>
        <w:t xml:space="preserve">provoked lack of understanding </w:t>
      </w:r>
      <w:r w:rsidRPr="005827D7">
        <w:rPr>
          <w:rFonts w:cs="Arial"/>
          <w:lang w:val="en-US"/>
        </w:rPr>
        <w:t xml:space="preserve">among </w:t>
      </w:r>
      <w:r>
        <w:rPr>
          <w:rFonts w:cs="Arial"/>
          <w:lang w:val="en-US"/>
        </w:rPr>
        <w:t>a</w:t>
      </w:r>
      <w:r w:rsidRPr="005827D7">
        <w:rPr>
          <w:rFonts w:cs="Arial"/>
          <w:lang w:val="en-US"/>
        </w:rPr>
        <w:t xml:space="preserve"> wide range of cu</w:t>
      </w:r>
      <w:r>
        <w:rPr>
          <w:rFonts w:cs="Arial"/>
          <w:lang w:val="en-US"/>
        </w:rPr>
        <w:t xml:space="preserve">stomers. While financial institutions increase the charges for basic banking services, the client is facing more and more self-service models. </w:t>
      </w:r>
      <w:r w:rsidRPr="000C250F">
        <w:rPr>
          <w:rFonts w:cs="Arial"/>
          <w:lang w:val="en-US"/>
        </w:rPr>
        <w:t>Therefore, the indignation seems justified</w:t>
      </w:r>
      <w:r>
        <w:rPr>
          <w:rFonts w:cs="Arial"/>
          <w:lang w:val="en-US"/>
        </w:rPr>
        <w:t>. Every year numerous bank branches, which represent significant fixed cost objects for the banks, shut down and employees get replaced by machines. These developments already started in the 1960s when the first automated teller machines were installed and have continued ever since. Nowadays customers are able to perform payment transactions and administer their bank account from home, which enables comfortable and convenient ways for the client to manage one’s budget. However, the digitalization arguably made banking processes much cheaper for the financial institutions as well. Hence, the question of why banking fees keep growing, although the expenses for banks presumably decrease, seems appropriate.</w:t>
      </w:r>
    </w:p>
    <w:p w14:paraId="332BC669" w14:textId="77777777" w:rsidR="00624DD7" w:rsidRDefault="00624DD7" w:rsidP="00624DD7">
      <w:pPr>
        <w:spacing w:line="360" w:lineRule="auto"/>
        <w:rPr>
          <w:rFonts w:cs="Arial"/>
          <w:lang w:val="en-US"/>
        </w:rPr>
      </w:pPr>
      <w:r>
        <w:rPr>
          <w:rFonts w:cs="Arial"/>
          <w:lang w:val="en-US"/>
        </w:rPr>
        <w:t xml:space="preserve">The method applied in this paper is the literature review. </w:t>
      </w:r>
      <w:r w:rsidRPr="00A35625">
        <w:rPr>
          <w:rFonts w:cs="Arial"/>
          <w:lang w:val="en-US"/>
        </w:rPr>
        <w:t>Current reports, scientific papers and books were included</w:t>
      </w:r>
      <w:r>
        <w:rPr>
          <w:rFonts w:cs="Arial"/>
          <w:lang w:val="en-US"/>
        </w:rPr>
        <w:t>, as well as official statistics and numbers published by public authorities, like national banks.</w:t>
      </w:r>
    </w:p>
    <w:p w14:paraId="31676A22" w14:textId="429553F2" w:rsidR="00624DD7" w:rsidRDefault="00624DD7" w:rsidP="00624DD7">
      <w:pPr>
        <w:spacing w:line="360" w:lineRule="auto"/>
        <w:rPr>
          <w:rFonts w:cs="Arial"/>
          <w:lang w:val="en-US"/>
        </w:rPr>
      </w:pPr>
      <w:r>
        <w:rPr>
          <w:rFonts w:cs="Arial"/>
          <w:lang w:val="en-US"/>
        </w:rPr>
        <w:t xml:space="preserve">The purpose of this paper is to learn more about the banking sector in general and to answer the research questions expressed in chapter </w:t>
      </w:r>
      <w:r w:rsidR="00591099">
        <w:rPr>
          <w:rFonts w:cs="Arial"/>
          <w:lang w:val="en-US"/>
        </w:rPr>
        <w:t>2</w:t>
      </w:r>
      <w:r>
        <w:rPr>
          <w:rFonts w:cs="Arial"/>
          <w:lang w:val="en-US"/>
        </w:rPr>
        <w:t xml:space="preserve">. Furthermore, the focus is on the development of banking charges within the European Union, in particular since the financial crisis in 2008. Since the technological progress has a major impact on the banking industry and arguably directly affects the extent of fees, the digitalization of banking processes will be covered as well. </w:t>
      </w:r>
      <w:r w:rsidRPr="00445CB5">
        <w:rPr>
          <w:rFonts w:cs="Arial"/>
          <w:lang w:val="en-US"/>
        </w:rPr>
        <w:t>Th</w:t>
      </w:r>
      <w:r w:rsidR="00082FF1">
        <w:rPr>
          <w:rFonts w:cs="Arial"/>
          <w:lang w:val="en-US"/>
        </w:rPr>
        <w:t>is</w:t>
      </w:r>
      <w:r w:rsidRPr="00445CB5">
        <w:rPr>
          <w:rFonts w:cs="Arial"/>
          <w:lang w:val="en-US"/>
        </w:rPr>
        <w:t xml:space="preserve"> results in </w:t>
      </w:r>
      <w:r>
        <w:rPr>
          <w:rFonts w:cs="Arial"/>
          <w:lang w:val="en-US"/>
        </w:rPr>
        <w:t xml:space="preserve">the following </w:t>
      </w:r>
      <w:r w:rsidRPr="00445CB5">
        <w:rPr>
          <w:rFonts w:cs="Arial"/>
          <w:lang w:val="en-US"/>
        </w:rPr>
        <w:t>structure</w:t>
      </w:r>
      <w:r>
        <w:rPr>
          <w:rFonts w:cs="Arial"/>
          <w:lang w:val="en-US"/>
        </w:rPr>
        <w:t>,</w:t>
      </w:r>
      <w:r w:rsidRPr="00445CB5">
        <w:rPr>
          <w:rFonts w:cs="Arial"/>
          <w:lang w:val="en-US"/>
        </w:rPr>
        <w:t xml:space="preserve"> that covers all subject areas</w:t>
      </w:r>
      <w:r>
        <w:rPr>
          <w:rFonts w:cs="Arial"/>
          <w:lang w:val="en-US"/>
        </w:rPr>
        <w:t>:</w:t>
      </w:r>
    </w:p>
    <w:p w14:paraId="675F78D6" w14:textId="77777777" w:rsidR="00624DD7" w:rsidRPr="005827D7" w:rsidRDefault="00624DD7" w:rsidP="00624DD7">
      <w:pPr>
        <w:spacing w:line="360" w:lineRule="auto"/>
        <w:rPr>
          <w:rFonts w:cs="Arial"/>
          <w:lang w:val="en-US"/>
        </w:rPr>
      </w:pPr>
      <w:r>
        <w:rPr>
          <w:rFonts w:cs="Arial"/>
          <w:lang w:val="en-US"/>
        </w:rPr>
        <w:t xml:space="preserve">After specifying the goals, respectively the research questions, of this paper and declaring the basic terms, a brief overview of the milestones in the history of banking is given. Afterwards, the European banking industry, with focus on the Austrian financial market, is described to provide an insight into the current situation in Europe. Thereupon, the paper deals with the digitalization and automation of business processes in banking and analyzes its impact on business models of financial institutions. </w:t>
      </w:r>
      <w:r w:rsidRPr="00B70C9A">
        <w:rPr>
          <w:rFonts w:cs="Arial"/>
          <w:lang w:val="en-US"/>
        </w:rPr>
        <w:t xml:space="preserve">The last chapter is dedicated to bank fees in particular. Various fee models are described and the European legal framework </w:t>
      </w:r>
      <w:r>
        <w:rPr>
          <w:rFonts w:cs="Arial"/>
          <w:lang w:val="en-US"/>
        </w:rPr>
        <w:t xml:space="preserve">is illustrated. Furthermore, the paper compares the situations of four EU member states and </w:t>
      </w:r>
      <w:r w:rsidRPr="00774376">
        <w:rPr>
          <w:rFonts w:cs="Arial"/>
          <w:lang w:val="en-US"/>
        </w:rPr>
        <w:t>tries to justify the different conditions.</w:t>
      </w:r>
      <w:r>
        <w:rPr>
          <w:rFonts w:cs="Arial"/>
          <w:lang w:val="en-US"/>
        </w:rPr>
        <w:t xml:space="preserve"> </w:t>
      </w:r>
    </w:p>
    <w:p w14:paraId="407678AA" w14:textId="18CEB6E2" w:rsidR="00624DD7" w:rsidRDefault="00624DD7">
      <w:pPr>
        <w:rPr>
          <w:rFonts w:cs="Arial"/>
          <w:lang w:val="en-US"/>
        </w:rPr>
      </w:pPr>
      <w:r>
        <w:rPr>
          <w:rFonts w:cs="Arial"/>
          <w:lang w:val="en-US"/>
        </w:rPr>
        <w:br w:type="page"/>
      </w:r>
    </w:p>
    <w:p w14:paraId="234B52BE" w14:textId="77777777" w:rsidR="00624DD7" w:rsidRPr="006F4A97" w:rsidRDefault="00624DD7" w:rsidP="00481202">
      <w:pPr>
        <w:pStyle w:val="berschrift1"/>
        <w:rPr>
          <w:lang w:val="en-US"/>
        </w:rPr>
      </w:pPr>
      <w:bookmarkStart w:id="1" w:name="_Toc42077728"/>
      <w:r w:rsidRPr="006F4A97">
        <w:rPr>
          <w:lang w:val="en-US"/>
        </w:rPr>
        <w:lastRenderedPageBreak/>
        <w:t>Research Question</w:t>
      </w:r>
      <w:bookmarkEnd w:id="1"/>
    </w:p>
    <w:p w14:paraId="1BB21A3E" w14:textId="77777777" w:rsidR="00624DD7" w:rsidRPr="006F4A97" w:rsidRDefault="00624DD7" w:rsidP="00624DD7">
      <w:pPr>
        <w:spacing w:line="360" w:lineRule="auto"/>
        <w:rPr>
          <w:rFonts w:cs="Arial"/>
          <w:lang w:val="en-US"/>
        </w:rPr>
      </w:pPr>
      <w:r w:rsidRPr="006F4A97">
        <w:rPr>
          <w:rFonts w:cs="Arial"/>
          <w:lang w:val="en-US"/>
        </w:rPr>
        <w:t xml:space="preserve">The following chapter deals with the </w:t>
      </w:r>
      <w:r w:rsidRPr="00E972B5">
        <w:rPr>
          <w:rFonts w:cs="Arial"/>
          <w:lang w:val="en-US"/>
        </w:rPr>
        <w:t>precise</w:t>
      </w:r>
      <w:r w:rsidRPr="006F7E44">
        <w:rPr>
          <w:rFonts w:cs="Arial"/>
          <w:color w:val="FF0000"/>
          <w:lang w:val="en-US"/>
        </w:rPr>
        <w:t xml:space="preserve"> </w:t>
      </w:r>
      <w:r w:rsidRPr="006F4A97">
        <w:rPr>
          <w:rFonts w:cs="Arial"/>
          <w:lang w:val="en-US"/>
        </w:rPr>
        <w:t>definition of the research question</w:t>
      </w:r>
      <w:r>
        <w:rPr>
          <w:rFonts w:cs="Arial"/>
          <w:lang w:val="en-US"/>
        </w:rPr>
        <w:t>, thus the goal of the work</w:t>
      </w:r>
      <w:r w:rsidRPr="006F4A97">
        <w:rPr>
          <w:rFonts w:cs="Arial"/>
          <w:lang w:val="en-US"/>
        </w:rPr>
        <w:t>. While the main question will affect the whole seminar paper, the additional questions will be covered in certain parts of the paper.</w:t>
      </w:r>
    </w:p>
    <w:p w14:paraId="1AA5807C" w14:textId="77777777" w:rsidR="00624DD7" w:rsidRPr="006F4A97" w:rsidRDefault="00624DD7" w:rsidP="00624DD7">
      <w:pPr>
        <w:spacing w:line="360" w:lineRule="auto"/>
        <w:rPr>
          <w:rFonts w:cs="Arial"/>
          <w:lang w:val="en-US"/>
        </w:rPr>
      </w:pPr>
      <w:r w:rsidRPr="006F4A97">
        <w:rPr>
          <w:rFonts w:cs="Arial"/>
          <w:lang w:val="en-US"/>
        </w:rPr>
        <w:t>As already mentioned in the previous chapter the work analyzes the development of banking charges in general but especially considering the technological progress in the past centuries. Therefore the main research question is defined as:</w:t>
      </w:r>
    </w:p>
    <w:p w14:paraId="5A3EE538" w14:textId="5EB65520" w:rsidR="00624DD7" w:rsidRPr="006F4A97" w:rsidRDefault="00624DD7" w:rsidP="00624DD7">
      <w:pPr>
        <w:spacing w:line="360" w:lineRule="auto"/>
        <w:ind w:left="567" w:right="567"/>
        <w:jc w:val="center"/>
        <w:rPr>
          <w:rFonts w:cs="Arial"/>
          <w:i/>
          <w:iCs/>
          <w:lang w:val="en-US"/>
        </w:rPr>
      </w:pPr>
      <w:r w:rsidRPr="006F4A97">
        <w:rPr>
          <w:rFonts w:cs="Arial"/>
          <w:i/>
          <w:iCs/>
          <w:lang w:val="en-US"/>
        </w:rPr>
        <w:t>To what extend are bank charges</w:t>
      </w:r>
      <w:r w:rsidR="003619F8">
        <w:rPr>
          <w:rFonts w:cs="Arial"/>
          <w:i/>
          <w:iCs/>
          <w:lang w:val="en-US"/>
        </w:rPr>
        <w:t xml:space="preserve"> </w:t>
      </w:r>
      <w:r w:rsidR="00DA4548" w:rsidRPr="006F4A97">
        <w:rPr>
          <w:rFonts w:cs="Arial"/>
          <w:i/>
          <w:iCs/>
          <w:lang w:val="en-US"/>
        </w:rPr>
        <w:t>justified</w:t>
      </w:r>
      <w:r w:rsidR="00DA4548">
        <w:rPr>
          <w:rFonts w:cs="Arial"/>
          <w:i/>
          <w:iCs/>
          <w:lang w:val="en-US"/>
        </w:rPr>
        <w:t xml:space="preserve"> </w:t>
      </w:r>
      <w:r w:rsidR="003619F8">
        <w:rPr>
          <w:rFonts w:cs="Arial"/>
          <w:i/>
          <w:iCs/>
          <w:lang w:val="en-US"/>
        </w:rPr>
        <w:t>within the European Union</w:t>
      </w:r>
      <w:r w:rsidRPr="006F4A97">
        <w:rPr>
          <w:rFonts w:cs="Arial"/>
          <w:i/>
          <w:iCs/>
          <w:lang w:val="en-US"/>
        </w:rPr>
        <w:t xml:space="preserve"> in the digital age considering automation and self-service?</w:t>
      </w:r>
    </w:p>
    <w:p w14:paraId="39EC7CD2" w14:textId="1C228715" w:rsidR="00624DD7" w:rsidRPr="007B211F" w:rsidRDefault="00624DD7" w:rsidP="00624DD7">
      <w:pPr>
        <w:spacing w:line="360" w:lineRule="auto"/>
        <w:rPr>
          <w:rFonts w:cs="Arial"/>
          <w:lang w:val="en-US"/>
        </w:rPr>
      </w:pPr>
      <w:r w:rsidRPr="006F4A97">
        <w:rPr>
          <w:rFonts w:cs="Arial"/>
          <w:lang w:val="en-US"/>
        </w:rPr>
        <w:t xml:space="preserve">The goal throughout the paper is to give an overview of the banking industry in the European Union, particularly in Austria, to critically describe the development of banking fees in the digital age and to review the </w:t>
      </w:r>
      <w:r w:rsidR="00E139C7" w:rsidRPr="00E139C7">
        <w:rPr>
          <w:lang w:val="en-US"/>
        </w:rPr>
        <w:t xml:space="preserve">adequacy </w:t>
      </w:r>
      <w:r w:rsidRPr="006F4A97">
        <w:rPr>
          <w:rFonts w:cs="Arial"/>
          <w:lang w:val="en-US"/>
        </w:rPr>
        <w:t xml:space="preserve">of charging those </w:t>
      </w:r>
      <w:r w:rsidR="00CC507C">
        <w:rPr>
          <w:rFonts w:cs="Arial"/>
          <w:lang w:val="en-US"/>
        </w:rPr>
        <w:t xml:space="preserve">amounts of </w:t>
      </w:r>
      <w:r w:rsidRPr="006F4A97">
        <w:rPr>
          <w:rFonts w:cs="Arial"/>
          <w:lang w:val="en-US"/>
        </w:rPr>
        <w:t>fees. The following questions should help to illustrate the purpose of the paper explicitly:</w:t>
      </w:r>
    </w:p>
    <w:p w14:paraId="56224D5F" w14:textId="4E1707F7" w:rsidR="001E0B26" w:rsidRDefault="001E0B26" w:rsidP="001E0B26">
      <w:pPr>
        <w:pStyle w:val="Listenabsatz"/>
        <w:numPr>
          <w:ilvl w:val="0"/>
          <w:numId w:val="1"/>
        </w:numPr>
        <w:spacing w:line="360" w:lineRule="auto"/>
        <w:rPr>
          <w:rFonts w:cs="Arial"/>
          <w:i/>
          <w:iCs/>
          <w:lang w:val="en-US"/>
        </w:rPr>
      </w:pPr>
      <w:r>
        <w:rPr>
          <w:rFonts w:cs="Arial"/>
          <w:i/>
          <w:iCs/>
          <w:lang w:val="en-US"/>
        </w:rPr>
        <w:t>What are the milestones in the history of banking leading to the digitalization of the banking industry?</w:t>
      </w:r>
    </w:p>
    <w:p w14:paraId="6499712F" w14:textId="778003C7" w:rsidR="005E74E5" w:rsidRPr="005E74E5" w:rsidRDefault="005E74E5" w:rsidP="005E74E5">
      <w:pPr>
        <w:pStyle w:val="Listenabsatz"/>
        <w:numPr>
          <w:ilvl w:val="0"/>
          <w:numId w:val="1"/>
        </w:numPr>
        <w:spacing w:line="360" w:lineRule="auto"/>
        <w:rPr>
          <w:rFonts w:cs="Arial"/>
          <w:i/>
          <w:iCs/>
          <w:lang w:val="en-US"/>
        </w:rPr>
      </w:pPr>
      <w:r w:rsidRPr="006F4A97">
        <w:rPr>
          <w:rFonts w:cs="Arial"/>
          <w:i/>
          <w:iCs/>
          <w:lang w:val="en-US"/>
        </w:rPr>
        <w:t xml:space="preserve">How did bank charges change over the past </w:t>
      </w:r>
      <w:r>
        <w:rPr>
          <w:rFonts w:cs="Arial"/>
          <w:i/>
          <w:iCs/>
          <w:lang w:val="en-US"/>
        </w:rPr>
        <w:t>decades</w:t>
      </w:r>
      <w:r w:rsidRPr="006F4A97">
        <w:rPr>
          <w:rFonts w:cs="Arial"/>
          <w:i/>
          <w:iCs/>
          <w:lang w:val="en-US"/>
        </w:rPr>
        <w:t xml:space="preserve"> considering technological developments?</w:t>
      </w:r>
    </w:p>
    <w:p w14:paraId="407D5836" w14:textId="5E2F42CB" w:rsidR="00624DD7" w:rsidRPr="006F4A97" w:rsidRDefault="00624DD7" w:rsidP="00624DD7">
      <w:pPr>
        <w:pStyle w:val="Listenabsatz"/>
        <w:numPr>
          <w:ilvl w:val="0"/>
          <w:numId w:val="1"/>
        </w:numPr>
        <w:spacing w:line="360" w:lineRule="auto"/>
        <w:rPr>
          <w:rFonts w:cs="Arial"/>
          <w:i/>
          <w:iCs/>
          <w:lang w:val="en-US"/>
        </w:rPr>
      </w:pPr>
      <w:r w:rsidRPr="006F4A97">
        <w:rPr>
          <w:rFonts w:cs="Arial"/>
          <w:i/>
          <w:iCs/>
          <w:lang w:val="en-US"/>
        </w:rPr>
        <w:t xml:space="preserve">Are there legislations which regulate banking fees in </w:t>
      </w:r>
      <w:r>
        <w:rPr>
          <w:rFonts w:cs="Arial"/>
          <w:i/>
          <w:iCs/>
          <w:lang w:val="en-US"/>
        </w:rPr>
        <w:t>Europe</w:t>
      </w:r>
      <w:r w:rsidRPr="006F4A97">
        <w:rPr>
          <w:rFonts w:cs="Arial"/>
          <w:i/>
          <w:iCs/>
          <w:lang w:val="en-US"/>
        </w:rPr>
        <w:t xml:space="preserve"> and if so which cases are defined?</w:t>
      </w:r>
    </w:p>
    <w:p w14:paraId="5EA6246C" w14:textId="77777777" w:rsidR="00624DD7" w:rsidRDefault="00624DD7" w:rsidP="00624DD7">
      <w:pPr>
        <w:pStyle w:val="Listenabsatz"/>
        <w:numPr>
          <w:ilvl w:val="0"/>
          <w:numId w:val="1"/>
        </w:numPr>
        <w:spacing w:line="360" w:lineRule="auto"/>
        <w:rPr>
          <w:rFonts w:cs="Arial"/>
          <w:i/>
          <w:iCs/>
          <w:lang w:val="en-US"/>
        </w:rPr>
      </w:pPr>
      <w:r w:rsidRPr="006F4A97">
        <w:rPr>
          <w:rFonts w:cs="Arial"/>
          <w:i/>
          <w:iCs/>
          <w:lang w:val="en-US"/>
        </w:rPr>
        <w:t>Do differences between banking charges in different countries inside the European Union exist?</w:t>
      </w:r>
    </w:p>
    <w:p w14:paraId="188AF87E" w14:textId="77777777" w:rsidR="00624DD7" w:rsidRPr="006F4A97" w:rsidRDefault="00624DD7" w:rsidP="00624DD7">
      <w:pPr>
        <w:pStyle w:val="Listenabsatz"/>
        <w:numPr>
          <w:ilvl w:val="0"/>
          <w:numId w:val="1"/>
        </w:numPr>
        <w:spacing w:line="360" w:lineRule="auto"/>
        <w:rPr>
          <w:rFonts w:cs="Arial"/>
          <w:i/>
          <w:iCs/>
          <w:lang w:val="en-US"/>
        </w:rPr>
      </w:pPr>
      <w:r w:rsidRPr="006F4A97">
        <w:rPr>
          <w:rFonts w:cs="Arial"/>
          <w:i/>
          <w:iCs/>
          <w:lang w:val="en-US"/>
        </w:rPr>
        <w:t>To what extend does the technological progress influence the banking industry?</w:t>
      </w:r>
    </w:p>
    <w:p w14:paraId="266BAFF3" w14:textId="6008FD9B" w:rsidR="00624DD7" w:rsidRPr="006F4A97" w:rsidRDefault="00624DD7" w:rsidP="00624DD7">
      <w:pPr>
        <w:spacing w:line="360" w:lineRule="auto"/>
        <w:rPr>
          <w:rFonts w:cs="Arial"/>
          <w:lang w:val="en-US"/>
        </w:rPr>
      </w:pPr>
      <w:r>
        <w:rPr>
          <w:rFonts w:cs="Arial"/>
          <w:lang w:val="en-US"/>
        </w:rPr>
        <w:t>Regarding the delimitation of the topic, issues like the activities of financial institutions or developments in the banking industry which aren’t related to banking charges</w:t>
      </w:r>
      <w:r w:rsidR="00425FFA">
        <w:rPr>
          <w:rFonts w:cs="Arial"/>
          <w:lang w:val="en-US"/>
        </w:rPr>
        <w:t xml:space="preserve"> and digitalization</w:t>
      </w:r>
      <w:r>
        <w:rPr>
          <w:rFonts w:cs="Arial"/>
          <w:lang w:val="en-US"/>
        </w:rPr>
        <w:t xml:space="preserve"> will only be covered briefly or left out completely. Since the European Union </w:t>
      </w:r>
      <w:r w:rsidRPr="001F32AC">
        <w:rPr>
          <w:rFonts w:cs="Arial"/>
          <w:lang w:val="en-US"/>
        </w:rPr>
        <w:t>holds a sovereign position</w:t>
      </w:r>
      <w:r>
        <w:rPr>
          <w:rFonts w:cs="Arial"/>
          <w:lang w:val="en-US"/>
        </w:rPr>
        <w:t>, supranational law will be involved and regulations as well as directives applied in the EU member states will be mentioned. However standing orders in countries outside of Europe won’t be discussed</w:t>
      </w:r>
      <w:r w:rsidR="002E48FB">
        <w:rPr>
          <w:rFonts w:cs="Arial"/>
          <w:lang w:val="en-US"/>
        </w:rPr>
        <w:t xml:space="preserve"> any further</w:t>
      </w:r>
      <w:r>
        <w:rPr>
          <w:rFonts w:cs="Arial"/>
          <w:lang w:val="en-US"/>
        </w:rPr>
        <w:t>.</w:t>
      </w:r>
    </w:p>
    <w:p w14:paraId="4D4AB7AB" w14:textId="123DBADB" w:rsidR="00624DD7" w:rsidRDefault="00624DD7">
      <w:pPr>
        <w:rPr>
          <w:rFonts w:cs="Arial"/>
          <w:lang w:val="en-US"/>
        </w:rPr>
      </w:pPr>
      <w:r>
        <w:rPr>
          <w:rFonts w:cs="Arial"/>
          <w:lang w:val="en-US"/>
        </w:rPr>
        <w:br w:type="page"/>
      </w:r>
    </w:p>
    <w:p w14:paraId="33FF7150" w14:textId="05173B97" w:rsidR="00624DD7" w:rsidRPr="00B062F2" w:rsidRDefault="009C2F9C" w:rsidP="00481202">
      <w:pPr>
        <w:pStyle w:val="berschrift1"/>
        <w:rPr>
          <w:lang w:val="en-US"/>
        </w:rPr>
      </w:pPr>
      <w:bookmarkStart w:id="2" w:name="_Toc42077729"/>
      <w:r>
        <w:rPr>
          <w:lang w:val="en-US"/>
        </w:rPr>
        <w:lastRenderedPageBreak/>
        <w:t xml:space="preserve">Basic </w:t>
      </w:r>
      <w:r w:rsidR="00624DD7">
        <w:rPr>
          <w:lang w:val="en-US"/>
        </w:rPr>
        <w:t>Terminology</w:t>
      </w:r>
      <w:bookmarkEnd w:id="2"/>
    </w:p>
    <w:p w14:paraId="69AADDC1" w14:textId="77777777" w:rsidR="00624DD7" w:rsidRDefault="00624DD7" w:rsidP="00624DD7">
      <w:pPr>
        <w:spacing w:line="360" w:lineRule="auto"/>
        <w:rPr>
          <w:rFonts w:cs="Arial"/>
          <w:lang w:val="en-US"/>
        </w:rPr>
      </w:pPr>
      <w:r>
        <w:rPr>
          <w:rFonts w:cs="Arial"/>
          <w:lang w:val="en-US"/>
        </w:rPr>
        <w:t>T</w:t>
      </w:r>
      <w:r w:rsidRPr="00C71FB8">
        <w:rPr>
          <w:rFonts w:cs="Arial"/>
          <w:lang w:val="en-US"/>
        </w:rPr>
        <w:t xml:space="preserve">he </w:t>
      </w:r>
      <w:r>
        <w:rPr>
          <w:rFonts w:cs="Arial"/>
          <w:lang w:val="en-US"/>
        </w:rPr>
        <w:t>subsequent</w:t>
      </w:r>
      <w:r w:rsidRPr="00C71FB8">
        <w:rPr>
          <w:rFonts w:cs="Arial"/>
          <w:lang w:val="en-US"/>
        </w:rPr>
        <w:t xml:space="preserve"> chapter </w:t>
      </w:r>
      <w:r>
        <w:rPr>
          <w:rFonts w:cs="Arial"/>
          <w:lang w:val="en-US"/>
        </w:rPr>
        <w:t>explains the main terms, which are essential to understand the following parts of the seminar paper.</w:t>
      </w:r>
    </w:p>
    <w:p w14:paraId="5B0A3131" w14:textId="5E5C377E" w:rsidR="00624DD7" w:rsidRDefault="00624DD7" w:rsidP="00481202">
      <w:pPr>
        <w:pStyle w:val="berschrift2"/>
        <w:rPr>
          <w:lang w:val="en-US"/>
        </w:rPr>
      </w:pPr>
      <w:bookmarkStart w:id="3" w:name="_Ref40386911"/>
      <w:bookmarkStart w:id="4" w:name="_Toc42077730"/>
      <w:r w:rsidRPr="00963DBA">
        <w:rPr>
          <w:lang w:val="en-US"/>
        </w:rPr>
        <w:t>Financial Institutions</w:t>
      </w:r>
      <w:bookmarkEnd w:id="3"/>
      <w:bookmarkEnd w:id="4"/>
    </w:p>
    <w:p w14:paraId="310E1D36" w14:textId="795123F7" w:rsidR="00624DD7" w:rsidRPr="000F53C8" w:rsidRDefault="00624DD7" w:rsidP="00624DD7">
      <w:pPr>
        <w:spacing w:line="360" w:lineRule="auto"/>
        <w:rPr>
          <w:rFonts w:cs="Arial"/>
          <w:lang w:val="en-US"/>
        </w:rPr>
      </w:pPr>
      <w:r>
        <w:rPr>
          <w:rFonts w:cs="Arial"/>
          <w:lang w:val="en-US"/>
        </w:rPr>
        <w:t xml:space="preserve">Financial institutions are </w:t>
      </w:r>
      <w:r w:rsidRPr="00210666">
        <w:rPr>
          <w:rFonts w:cs="Arial"/>
          <w:lang w:val="en-US"/>
        </w:rPr>
        <w:t xml:space="preserve">public- or privately-owned </w:t>
      </w:r>
      <w:r>
        <w:rPr>
          <w:rFonts w:cs="Arial"/>
          <w:lang w:val="en-US"/>
        </w:rPr>
        <w:t xml:space="preserve">corporations involved in monetary transactions. They typically perform tasks like dealing with </w:t>
      </w:r>
      <w:r w:rsidRPr="000F53C8">
        <w:rPr>
          <w:rFonts w:cs="Arial"/>
          <w:lang w:val="en-US"/>
        </w:rPr>
        <w:t xml:space="preserve">deposits, loans, </w:t>
      </w:r>
      <w:r>
        <w:rPr>
          <w:rFonts w:cs="Arial"/>
          <w:lang w:val="en-US"/>
        </w:rPr>
        <w:t>currency exchange and investments as well as services supporting these task</w:t>
      </w:r>
      <w:r w:rsidR="0004224C">
        <w:rPr>
          <w:rFonts w:cs="Arial"/>
          <w:lang w:val="en-US"/>
        </w:rPr>
        <w:t xml:space="preserve"> </w:t>
      </w:r>
      <w:sdt>
        <w:sdtPr>
          <w:rPr>
            <w:rFonts w:cs="Arial"/>
            <w:lang w:val="en-US"/>
          </w:rPr>
          <w:id w:val="-1429725853"/>
          <w:citation/>
        </w:sdtPr>
        <w:sdtEndPr/>
        <w:sdtContent>
          <w:r w:rsidR="005D52AB">
            <w:rPr>
              <w:rFonts w:cs="Arial"/>
              <w:lang w:val="en-US"/>
            </w:rPr>
            <w:fldChar w:fldCharType="begin"/>
          </w:r>
          <w:r w:rsidR="005D52AB" w:rsidRPr="005D52AB">
            <w:rPr>
              <w:rFonts w:cs="Arial"/>
              <w:lang w:val="en-US"/>
            </w:rPr>
            <w:instrText xml:space="preserve"> CITATION Bec09 \l 3079 </w:instrText>
          </w:r>
          <w:r w:rsidR="005D52AB">
            <w:rPr>
              <w:rFonts w:cs="Arial"/>
              <w:lang w:val="en-US"/>
            </w:rPr>
            <w:fldChar w:fldCharType="separate"/>
          </w:r>
          <w:r w:rsidR="00591099" w:rsidRPr="00591099">
            <w:rPr>
              <w:rFonts w:cs="Arial"/>
              <w:noProof/>
              <w:lang w:val="en-US"/>
            </w:rPr>
            <w:t>(Beck &amp; Demirgüc-Kunt, 2009)</w:t>
          </w:r>
          <w:r w:rsidR="005D52AB">
            <w:rPr>
              <w:rFonts w:cs="Arial"/>
              <w:lang w:val="en-US"/>
            </w:rPr>
            <w:fldChar w:fldCharType="end"/>
          </w:r>
        </w:sdtContent>
      </w:sdt>
      <w:r>
        <w:rPr>
          <w:rFonts w:cs="Arial"/>
          <w:lang w:val="en-US"/>
        </w:rPr>
        <w:t>.</w:t>
      </w:r>
    </w:p>
    <w:p w14:paraId="0583767D" w14:textId="1230BB38" w:rsidR="00624DD7" w:rsidRDefault="00624DD7" w:rsidP="00624DD7">
      <w:pPr>
        <w:spacing w:line="360" w:lineRule="auto"/>
        <w:rPr>
          <w:rFonts w:cs="Arial"/>
          <w:lang w:val="en-US"/>
        </w:rPr>
      </w:pPr>
      <w:r>
        <w:rPr>
          <w:rFonts w:cs="Arial"/>
          <w:lang w:val="en-US"/>
        </w:rPr>
        <w:t>Primarily financial institutions can be distinguished based on the objectives the specific corporation pursues. While central banks</w:t>
      </w:r>
      <w:r w:rsidR="00A540E6">
        <w:rPr>
          <w:rFonts w:cs="Arial"/>
          <w:lang w:val="en-US"/>
        </w:rPr>
        <w:t>, respectively national banks,</w:t>
      </w:r>
      <w:r>
        <w:rPr>
          <w:rFonts w:cs="Arial"/>
          <w:lang w:val="en-US"/>
        </w:rPr>
        <w:t xml:space="preserve"> take responsibility for monetary and currency policy, commercial banks are profit-oriented and adopt the tasks mentioned above. The Austrian National Bank and the European Central Bank, which handles the European capital market, are two examples for central banks. However, this type of institution will not be specified any further since in particular corporate banks, which are described explicitly in chapte</w:t>
      </w:r>
      <w:r w:rsidR="005F6822">
        <w:rPr>
          <w:rFonts w:cs="Arial"/>
          <w:lang w:val="en-US"/>
        </w:rPr>
        <w:t xml:space="preserve">r </w:t>
      </w:r>
      <w:r w:rsidR="005F6822" w:rsidRPr="000D61CC">
        <w:rPr>
          <w:rFonts w:cs="Arial"/>
          <w:u w:val="single"/>
          <w:lang w:val="en-US"/>
        </w:rPr>
        <w:fldChar w:fldCharType="begin"/>
      </w:r>
      <w:r w:rsidR="005F6822" w:rsidRPr="000D61CC">
        <w:rPr>
          <w:rFonts w:cs="Arial"/>
          <w:u w:val="single"/>
          <w:lang w:val="en-US"/>
        </w:rPr>
        <w:instrText xml:space="preserve"> REF _Ref40386955 \r \h </w:instrText>
      </w:r>
      <w:r w:rsidR="005F6822" w:rsidRPr="000D61CC">
        <w:rPr>
          <w:rFonts w:cs="Arial"/>
          <w:u w:val="single"/>
          <w:lang w:val="en-US"/>
        </w:rPr>
      </w:r>
      <w:r w:rsidR="005F6822" w:rsidRPr="000D61CC">
        <w:rPr>
          <w:rFonts w:cs="Arial"/>
          <w:u w:val="single"/>
          <w:lang w:val="en-US"/>
        </w:rPr>
        <w:fldChar w:fldCharType="separate"/>
      </w:r>
      <w:r w:rsidR="00B75C93">
        <w:rPr>
          <w:rFonts w:cs="Arial"/>
          <w:u w:val="single"/>
          <w:lang w:val="en-US"/>
        </w:rPr>
        <w:t>5.1</w:t>
      </w:r>
      <w:r w:rsidR="005F6822" w:rsidRPr="000D61CC">
        <w:rPr>
          <w:rFonts w:cs="Arial"/>
          <w:u w:val="single"/>
          <w:lang w:val="en-US"/>
        </w:rPr>
        <w:fldChar w:fldCharType="end"/>
      </w:r>
      <w:r>
        <w:rPr>
          <w:rFonts w:cs="Arial"/>
          <w:lang w:val="en-US"/>
        </w:rPr>
        <w:t>, determine fees and charges in the banking industry.</w:t>
      </w:r>
    </w:p>
    <w:p w14:paraId="1F655308" w14:textId="28777413" w:rsidR="00624DD7" w:rsidRDefault="00624DD7" w:rsidP="00624DD7">
      <w:pPr>
        <w:spacing w:line="360" w:lineRule="auto"/>
        <w:rPr>
          <w:rFonts w:cs="Arial"/>
          <w:lang w:val="en-US"/>
        </w:rPr>
      </w:pPr>
      <w:r>
        <w:rPr>
          <w:rFonts w:cs="Arial"/>
          <w:lang w:val="en-US"/>
        </w:rPr>
        <w:t>Besides conventional banking institutions, the term, financial institution, covers businesses like insurance companies, trust enterprises, investment dealers and brokerage firms</w:t>
      </w:r>
      <w:r w:rsidR="006945BF">
        <w:rPr>
          <w:rFonts w:cs="Arial"/>
          <w:lang w:val="en-US"/>
        </w:rPr>
        <w:t xml:space="preserve"> </w:t>
      </w:r>
      <w:sdt>
        <w:sdtPr>
          <w:rPr>
            <w:rFonts w:cs="Arial"/>
            <w:lang w:val="en-US"/>
          </w:rPr>
          <w:id w:val="-1261825144"/>
          <w:citation/>
        </w:sdtPr>
        <w:sdtEndPr/>
        <w:sdtContent>
          <w:r w:rsidR="006945BF">
            <w:rPr>
              <w:rFonts w:cs="Arial"/>
              <w:lang w:val="en-US"/>
            </w:rPr>
            <w:fldChar w:fldCharType="begin"/>
          </w:r>
          <w:r w:rsidR="006945BF" w:rsidRPr="006945BF">
            <w:rPr>
              <w:rFonts w:cs="Arial"/>
              <w:lang w:val="en-US"/>
            </w:rPr>
            <w:instrText xml:space="preserve"> CITATION Bec09 \l 3079 </w:instrText>
          </w:r>
          <w:r w:rsidR="006945BF">
            <w:rPr>
              <w:rFonts w:cs="Arial"/>
              <w:lang w:val="en-US"/>
            </w:rPr>
            <w:fldChar w:fldCharType="separate"/>
          </w:r>
          <w:r w:rsidR="006945BF" w:rsidRPr="006945BF">
            <w:rPr>
              <w:rFonts w:cs="Arial"/>
              <w:noProof/>
              <w:lang w:val="en-US"/>
            </w:rPr>
            <w:t>(Beck &amp; Demirgüc-Kunt, 2009)</w:t>
          </w:r>
          <w:r w:rsidR="006945BF">
            <w:rPr>
              <w:rFonts w:cs="Arial"/>
              <w:lang w:val="en-US"/>
            </w:rPr>
            <w:fldChar w:fldCharType="end"/>
          </w:r>
        </w:sdtContent>
      </w:sdt>
      <w:r>
        <w:rPr>
          <w:rFonts w:cs="Arial"/>
          <w:lang w:val="en-US"/>
        </w:rPr>
        <w:t>. Therefore, all banks can be defined as financial institutions, while not every financial institution is a bank. However, in th</w:t>
      </w:r>
      <w:r w:rsidR="007D47BE">
        <w:rPr>
          <w:rFonts w:cs="Arial"/>
          <w:lang w:val="en-US"/>
        </w:rPr>
        <w:t>is</w:t>
      </w:r>
      <w:r>
        <w:rPr>
          <w:rFonts w:cs="Arial"/>
          <w:lang w:val="en-US"/>
        </w:rPr>
        <w:t xml:space="preserve"> paper both terms will be used synonymously and indicate banking enterprises. </w:t>
      </w:r>
    </w:p>
    <w:p w14:paraId="0D2F2789" w14:textId="2CE061EB" w:rsidR="00624DD7" w:rsidRPr="003E449E" w:rsidRDefault="00624DD7" w:rsidP="006C58DA">
      <w:pPr>
        <w:pStyle w:val="berschrift2"/>
        <w:rPr>
          <w:lang w:val="en-US"/>
        </w:rPr>
      </w:pPr>
      <w:bookmarkStart w:id="5" w:name="_Toc42077731"/>
      <w:r w:rsidRPr="003E449E">
        <w:rPr>
          <w:lang w:val="en-US"/>
        </w:rPr>
        <w:t>Banking Fees And Charges</w:t>
      </w:r>
      <w:bookmarkEnd w:id="5"/>
    </w:p>
    <w:p w14:paraId="650C6D23" w14:textId="105F676D" w:rsidR="00624DD7" w:rsidRDefault="00624DD7" w:rsidP="00624DD7">
      <w:pPr>
        <w:spacing w:line="360" w:lineRule="auto"/>
        <w:rPr>
          <w:rFonts w:cs="Arial"/>
          <w:lang w:val="en-US"/>
        </w:rPr>
      </w:pPr>
      <w:r>
        <w:rPr>
          <w:rFonts w:cs="Arial"/>
          <w:lang w:val="en-US"/>
        </w:rPr>
        <w:t xml:space="preserve">Fees or charges in the banking sector cover expenses for special services the customer consumes. </w:t>
      </w:r>
      <w:r w:rsidRPr="00D52BDD">
        <w:rPr>
          <w:rFonts w:cs="Arial"/>
          <w:lang w:val="en-US"/>
        </w:rPr>
        <w:t xml:space="preserve">Fees are usually valued at a </w:t>
      </w:r>
      <w:r>
        <w:rPr>
          <w:rFonts w:cs="Arial"/>
          <w:lang w:val="en-US"/>
        </w:rPr>
        <w:t xml:space="preserve">predetermined, </w:t>
      </w:r>
      <w:r w:rsidRPr="00D52BDD">
        <w:rPr>
          <w:rFonts w:cs="Arial"/>
          <w:lang w:val="en-US"/>
        </w:rPr>
        <w:t>fixed amount</w:t>
      </w:r>
      <w:r>
        <w:rPr>
          <w:rFonts w:cs="Arial"/>
          <w:lang w:val="en-US"/>
        </w:rPr>
        <w:t xml:space="preserve"> and do not </w:t>
      </w:r>
      <w:r w:rsidRPr="00F81241">
        <w:rPr>
          <w:rFonts w:cs="Arial"/>
          <w:lang w:val="en-US"/>
        </w:rPr>
        <w:t xml:space="preserve">base </w:t>
      </w:r>
      <w:r>
        <w:rPr>
          <w:rFonts w:cs="Arial"/>
          <w:lang w:val="en-US"/>
        </w:rPr>
        <w:t>up</w:t>
      </w:r>
      <w:r w:rsidRPr="00F81241">
        <w:rPr>
          <w:rFonts w:cs="Arial"/>
          <w:lang w:val="en-US"/>
        </w:rPr>
        <w:t xml:space="preserve">on a </w:t>
      </w:r>
      <w:r>
        <w:rPr>
          <w:rFonts w:cs="Arial"/>
          <w:lang w:val="en-US"/>
        </w:rPr>
        <w:t>certain</w:t>
      </w:r>
      <w:r w:rsidRPr="00F81241">
        <w:rPr>
          <w:rFonts w:cs="Arial"/>
          <w:lang w:val="en-US"/>
        </w:rPr>
        <w:t xml:space="preserve"> percentage</w:t>
      </w:r>
      <w:r>
        <w:rPr>
          <w:rFonts w:cs="Arial"/>
          <w:lang w:val="en-US"/>
        </w:rPr>
        <w:t xml:space="preserve"> rate</w:t>
      </w:r>
      <w:sdt>
        <w:sdtPr>
          <w:rPr>
            <w:rFonts w:cs="Arial"/>
            <w:lang w:val="en-US"/>
          </w:rPr>
          <w:id w:val="-1718728852"/>
          <w:citation/>
        </w:sdtPr>
        <w:sdtEndPr/>
        <w:sdtContent>
          <w:r w:rsidR="006B5E84">
            <w:rPr>
              <w:rFonts w:cs="Arial"/>
              <w:lang w:val="en-US"/>
            </w:rPr>
            <w:fldChar w:fldCharType="begin"/>
          </w:r>
          <w:r w:rsidR="00787AAF">
            <w:rPr>
              <w:rFonts w:cs="Arial"/>
              <w:lang w:val="en-US"/>
            </w:rPr>
            <w:instrText xml:space="preserve">CITATION Ban20 \l 3079 </w:instrText>
          </w:r>
          <w:r w:rsidR="006B5E84">
            <w:rPr>
              <w:rFonts w:cs="Arial"/>
              <w:lang w:val="en-US"/>
            </w:rPr>
            <w:fldChar w:fldCharType="separate"/>
          </w:r>
          <w:r w:rsidR="00787AAF">
            <w:rPr>
              <w:rFonts w:cs="Arial"/>
              <w:noProof/>
              <w:lang w:val="en-US"/>
            </w:rPr>
            <w:t xml:space="preserve"> </w:t>
          </w:r>
          <w:r w:rsidR="00787AAF" w:rsidRPr="00787AAF">
            <w:rPr>
              <w:rFonts w:cs="Arial"/>
              <w:noProof/>
              <w:lang w:val="en-US"/>
            </w:rPr>
            <w:t>(Wikipedia Contributors, 2020)</w:t>
          </w:r>
          <w:r w:rsidR="006B5E84">
            <w:rPr>
              <w:rFonts w:cs="Arial"/>
              <w:lang w:val="en-US"/>
            </w:rPr>
            <w:fldChar w:fldCharType="end"/>
          </w:r>
        </w:sdtContent>
      </w:sdt>
      <w:r>
        <w:rPr>
          <w:rFonts w:cs="Arial"/>
          <w:lang w:val="en-US"/>
        </w:rPr>
        <w:t xml:space="preserve">. </w:t>
      </w:r>
    </w:p>
    <w:p w14:paraId="28C3C4AA" w14:textId="7140D4A2" w:rsidR="00624DD7" w:rsidRDefault="00624DD7" w:rsidP="00624DD7">
      <w:pPr>
        <w:spacing w:line="360" w:lineRule="auto"/>
        <w:rPr>
          <w:rFonts w:cs="Arial"/>
          <w:lang w:val="en-US"/>
        </w:rPr>
      </w:pPr>
      <w:r>
        <w:rPr>
          <w:rFonts w:cs="Arial"/>
          <w:lang w:val="en-US"/>
        </w:rPr>
        <w:t xml:space="preserve">Commonly banking charges are </w:t>
      </w:r>
      <w:r w:rsidR="00EA34C4">
        <w:rPr>
          <w:rFonts w:cs="Arial"/>
          <w:lang w:val="en-US"/>
        </w:rPr>
        <w:t xml:space="preserve">partly </w:t>
      </w:r>
      <w:r>
        <w:rPr>
          <w:rFonts w:cs="Arial"/>
          <w:lang w:val="en-US"/>
        </w:rPr>
        <w:t xml:space="preserve">regulated by governmental authorities. For instance, in Germany banks are not allowed to offset those charges in return for services they have to provide lawfully. Duties, that do not cause financial implications for the institution, would be an </w:t>
      </w:r>
      <w:r w:rsidRPr="00F2338A">
        <w:rPr>
          <w:rFonts w:cs="Arial"/>
          <w:lang w:val="en-US"/>
        </w:rPr>
        <w:t xml:space="preserve">example for these kinds of services. </w:t>
      </w:r>
      <w:r>
        <w:rPr>
          <w:rFonts w:cs="Arial"/>
          <w:lang w:val="en-US"/>
        </w:rPr>
        <w:t>In Germany</w:t>
      </w:r>
      <w:r w:rsidRPr="00341633">
        <w:rPr>
          <w:rFonts w:cs="Arial"/>
          <w:lang w:val="en-US"/>
        </w:rPr>
        <w:t xml:space="preserve"> charging for cash deposits and cash withdrawals at the ATM is prohibited</w:t>
      </w:r>
      <w:r>
        <w:rPr>
          <w:rFonts w:cs="Arial"/>
          <w:lang w:val="en-US"/>
        </w:rPr>
        <w:t>, while it is permitted to impose charges for the same service at the bank counter</w:t>
      </w:r>
      <w:r w:rsidR="00C72AF7">
        <w:rPr>
          <w:rFonts w:cs="Arial"/>
          <w:lang w:val="en-US"/>
        </w:rPr>
        <w:t xml:space="preserve"> </w:t>
      </w:r>
      <w:sdt>
        <w:sdtPr>
          <w:rPr>
            <w:rFonts w:cs="Arial"/>
            <w:lang w:val="en-US"/>
          </w:rPr>
          <w:id w:val="-571433706"/>
          <w:citation/>
        </w:sdtPr>
        <w:sdtEndPr/>
        <w:sdtContent>
          <w:r w:rsidR="00C72AF7">
            <w:rPr>
              <w:rFonts w:cs="Arial"/>
              <w:lang w:val="en-US"/>
            </w:rPr>
            <w:fldChar w:fldCharType="begin"/>
          </w:r>
          <w:r w:rsidR="00787AAF">
            <w:rPr>
              <w:rFonts w:cs="Arial"/>
              <w:lang w:val="en-US"/>
            </w:rPr>
            <w:instrText xml:space="preserve">CITATION Ban201 \l 3079 </w:instrText>
          </w:r>
          <w:r w:rsidR="00C72AF7">
            <w:rPr>
              <w:rFonts w:cs="Arial"/>
              <w:lang w:val="en-US"/>
            </w:rPr>
            <w:fldChar w:fldCharType="separate"/>
          </w:r>
          <w:r w:rsidR="00787AAF" w:rsidRPr="00787AAF">
            <w:rPr>
              <w:rFonts w:cs="Arial"/>
              <w:noProof/>
              <w:lang w:val="en-US"/>
            </w:rPr>
            <w:t>(Wikipedia contributors, 2020)</w:t>
          </w:r>
          <w:r w:rsidR="00C72AF7">
            <w:rPr>
              <w:rFonts w:cs="Arial"/>
              <w:lang w:val="en-US"/>
            </w:rPr>
            <w:fldChar w:fldCharType="end"/>
          </w:r>
        </w:sdtContent>
      </w:sdt>
      <w:r w:rsidRPr="00341633">
        <w:rPr>
          <w:rFonts w:cs="Arial"/>
          <w:lang w:val="en-US"/>
        </w:rPr>
        <w:t>.</w:t>
      </w:r>
    </w:p>
    <w:p w14:paraId="795C6547" w14:textId="25D66DFC" w:rsidR="00624DD7" w:rsidRPr="00254E10" w:rsidRDefault="00624DD7" w:rsidP="00624DD7">
      <w:pPr>
        <w:spacing w:line="360" w:lineRule="auto"/>
        <w:rPr>
          <w:rFonts w:cs="Arial"/>
          <w:lang w:val="en-US"/>
        </w:rPr>
      </w:pPr>
      <w:r>
        <w:rPr>
          <w:rFonts w:cs="Arial"/>
          <w:lang w:val="en-US"/>
        </w:rPr>
        <w:t xml:space="preserve">Chapter </w:t>
      </w:r>
      <w:r w:rsidR="0017579A" w:rsidRPr="0017579A">
        <w:rPr>
          <w:rFonts w:cs="Arial"/>
          <w:u w:val="single"/>
          <w:lang w:val="en-US"/>
        </w:rPr>
        <w:fldChar w:fldCharType="begin"/>
      </w:r>
      <w:r w:rsidR="0017579A" w:rsidRPr="0017579A">
        <w:rPr>
          <w:rFonts w:cs="Arial"/>
          <w:u w:val="single"/>
          <w:lang w:val="en-US"/>
        </w:rPr>
        <w:instrText xml:space="preserve"> REF _Ref40387851 \r \h </w:instrText>
      </w:r>
      <w:r w:rsidR="0017579A" w:rsidRPr="0017579A">
        <w:rPr>
          <w:rFonts w:cs="Arial"/>
          <w:u w:val="single"/>
          <w:lang w:val="en-US"/>
        </w:rPr>
      </w:r>
      <w:r w:rsidR="0017579A" w:rsidRPr="0017579A">
        <w:rPr>
          <w:rFonts w:cs="Arial"/>
          <w:u w:val="single"/>
          <w:lang w:val="en-US"/>
        </w:rPr>
        <w:fldChar w:fldCharType="separate"/>
      </w:r>
      <w:r w:rsidR="00B75C93">
        <w:rPr>
          <w:rFonts w:cs="Arial"/>
          <w:u w:val="single"/>
          <w:lang w:val="en-US"/>
        </w:rPr>
        <w:t>7</w:t>
      </w:r>
      <w:r w:rsidR="0017579A" w:rsidRPr="0017579A">
        <w:rPr>
          <w:rFonts w:cs="Arial"/>
          <w:u w:val="single"/>
          <w:lang w:val="en-US"/>
        </w:rPr>
        <w:fldChar w:fldCharType="end"/>
      </w:r>
      <w:r>
        <w:rPr>
          <w:rFonts w:cs="Arial"/>
          <w:lang w:val="en-US"/>
        </w:rPr>
        <w:t xml:space="preserve"> deals with banking fees in specific and explains some regulations and directives introduced by the European Union. Furthermore different banking fee models will be defined.</w:t>
      </w:r>
    </w:p>
    <w:p w14:paraId="68A6457C" w14:textId="5DC879C5" w:rsidR="00624DD7" w:rsidRPr="003E449E" w:rsidRDefault="00624DD7" w:rsidP="006C58DA">
      <w:pPr>
        <w:pStyle w:val="berschrift2"/>
        <w:rPr>
          <w:lang w:val="en-US"/>
        </w:rPr>
      </w:pPr>
      <w:bookmarkStart w:id="6" w:name="_Toc42077732"/>
      <w:r w:rsidRPr="003E449E">
        <w:rPr>
          <w:lang w:val="en-US"/>
        </w:rPr>
        <w:t>Taxes</w:t>
      </w:r>
      <w:bookmarkEnd w:id="6"/>
    </w:p>
    <w:p w14:paraId="4DC48714" w14:textId="3936AD9A" w:rsidR="00624DD7" w:rsidRPr="003A7915" w:rsidRDefault="00624DD7" w:rsidP="00624DD7">
      <w:pPr>
        <w:spacing w:line="360" w:lineRule="auto"/>
        <w:rPr>
          <w:rFonts w:cs="Arial"/>
          <w:lang w:val="en-US"/>
        </w:rPr>
      </w:pPr>
      <w:r>
        <w:rPr>
          <w:rFonts w:cs="Arial"/>
          <w:lang w:val="en-US"/>
        </w:rPr>
        <w:t>Unlike banking charges, t</w:t>
      </w:r>
      <w:r w:rsidRPr="003A7915">
        <w:rPr>
          <w:rFonts w:cs="Arial"/>
          <w:lang w:val="en-US"/>
        </w:rPr>
        <w:t>axes are involuntary fees levied on individuals or corporations and enforced by a government entity</w:t>
      </w:r>
      <w:r>
        <w:rPr>
          <w:rFonts w:cs="Arial"/>
          <w:lang w:val="en-US"/>
        </w:rPr>
        <w:t xml:space="preserve"> </w:t>
      </w:r>
      <w:r w:rsidRPr="003A7915">
        <w:rPr>
          <w:rFonts w:cs="Arial"/>
          <w:lang w:val="en-US"/>
        </w:rPr>
        <w:t>in order to finance government activities</w:t>
      </w:r>
      <w:r>
        <w:rPr>
          <w:rFonts w:cs="Arial"/>
          <w:lang w:val="en-US"/>
        </w:rPr>
        <w:t xml:space="preserve"> but without </w:t>
      </w:r>
      <w:r>
        <w:rPr>
          <w:rFonts w:cs="Arial"/>
          <w:lang w:val="en-US"/>
        </w:rPr>
        <w:lastRenderedPageBreak/>
        <w:t>immediate return benefits</w:t>
      </w:r>
      <w:r w:rsidR="00C72AF7">
        <w:rPr>
          <w:rFonts w:cs="Arial"/>
          <w:lang w:val="en-US"/>
        </w:rPr>
        <w:t xml:space="preserve"> </w:t>
      </w:r>
      <w:sdt>
        <w:sdtPr>
          <w:rPr>
            <w:rFonts w:cs="Arial"/>
            <w:lang w:val="en-US"/>
          </w:rPr>
          <w:id w:val="-1802295010"/>
          <w:citation/>
        </w:sdtPr>
        <w:sdtEndPr/>
        <w:sdtContent>
          <w:r w:rsidR="00AA100B">
            <w:rPr>
              <w:rFonts w:cs="Arial"/>
              <w:lang w:val="en-US"/>
            </w:rPr>
            <w:fldChar w:fldCharType="begin"/>
          </w:r>
          <w:r w:rsidR="00065965">
            <w:rPr>
              <w:rFonts w:cs="Arial"/>
              <w:lang w:val="en-US"/>
            </w:rPr>
            <w:instrText xml:space="preserve">CITATION Tax20 \l 3079 </w:instrText>
          </w:r>
          <w:r w:rsidR="00AA100B">
            <w:rPr>
              <w:rFonts w:cs="Arial"/>
              <w:lang w:val="en-US"/>
            </w:rPr>
            <w:fldChar w:fldCharType="separate"/>
          </w:r>
          <w:r w:rsidR="00065965" w:rsidRPr="00065965">
            <w:rPr>
              <w:rFonts w:cs="Arial"/>
              <w:noProof/>
              <w:lang w:val="en-US"/>
            </w:rPr>
            <w:t>(Wikipedia Contributors, 2020)</w:t>
          </w:r>
          <w:r w:rsidR="00AA100B">
            <w:rPr>
              <w:rFonts w:cs="Arial"/>
              <w:lang w:val="en-US"/>
            </w:rPr>
            <w:fldChar w:fldCharType="end"/>
          </w:r>
        </w:sdtContent>
      </w:sdt>
      <w:r w:rsidRPr="00CD32D4">
        <w:rPr>
          <w:rFonts w:cs="Arial"/>
          <w:lang w:val="en-US"/>
        </w:rPr>
        <w:t xml:space="preserve">. </w:t>
      </w:r>
      <w:r>
        <w:rPr>
          <w:rFonts w:cs="Arial"/>
          <w:lang w:val="en-US"/>
        </w:rPr>
        <w:t xml:space="preserve">The type of tax that appears most often when it comes to banking is </w:t>
      </w:r>
      <w:r w:rsidR="004A0E26">
        <w:rPr>
          <w:rFonts w:cs="Arial"/>
          <w:lang w:val="en-US"/>
        </w:rPr>
        <w:t>arguably</w:t>
      </w:r>
      <w:r>
        <w:rPr>
          <w:rFonts w:cs="Arial"/>
          <w:lang w:val="en-US"/>
        </w:rPr>
        <w:t xml:space="preserve"> the gains tax. In Austria </w:t>
      </w:r>
      <w:r w:rsidR="00153611">
        <w:rPr>
          <w:rFonts w:cs="Arial"/>
          <w:lang w:val="en-US"/>
        </w:rPr>
        <w:t>the gains tax</w:t>
      </w:r>
      <w:r>
        <w:rPr>
          <w:rFonts w:cs="Arial"/>
          <w:lang w:val="en-US"/>
        </w:rPr>
        <w:t xml:space="preserve"> currently, in 2020, adds up to 25% of interest on </w:t>
      </w:r>
      <w:r w:rsidR="00D77B00">
        <w:rPr>
          <w:rFonts w:cs="Arial"/>
          <w:lang w:val="en-US"/>
        </w:rPr>
        <w:t>yield on capital</w:t>
      </w:r>
      <w:r w:rsidRPr="00DF4A18">
        <w:rPr>
          <w:rFonts w:cs="Arial"/>
          <w:lang w:val="en-US"/>
        </w:rPr>
        <w:t>. Although, taxes w</w:t>
      </w:r>
      <w:r>
        <w:rPr>
          <w:rFonts w:cs="Arial"/>
          <w:lang w:val="en-US"/>
        </w:rPr>
        <w:t>ill not</w:t>
      </w:r>
      <w:r w:rsidRPr="00DF4A18">
        <w:rPr>
          <w:rFonts w:cs="Arial"/>
          <w:lang w:val="en-US"/>
        </w:rPr>
        <w:t xml:space="preserve"> be described any further in this paper, it is inevitable to understand the </w:t>
      </w:r>
      <w:r>
        <w:rPr>
          <w:rFonts w:cs="Arial"/>
          <w:lang w:val="en-US"/>
        </w:rPr>
        <w:t>differences between taxes and banking fees</w:t>
      </w:r>
      <w:r w:rsidRPr="00DF4A18">
        <w:rPr>
          <w:rFonts w:cs="Arial"/>
          <w:lang w:val="en-US"/>
        </w:rPr>
        <w:t xml:space="preserve">. While </w:t>
      </w:r>
      <w:r>
        <w:rPr>
          <w:rFonts w:cs="Arial"/>
          <w:lang w:val="en-US"/>
        </w:rPr>
        <w:t xml:space="preserve">financial institutions are able to determine the amount of baking fees they charge, taxes are set by a governmental authority and anchored in law. </w:t>
      </w:r>
    </w:p>
    <w:p w14:paraId="077EECBA" w14:textId="6EF47020" w:rsidR="00624DD7" w:rsidRPr="003E449E" w:rsidRDefault="00624DD7" w:rsidP="006C58DA">
      <w:pPr>
        <w:pStyle w:val="berschrift2"/>
        <w:rPr>
          <w:lang w:val="en-US"/>
        </w:rPr>
      </w:pPr>
      <w:bookmarkStart w:id="7" w:name="_Toc42077733"/>
      <w:r w:rsidRPr="003E449E">
        <w:rPr>
          <w:lang w:val="en-US"/>
        </w:rPr>
        <w:t>Interest</w:t>
      </w:r>
      <w:bookmarkEnd w:id="7"/>
    </w:p>
    <w:p w14:paraId="2B4C429C" w14:textId="0D03C67A" w:rsidR="00624DD7" w:rsidRDefault="00624DD7" w:rsidP="00624DD7">
      <w:pPr>
        <w:spacing w:line="360" w:lineRule="auto"/>
        <w:rPr>
          <w:rFonts w:cs="Arial"/>
          <w:lang w:val="en-US"/>
        </w:rPr>
      </w:pPr>
      <w:r>
        <w:rPr>
          <w:rFonts w:cs="Arial"/>
          <w:lang w:val="en-US"/>
        </w:rPr>
        <w:t xml:space="preserve">Interest can be defined as the costs of borrowing money and is usually specified as a rate. Considering banking, financial institutions occur as creditors and therefore receive interest payments but also have to disburse interest of deposit payments to the customers. The interest rate can be set as variable or fixed at the time a loan is taken out. </w:t>
      </w:r>
      <w:r w:rsidRPr="000258EC">
        <w:rPr>
          <w:rFonts w:cs="Arial"/>
          <w:lang w:val="en-US"/>
        </w:rPr>
        <w:t>The variable interest rate is based on a key interest rate</w:t>
      </w:r>
      <w:r>
        <w:rPr>
          <w:rFonts w:cs="Arial"/>
          <w:lang w:val="en-US"/>
        </w:rPr>
        <w:t>, which is defined by the responsible central bank. For companies based in the Euro-Zone, the EURIBOR-interest-rate (</w:t>
      </w:r>
      <w:r w:rsidR="00930B53">
        <w:rPr>
          <w:rFonts w:cs="Arial"/>
          <w:lang w:val="en-US"/>
        </w:rPr>
        <w:t xml:space="preserve">acronym for </w:t>
      </w:r>
      <w:r w:rsidRPr="00D13CBE">
        <w:rPr>
          <w:rFonts w:cs="Arial"/>
          <w:lang w:val="en-US"/>
        </w:rPr>
        <w:t xml:space="preserve">Euro </w:t>
      </w:r>
      <w:proofErr w:type="spellStart"/>
      <w:r w:rsidRPr="00D13CBE">
        <w:rPr>
          <w:rFonts w:cs="Arial"/>
          <w:lang w:val="en-US"/>
        </w:rPr>
        <w:t>InterBank</w:t>
      </w:r>
      <w:proofErr w:type="spellEnd"/>
      <w:r w:rsidRPr="00D13CBE">
        <w:rPr>
          <w:rFonts w:cs="Arial"/>
          <w:lang w:val="en-US"/>
        </w:rPr>
        <w:t xml:space="preserve"> Offered Rate</w:t>
      </w:r>
      <w:r>
        <w:rPr>
          <w:rFonts w:cs="Arial"/>
          <w:lang w:val="en-US"/>
        </w:rPr>
        <w:t>) represents the reference rate, which fell under 0% in 2016 for the first time since its introduction in 1999</w:t>
      </w:r>
      <w:r w:rsidR="00156155">
        <w:rPr>
          <w:rFonts w:cs="Arial"/>
          <w:lang w:val="en-US"/>
        </w:rPr>
        <w:t xml:space="preserve"> </w:t>
      </w:r>
      <w:sdt>
        <w:sdtPr>
          <w:rPr>
            <w:rFonts w:cs="Arial"/>
            <w:lang w:val="en-US"/>
          </w:rPr>
          <w:id w:val="-1669775437"/>
          <w:citation/>
        </w:sdtPr>
        <w:sdtEndPr/>
        <w:sdtContent>
          <w:r w:rsidR="00156155">
            <w:rPr>
              <w:rFonts w:cs="Arial"/>
              <w:lang w:val="en-US"/>
            </w:rPr>
            <w:fldChar w:fldCharType="begin"/>
          </w:r>
          <w:r w:rsidR="00712AF5">
            <w:rPr>
              <w:rFonts w:cs="Arial"/>
              <w:lang w:val="en-US"/>
            </w:rPr>
            <w:instrText xml:space="preserve">CITATION Eur20 \l 3079 </w:instrText>
          </w:r>
          <w:r w:rsidR="00156155">
            <w:rPr>
              <w:rFonts w:cs="Arial"/>
              <w:lang w:val="en-US"/>
            </w:rPr>
            <w:fldChar w:fldCharType="separate"/>
          </w:r>
          <w:r w:rsidR="00712AF5" w:rsidRPr="00712AF5">
            <w:rPr>
              <w:rFonts w:cs="Arial"/>
              <w:noProof/>
              <w:lang w:val="en-US"/>
            </w:rPr>
            <w:t>(Wikipedia Contributors, 2020)</w:t>
          </w:r>
          <w:r w:rsidR="00156155">
            <w:rPr>
              <w:rFonts w:cs="Arial"/>
              <w:lang w:val="en-US"/>
            </w:rPr>
            <w:fldChar w:fldCharType="end"/>
          </w:r>
        </w:sdtContent>
      </w:sdt>
      <w:r>
        <w:rPr>
          <w:rFonts w:cs="Arial"/>
          <w:lang w:val="en-US"/>
        </w:rPr>
        <w:t xml:space="preserve">. </w:t>
      </w:r>
    </w:p>
    <w:p w14:paraId="27A42680" w14:textId="77777777" w:rsidR="00624DD7" w:rsidRDefault="00624DD7" w:rsidP="00624DD7">
      <w:pPr>
        <w:spacing w:line="360" w:lineRule="auto"/>
        <w:rPr>
          <w:rFonts w:cs="Arial"/>
          <w:lang w:val="en-US"/>
        </w:rPr>
      </w:pPr>
      <w:r>
        <w:rPr>
          <w:rFonts w:cs="Arial"/>
          <w:lang w:val="en-US"/>
        </w:rPr>
        <w:t>Since interest rates may affect banking fees, it is inevitable to be aware of the term. However, this paper will not deal with the affecting factors of interest rates over the past decades in detail. Therefore, deeper knowledge is not necessarily required.</w:t>
      </w:r>
    </w:p>
    <w:p w14:paraId="5F65CF72" w14:textId="77777777" w:rsidR="00624DD7" w:rsidRPr="00F965CD" w:rsidRDefault="00624DD7" w:rsidP="006C58DA">
      <w:pPr>
        <w:pStyle w:val="berschrift2"/>
        <w:rPr>
          <w:lang w:val="en-US"/>
        </w:rPr>
      </w:pPr>
      <w:bookmarkStart w:id="8" w:name="_Toc42077734"/>
      <w:r>
        <w:rPr>
          <w:lang w:val="en-US"/>
        </w:rPr>
        <w:t>Digitalization</w:t>
      </w:r>
      <w:bookmarkEnd w:id="8"/>
    </w:p>
    <w:p w14:paraId="5FD4252C" w14:textId="3B240B47" w:rsidR="00624DD7" w:rsidRDefault="00624DD7" w:rsidP="00624DD7">
      <w:pPr>
        <w:spacing w:line="360" w:lineRule="auto"/>
        <w:rPr>
          <w:rFonts w:cs="Arial"/>
          <w:lang w:val="en-US"/>
        </w:rPr>
      </w:pPr>
      <w:r w:rsidRPr="00200ED8">
        <w:rPr>
          <w:rFonts w:cs="Arial"/>
          <w:lang w:val="en-US"/>
        </w:rPr>
        <w:t>Digitization</w:t>
      </w:r>
      <w:r>
        <w:rPr>
          <w:rFonts w:cs="Arial"/>
          <w:lang w:val="en-US"/>
        </w:rPr>
        <w:t>, not to be confused with Digitalization,</w:t>
      </w:r>
      <w:r w:rsidRPr="00200ED8">
        <w:rPr>
          <w:rFonts w:cs="Arial"/>
          <w:lang w:val="en-US"/>
        </w:rPr>
        <w:t xml:space="preserve"> essentially refers to taking analog information and encoding it into zeroes and ones so that computers can store, </w:t>
      </w:r>
      <w:r>
        <w:rPr>
          <w:rFonts w:cs="Arial"/>
          <w:lang w:val="en-US"/>
        </w:rPr>
        <w:t>assimilate</w:t>
      </w:r>
      <w:r w:rsidRPr="00200ED8">
        <w:rPr>
          <w:rFonts w:cs="Arial"/>
          <w:lang w:val="en-US"/>
        </w:rPr>
        <w:t>, and transmit information</w:t>
      </w:r>
      <w:sdt>
        <w:sdtPr>
          <w:rPr>
            <w:rFonts w:cs="Arial"/>
            <w:lang w:val="en-US"/>
          </w:rPr>
          <w:id w:val="-377392369"/>
          <w:citation/>
        </w:sdtPr>
        <w:sdtEndPr/>
        <w:sdtContent>
          <w:r w:rsidR="00E50D88">
            <w:rPr>
              <w:rFonts w:cs="Arial"/>
              <w:lang w:val="en-US"/>
            </w:rPr>
            <w:fldChar w:fldCharType="begin"/>
          </w:r>
          <w:r w:rsidR="00E50D88" w:rsidRPr="00E50D88">
            <w:rPr>
              <w:rFonts w:cs="Arial"/>
              <w:lang w:val="en-US"/>
            </w:rPr>
            <w:instrText xml:space="preserve"> CITATION Blo18 \l 3079 </w:instrText>
          </w:r>
          <w:r w:rsidR="00E50D88">
            <w:rPr>
              <w:rFonts w:cs="Arial"/>
              <w:lang w:val="en-US"/>
            </w:rPr>
            <w:fldChar w:fldCharType="separate"/>
          </w:r>
          <w:r w:rsidR="00E50D88" w:rsidRPr="00E50D88">
            <w:rPr>
              <w:rFonts w:cs="Arial"/>
              <w:noProof/>
              <w:lang w:val="en-US"/>
            </w:rPr>
            <w:t xml:space="preserve"> (Bloomberg, 2018)</w:t>
          </w:r>
          <w:r w:rsidR="00E50D88">
            <w:rPr>
              <w:rFonts w:cs="Arial"/>
              <w:lang w:val="en-US"/>
            </w:rPr>
            <w:fldChar w:fldCharType="end"/>
          </w:r>
        </w:sdtContent>
      </w:sdt>
      <w:r w:rsidRPr="00200ED8">
        <w:rPr>
          <w:rFonts w:cs="Arial"/>
          <w:lang w:val="en-US"/>
        </w:rPr>
        <w:t>.</w:t>
      </w:r>
      <w:r>
        <w:rPr>
          <w:rFonts w:cs="Arial"/>
          <w:lang w:val="en-US"/>
        </w:rPr>
        <w:t xml:space="preserve"> This process basically influences everyone’s daily routine nowadays and can be found in almost every part of our lives. While the terminology in this case seems pretty clear, the term digitalization cannot be labelled that easily.</w:t>
      </w:r>
    </w:p>
    <w:p w14:paraId="68A3043D" w14:textId="57071BEB" w:rsidR="00624DD7" w:rsidRDefault="00624DD7" w:rsidP="00624DD7">
      <w:pPr>
        <w:spacing w:line="360" w:lineRule="auto"/>
        <w:ind w:left="567" w:right="567"/>
        <w:rPr>
          <w:rFonts w:cs="Arial"/>
          <w:lang w:val="en-US"/>
        </w:rPr>
      </w:pPr>
      <w:r w:rsidRPr="00246473">
        <w:rPr>
          <w:rFonts w:cs="Arial"/>
          <w:lang w:val="en-US"/>
        </w:rPr>
        <w:t xml:space="preserve">J. Scott Brennen, Doctoral Candidate in Communication, and Daniel </w:t>
      </w:r>
      <w:proofErr w:type="spellStart"/>
      <w:r w:rsidRPr="00246473">
        <w:rPr>
          <w:rFonts w:cs="Arial"/>
          <w:lang w:val="en-US"/>
        </w:rPr>
        <w:t>Kreiss</w:t>
      </w:r>
      <w:proofErr w:type="spellEnd"/>
      <w:r w:rsidRPr="00246473">
        <w:rPr>
          <w:rFonts w:cs="Arial"/>
          <w:lang w:val="en-US"/>
        </w:rPr>
        <w:t>, Associate Professor, both at the University of North Carolina School of Media and Journalism</w:t>
      </w:r>
      <w:r>
        <w:rPr>
          <w:rFonts w:cs="Arial"/>
          <w:lang w:val="en-US"/>
        </w:rPr>
        <w:t>, explain:</w:t>
      </w:r>
      <w:r w:rsidRPr="00246473">
        <w:rPr>
          <w:rFonts w:cs="Arial"/>
          <w:lang w:val="en-US"/>
        </w:rPr>
        <w:t xml:space="preserve"> “We refer to digitalization as the way in which many domains of social life are restructured around digital communication and media infrastructures.”</w:t>
      </w:r>
      <w:r>
        <w:rPr>
          <w:rFonts w:cs="Arial"/>
          <w:lang w:val="en-US"/>
        </w:rPr>
        <w:t xml:space="preserve"> </w:t>
      </w:r>
      <w:sdt>
        <w:sdtPr>
          <w:rPr>
            <w:rFonts w:cs="Arial"/>
            <w:lang w:val="en-US"/>
          </w:rPr>
          <w:id w:val="-1061939240"/>
          <w:citation/>
        </w:sdtPr>
        <w:sdtEndPr/>
        <w:sdtContent>
          <w:r w:rsidR="00E50D88">
            <w:rPr>
              <w:rFonts w:cs="Arial"/>
              <w:lang w:val="en-US"/>
            </w:rPr>
            <w:fldChar w:fldCharType="begin"/>
          </w:r>
          <w:r w:rsidR="00E50D88" w:rsidRPr="00D75AB6">
            <w:rPr>
              <w:rFonts w:cs="Arial"/>
              <w:lang w:val="en-US"/>
            </w:rPr>
            <w:instrText xml:space="preserve"> CITATION Blo18 \l 3079 </w:instrText>
          </w:r>
          <w:r w:rsidR="00E50D88">
            <w:rPr>
              <w:rFonts w:cs="Arial"/>
              <w:lang w:val="en-US"/>
            </w:rPr>
            <w:fldChar w:fldCharType="separate"/>
          </w:r>
          <w:r w:rsidR="00E50D88" w:rsidRPr="00E50D88">
            <w:rPr>
              <w:rFonts w:cs="Arial"/>
              <w:noProof/>
              <w:lang w:val="en-US"/>
            </w:rPr>
            <w:t>(Bloomberg, 2018)</w:t>
          </w:r>
          <w:r w:rsidR="00E50D88">
            <w:rPr>
              <w:rFonts w:cs="Arial"/>
              <w:lang w:val="en-US"/>
            </w:rPr>
            <w:fldChar w:fldCharType="end"/>
          </w:r>
        </w:sdtContent>
      </w:sdt>
    </w:p>
    <w:p w14:paraId="50E690A5" w14:textId="1A2BA071" w:rsidR="00624DD7" w:rsidRDefault="00B84FD4" w:rsidP="00624DD7">
      <w:pPr>
        <w:spacing w:line="360" w:lineRule="auto"/>
        <w:ind w:right="567"/>
        <w:rPr>
          <w:rFonts w:cs="Arial"/>
          <w:lang w:val="en-US"/>
        </w:rPr>
      </w:pPr>
      <w:r>
        <w:rPr>
          <w:rFonts w:cs="Arial"/>
          <w:lang w:val="en-US"/>
        </w:rPr>
        <w:t>These development</w:t>
      </w:r>
      <w:r w:rsidR="001358AE">
        <w:rPr>
          <w:rFonts w:cs="Arial"/>
          <w:lang w:val="en-US"/>
        </w:rPr>
        <w:t>s</w:t>
      </w:r>
      <w:r>
        <w:rPr>
          <w:rFonts w:cs="Arial"/>
          <w:lang w:val="en-US"/>
        </w:rPr>
        <w:t xml:space="preserve"> affect various areas and </w:t>
      </w:r>
      <w:r w:rsidR="000A0880">
        <w:rPr>
          <w:rFonts w:cs="Arial"/>
          <w:lang w:val="en-US"/>
        </w:rPr>
        <w:t>causes</w:t>
      </w:r>
      <w:r w:rsidR="00624DD7">
        <w:rPr>
          <w:rFonts w:cs="Arial"/>
          <w:lang w:val="en-US"/>
        </w:rPr>
        <w:t xml:space="preserve"> changes in human interaction, such as the transition from telephone calls to emails or social media. On the other hand, according to </w:t>
      </w:r>
      <w:r w:rsidR="009F4291">
        <w:rPr>
          <w:rFonts w:cs="Arial"/>
          <w:lang w:val="en-US"/>
        </w:rPr>
        <w:t>Gartner’s</w:t>
      </w:r>
      <w:r w:rsidR="00624DD7">
        <w:rPr>
          <w:rFonts w:cs="Arial"/>
          <w:lang w:val="en-US"/>
        </w:rPr>
        <w:t xml:space="preserve"> IT glossary, d</w:t>
      </w:r>
      <w:r w:rsidR="00624DD7" w:rsidRPr="00963DBA">
        <w:rPr>
          <w:rFonts w:cs="Arial"/>
          <w:lang w:val="en-US"/>
        </w:rPr>
        <w:t>igitalization</w:t>
      </w:r>
      <w:r w:rsidR="00624DD7">
        <w:rPr>
          <w:rFonts w:cs="Arial"/>
          <w:lang w:val="en-US"/>
        </w:rPr>
        <w:t xml:space="preserve"> can be defined as</w:t>
      </w:r>
      <w:r w:rsidR="00624DD7" w:rsidRPr="00963DBA">
        <w:rPr>
          <w:rFonts w:cs="Arial"/>
          <w:lang w:val="en-US"/>
        </w:rPr>
        <w:t xml:space="preserve"> the use of digital technologies to change business model</w:t>
      </w:r>
      <w:r w:rsidR="00624DD7">
        <w:rPr>
          <w:rFonts w:cs="Arial"/>
          <w:lang w:val="en-US"/>
        </w:rPr>
        <w:t>s</w:t>
      </w:r>
      <w:r w:rsidR="00624DD7" w:rsidRPr="00963DBA">
        <w:rPr>
          <w:rFonts w:cs="Arial"/>
          <w:lang w:val="en-US"/>
        </w:rPr>
        <w:t xml:space="preserve"> and provide new revenue</w:t>
      </w:r>
      <w:r w:rsidR="00624DD7">
        <w:rPr>
          <w:rFonts w:cs="Arial"/>
          <w:lang w:val="en-US"/>
        </w:rPr>
        <w:t xml:space="preserve"> streams</w:t>
      </w:r>
      <w:r w:rsidR="00624DD7" w:rsidRPr="00963DBA">
        <w:rPr>
          <w:rFonts w:cs="Arial"/>
          <w:lang w:val="en-US"/>
        </w:rPr>
        <w:t xml:space="preserve"> and value</w:t>
      </w:r>
      <w:r w:rsidR="00624DD7">
        <w:rPr>
          <w:rFonts w:cs="Arial"/>
          <w:lang w:val="en-US"/>
        </w:rPr>
        <w:t>-</w:t>
      </w:r>
      <w:r w:rsidR="00624DD7" w:rsidRPr="00963DBA">
        <w:rPr>
          <w:rFonts w:cs="Arial"/>
          <w:lang w:val="en-US"/>
        </w:rPr>
        <w:t>producing opportunities</w:t>
      </w:r>
      <w:r w:rsidR="00624DD7">
        <w:rPr>
          <w:rFonts w:cs="Arial"/>
          <w:lang w:val="en-US"/>
        </w:rPr>
        <w:t xml:space="preserve">. </w:t>
      </w:r>
      <w:r w:rsidR="00624DD7" w:rsidRPr="00510AFB">
        <w:rPr>
          <w:rFonts w:cs="Arial"/>
          <w:lang w:val="en-US"/>
        </w:rPr>
        <w:t xml:space="preserve">It is the </w:t>
      </w:r>
      <w:r w:rsidR="00947A07">
        <w:rPr>
          <w:rFonts w:cs="Arial"/>
          <w:lang w:val="en-US"/>
        </w:rPr>
        <w:t>transition towards</w:t>
      </w:r>
      <w:r w:rsidR="00624DD7" w:rsidRPr="00510AFB">
        <w:rPr>
          <w:rFonts w:cs="Arial"/>
          <w:lang w:val="en-US"/>
        </w:rPr>
        <w:t xml:space="preserve"> a digital business</w:t>
      </w:r>
      <w:r w:rsidR="008A2787">
        <w:rPr>
          <w:rFonts w:cs="Arial"/>
          <w:lang w:val="en-US"/>
        </w:rPr>
        <w:t xml:space="preserve"> </w:t>
      </w:r>
      <w:sdt>
        <w:sdtPr>
          <w:rPr>
            <w:rFonts w:cs="Arial"/>
            <w:lang w:val="en-US"/>
          </w:rPr>
          <w:id w:val="1153644090"/>
          <w:citation/>
        </w:sdtPr>
        <w:sdtEndPr/>
        <w:sdtContent>
          <w:r w:rsidR="008A2787">
            <w:rPr>
              <w:rFonts w:cs="Arial"/>
              <w:lang w:val="en-US"/>
            </w:rPr>
            <w:fldChar w:fldCharType="begin"/>
          </w:r>
          <w:r w:rsidR="00AD37EC">
            <w:rPr>
              <w:rFonts w:cs="Arial"/>
              <w:lang w:val="en-US"/>
            </w:rPr>
            <w:instrText xml:space="preserve">CITATION Gar20 \l 3079 </w:instrText>
          </w:r>
          <w:r w:rsidR="008A2787">
            <w:rPr>
              <w:rFonts w:cs="Arial"/>
              <w:lang w:val="en-US"/>
            </w:rPr>
            <w:fldChar w:fldCharType="separate"/>
          </w:r>
          <w:r w:rsidR="00AD37EC" w:rsidRPr="00AD37EC">
            <w:rPr>
              <w:rFonts w:cs="Arial"/>
              <w:noProof/>
              <w:lang w:val="en-US"/>
            </w:rPr>
            <w:t>(Gartner, 2020)</w:t>
          </w:r>
          <w:r w:rsidR="008A2787">
            <w:rPr>
              <w:rFonts w:cs="Arial"/>
              <w:lang w:val="en-US"/>
            </w:rPr>
            <w:fldChar w:fldCharType="end"/>
          </w:r>
        </w:sdtContent>
      </w:sdt>
      <w:r w:rsidR="00624DD7" w:rsidRPr="00510AFB">
        <w:rPr>
          <w:rFonts w:cs="Arial"/>
          <w:lang w:val="en-US"/>
        </w:rPr>
        <w:t>.</w:t>
      </w:r>
    </w:p>
    <w:p w14:paraId="396D3C28" w14:textId="327E7B9B" w:rsidR="00624DD7" w:rsidRPr="002D5264" w:rsidRDefault="00624DD7" w:rsidP="006C58DA">
      <w:pPr>
        <w:spacing w:line="360" w:lineRule="auto"/>
        <w:ind w:right="567"/>
        <w:rPr>
          <w:rFonts w:cs="Arial"/>
          <w:lang w:val="en-US"/>
        </w:rPr>
      </w:pPr>
      <w:r>
        <w:rPr>
          <w:rFonts w:cs="Arial"/>
          <w:lang w:val="en-US"/>
        </w:rPr>
        <w:t>Considering banking, the second declaration seems more suitable.</w:t>
      </w:r>
    </w:p>
    <w:p w14:paraId="001E0FB8" w14:textId="77777777" w:rsidR="00481202" w:rsidRDefault="00481202" w:rsidP="00F94A6C">
      <w:pPr>
        <w:pStyle w:val="berschrift1"/>
        <w:rPr>
          <w:lang w:val="en-US"/>
        </w:rPr>
      </w:pPr>
      <w:bookmarkStart w:id="9" w:name="_Toc42077735"/>
      <w:r w:rsidRPr="00137D4C">
        <w:rPr>
          <w:lang w:val="en-US"/>
        </w:rPr>
        <w:lastRenderedPageBreak/>
        <w:t>Historical Developments In Banking</w:t>
      </w:r>
      <w:bookmarkEnd w:id="9"/>
    </w:p>
    <w:p w14:paraId="1C4DBCC5" w14:textId="4014B2DA" w:rsidR="00481202" w:rsidRDefault="00481202" w:rsidP="00481202">
      <w:pPr>
        <w:spacing w:line="360" w:lineRule="auto"/>
        <w:rPr>
          <w:rFonts w:cs="Arial"/>
          <w:lang w:val="en-US"/>
        </w:rPr>
      </w:pPr>
      <w:r w:rsidRPr="002139E1">
        <w:rPr>
          <w:rFonts w:cs="Arial"/>
          <w:lang w:val="en-US"/>
        </w:rPr>
        <w:t>Th</w:t>
      </w:r>
      <w:r>
        <w:rPr>
          <w:rFonts w:cs="Arial"/>
          <w:lang w:val="en-US"/>
        </w:rPr>
        <w:t>e following</w:t>
      </w:r>
      <w:r w:rsidRPr="002139E1">
        <w:rPr>
          <w:rFonts w:cs="Arial"/>
          <w:lang w:val="en-US"/>
        </w:rPr>
        <w:t xml:space="preserve"> </w:t>
      </w:r>
      <w:r>
        <w:rPr>
          <w:rFonts w:cs="Arial"/>
          <w:lang w:val="en-US"/>
        </w:rPr>
        <w:t>chapter covers several milestones in the history of banking and explains briefly how modern financial institutions evolved. However, since the banking history involves developments in many countries and goes back to ancient times, it would be to</w:t>
      </w:r>
      <w:r w:rsidR="0038632B">
        <w:rPr>
          <w:rFonts w:cs="Arial"/>
          <w:lang w:val="en-US"/>
        </w:rPr>
        <w:t>o</w:t>
      </w:r>
      <w:r>
        <w:rPr>
          <w:rFonts w:cs="Arial"/>
          <w:lang w:val="en-US"/>
        </w:rPr>
        <w:t xml:space="preserve"> extensive to deal with every decisive occasion in detail. </w:t>
      </w:r>
    </w:p>
    <w:p w14:paraId="6D4F8A83" w14:textId="1F218F75" w:rsidR="00481202" w:rsidRPr="002139E1" w:rsidRDefault="00481202" w:rsidP="00F94A6C">
      <w:pPr>
        <w:pStyle w:val="berschrift2"/>
        <w:rPr>
          <w:lang w:val="en-US"/>
        </w:rPr>
      </w:pPr>
      <w:bookmarkStart w:id="10" w:name="_Toc42077736"/>
      <w:r>
        <w:rPr>
          <w:lang w:val="en-US"/>
        </w:rPr>
        <w:t>Beginning of Banking</w:t>
      </w:r>
      <w:bookmarkEnd w:id="10"/>
      <w:r>
        <w:rPr>
          <w:lang w:val="en-US"/>
        </w:rPr>
        <w:t xml:space="preserve"> </w:t>
      </w:r>
    </w:p>
    <w:p w14:paraId="1F81AD9E" w14:textId="0EBC4F3F" w:rsidR="00481202" w:rsidRDefault="00481202" w:rsidP="00481202">
      <w:pPr>
        <w:spacing w:line="360" w:lineRule="auto"/>
        <w:rPr>
          <w:rFonts w:cs="Arial"/>
          <w:lang w:val="en-US"/>
        </w:rPr>
      </w:pPr>
      <w:r>
        <w:rPr>
          <w:rFonts w:cs="Arial"/>
          <w:lang w:val="en-US"/>
        </w:rPr>
        <w:t xml:space="preserve">The earliest precursors of banking, in the modern sense of the world, are assumed in Mesopotamia, where in 2000 BC account processing for deposits, bills and cheques were probably well known. These new forms of trading slowly replaced barter transactions and included new payment methods. </w:t>
      </w:r>
      <w:r w:rsidRPr="00D3651C">
        <w:rPr>
          <w:rFonts w:cs="Arial"/>
          <w:lang w:val="en-US"/>
        </w:rPr>
        <w:t>Obviously the history of banking is rather merged with the history of money. Nevertheless</w:t>
      </w:r>
      <w:r>
        <w:rPr>
          <w:rFonts w:cs="Arial"/>
          <w:lang w:val="en-US"/>
        </w:rPr>
        <w:t xml:space="preserve"> the development of currencies, payment methods and monetary theories will not be described any further</w:t>
      </w:r>
      <w:hyperlink r:id="rId11" w:history="1"/>
      <w:sdt>
        <w:sdtPr>
          <w:rPr>
            <w:rFonts w:cs="Arial"/>
            <w:lang w:val="en-US"/>
          </w:rPr>
          <w:id w:val="-1343545970"/>
          <w:citation/>
        </w:sdtPr>
        <w:sdtEndPr/>
        <w:sdtContent>
          <w:r w:rsidR="00F441AD">
            <w:rPr>
              <w:rFonts w:cs="Arial"/>
              <w:lang w:val="en-US"/>
            </w:rPr>
            <w:fldChar w:fldCharType="begin"/>
          </w:r>
          <w:r w:rsidR="00D448FE">
            <w:rPr>
              <w:rFonts w:cs="Arial"/>
              <w:lang w:val="en-US"/>
            </w:rPr>
            <w:instrText xml:space="preserve">CITATION His20 \l 3079 </w:instrText>
          </w:r>
          <w:r w:rsidR="00F441AD">
            <w:rPr>
              <w:rFonts w:cs="Arial"/>
              <w:lang w:val="en-US"/>
            </w:rPr>
            <w:fldChar w:fldCharType="separate"/>
          </w:r>
          <w:r w:rsidR="00D448FE">
            <w:rPr>
              <w:rFonts w:cs="Arial"/>
              <w:noProof/>
              <w:lang w:val="en-US"/>
            </w:rPr>
            <w:t xml:space="preserve"> </w:t>
          </w:r>
          <w:r w:rsidR="00D448FE" w:rsidRPr="00D448FE">
            <w:rPr>
              <w:rFonts w:cs="Arial"/>
              <w:noProof/>
              <w:lang w:val="en-US"/>
            </w:rPr>
            <w:t>(Wikipedia Contributors, 2020)</w:t>
          </w:r>
          <w:r w:rsidR="00F441AD">
            <w:rPr>
              <w:rFonts w:cs="Arial"/>
              <w:lang w:val="en-US"/>
            </w:rPr>
            <w:fldChar w:fldCharType="end"/>
          </w:r>
        </w:sdtContent>
      </w:sdt>
      <w:r>
        <w:rPr>
          <w:rFonts w:cs="Arial"/>
          <w:lang w:val="en-US"/>
        </w:rPr>
        <w:t>.</w:t>
      </w:r>
    </w:p>
    <w:p w14:paraId="4CEE3AC6" w14:textId="767C9C55" w:rsidR="00481202" w:rsidRDefault="00481202" w:rsidP="00481202">
      <w:pPr>
        <w:spacing w:line="360" w:lineRule="auto"/>
        <w:rPr>
          <w:rFonts w:cs="Arial"/>
          <w:lang w:val="en-US"/>
        </w:rPr>
      </w:pPr>
      <w:r w:rsidRPr="00254BF8">
        <w:rPr>
          <w:rFonts w:cs="Arial"/>
          <w:lang w:val="en-US"/>
        </w:rPr>
        <w:t>The first European banks flourished in the 13th century when Florence rose to become a trading power and the banking business</w:t>
      </w:r>
      <w:r>
        <w:rPr>
          <w:rFonts w:cs="Arial"/>
          <w:lang w:val="en-US"/>
        </w:rPr>
        <w:t>es</w:t>
      </w:r>
      <w:r w:rsidRPr="00254BF8">
        <w:rPr>
          <w:rFonts w:cs="Arial"/>
          <w:lang w:val="en-US"/>
        </w:rPr>
        <w:t xml:space="preserve"> began to </w:t>
      </w:r>
      <w:r>
        <w:rPr>
          <w:rFonts w:cs="Arial"/>
          <w:lang w:val="en-US"/>
        </w:rPr>
        <w:t>expand</w:t>
      </w:r>
      <w:r w:rsidRPr="00254BF8">
        <w:rPr>
          <w:rFonts w:cs="Arial"/>
          <w:lang w:val="en-US"/>
        </w:rPr>
        <w:t xml:space="preserve">. </w:t>
      </w:r>
      <w:r w:rsidRPr="00143CCB">
        <w:rPr>
          <w:rFonts w:cs="Arial"/>
          <w:lang w:val="en-US"/>
        </w:rPr>
        <w:t xml:space="preserve">The </w:t>
      </w:r>
      <w:proofErr w:type="spellStart"/>
      <w:r w:rsidRPr="00143CCB">
        <w:rPr>
          <w:rFonts w:cs="Arial"/>
          <w:lang w:val="en-US"/>
        </w:rPr>
        <w:t>Bardi</w:t>
      </w:r>
      <w:proofErr w:type="spellEnd"/>
      <w:r w:rsidRPr="00143CCB">
        <w:rPr>
          <w:rFonts w:cs="Arial"/>
          <w:lang w:val="en-US"/>
        </w:rPr>
        <w:t xml:space="preserve">, Peruzzi and </w:t>
      </w:r>
      <w:proofErr w:type="spellStart"/>
      <w:r w:rsidRPr="00143CCB">
        <w:rPr>
          <w:rFonts w:cs="Arial"/>
          <w:lang w:val="en-US"/>
        </w:rPr>
        <w:t>Acciaiuoli</w:t>
      </w:r>
      <w:proofErr w:type="spellEnd"/>
      <w:r w:rsidRPr="00143CCB">
        <w:rPr>
          <w:rFonts w:cs="Arial"/>
          <w:lang w:val="en-US"/>
        </w:rPr>
        <w:t xml:space="preserve"> from Florence were among the first and then </w:t>
      </w:r>
      <w:r>
        <w:rPr>
          <w:rFonts w:cs="Arial"/>
          <w:lang w:val="en-US"/>
        </w:rPr>
        <w:t xml:space="preserve">one of the </w:t>
      </w:r>
      <w:r w:rsidRPr="00143CCB">
        <w:rPr>
          <w:rFonts w:cs="Arial"/>
          <w:lang w:val="en-US"/>
        </w:rPr>
        <w:t xml:space="preserve">most important banking families. At the beginning of the 14th century, these </w:t>
      </w:r>
      <w:r>
        <w:rPr>
          <w:rFonts w:cs="Arial"/>
          <w:lang w:val="en-US"/>
        </w:rPr>
        <w:t xml:space="preserve">families </w:t>
      </w:r>
      <w:r w:rsidRPr="00143CCB">
        <w:rPr>
          <w:rFonts w:cs="Arial"/>
          <w:lang w:val="en-US"/>
        </w:rPr>
        <w:t xml:space="preserve">maintained branches in </w:t>
      </w:r>
      <w:r>
        <w:rPr>
          <w:rFonts w:cs="Arial"/>
          <w:lang w:val="en-US"/>
        </w:rPr>
        <w:t>almost</w:t>
      </w:r>
      <w:r w:rsidRPr="00143CCB">
        <w:rPr>
          <w:rFonts w:cs="Arial"/>
          <w:lang w:val="en-US"/>
        </w:rPr>
        <w:t xml:space="preserve"> all of Europe's most important cities and </w:t>
      </w:r>
      <w:r>
        <w:rPr>
          <w:rFonts w:cs="Arial"/>
          <w:lang w:val="en-US"/>
        </w:rPr>
        <w:t>effectively had a monopoly in finance</w:t>
      </w:r>
      <w:r w:rsidRPr="00143CCB">
        <w:rPr>
          <w:rFonts w:cs="Arial"/>
          <w:lang w:val="en-US"/>
        </w:rPr>
        <w:t>.</w:t>
      </w:r>
      <w:r>
        <w:rPr>
          <w:rFonts w:cs="Arial"/>
          <w:lang w:val="en-US"/>
        </w:rPr>
        <w:t xml:space="preserve"> Though, after the 100-year-war King Eduard III of England, who had been a debtor to the Florentines families, couldn’t settle his depts. A new wealthy Italian family named Medici benefited from the financial crises and raised branches in several European cities. To this day Italian terms like Agio, which defines the difference between a banknote’s nominal value and its market value, appear in the financial world</w:t>
      </w:r>
      <w:sdt>
        <w:sdtPr>
          <w:rPr>
            <w:rFonts w:cs="Arial"/>
            <w:lang w:val="en-US"/>
          </w:rPr>
          <w:id w:val="-1448533709"/>
          <w:citation/>
        </w:sdtPr>
        <w:sdtEndPr/>
        <w:sdtContent>
          <w:r w:rsidR="00413EE9">
            <w:rPr>
              <w:rFonts w:cs="Arial"/>
              <w:lang w:val="en-US"/>
            </w:rPr>
            <w:fldChar w:fldCharType="begin"/>
          </w:r>
          <w:r w:rsidR="00D448FE">
            <w:rPr>
              <w:rFonts w:cs="Arial"/>
              <w:lang w:val="en-US"/>
            </w:rPr>
            <w:instrText xml:space="preserve">CITATION His20 \l 3079 </w:instrText>
          </w:r>
          <w:r w:rsidR="00413EE9">
            <w:rPr>
              <w:rFonts w:cs="Arial"/>
              <w:lang w:val="en-US"/>
            </w:rPr>
            <w:fldChar w:fldCharType="separate"/>
          </w:r>
          <w:r w:rsidR="00D448FE">
            <w:rPr>
              <w:rFonts w:cs="Arial"/>
              <w:noProof/>
              <w:lang w:val="en-US"/>
            </w:rPr>
            <w:t xml:space="preserve"> </w:t>
          </w:r>
          <w:r w:rsidR="00D448FE" w:rsidRPr="00D448FE">
            <w:rPr>
              <w:rFonts w:cs="Arial"/>
              <w:noProof/>
              <w:lang w:val="en-US"/>
            </w:rPr>
            <w:t>(Wikipedia Contributors, 2020)</w:t>
          </w:r>
          <w:r w:rsidR="00413EE9">
            <w:rPr>
              <w:rFonts w:cs="Arial"/>
              <w:lang w:val="en-US"/>
            </w:rPr>
            <w:fldChar w:fldCharType="end"/>
          </w:r>
        </w:sdtContent>
      </w:sdt>
      <w:r>
        <w:rPr>
          <w:rFonts w:cs="Arial"/>
          <w:lang w:val="en-US"/>
        </w:rPr>
        <w:t>.</w:t>
      </w:r>
    </w:p>
    <w:p w14:paraId="6A51967E" w14:textId="7061AE4C" w:rsidR="00481202" w:rsidRDefault="00481202" w:rsidP="00481202">
      <w:pPr>
        <w:spacing w:line="360" w:lineRule="auto"/>
        <w:rPr>
          <w:rFonts w:cs="Arial"/>
          <w:lang w:val="en-US"/>
        </w:rPr>
      </w:pPr>
      <w:r>
        <w:rPr>
          <w:rFonts w:cs="Arial"/>
          <w:lang w:val="en-US"/>
        </w:rPr>
        <w:t xml:space="preserve">Besides the cashless transaction techniques, the typical banking functions we know today originated from operations of the merchants. </w:t>
      </w:r>
      <w:r w:rsidRPr="003A5ED5">
        <w:rPr>
          <w:rFonts w:cs="Arial"/>
          <w:lang w:val="en-US"/>
        </w:rPr>
        <w:t>In order to be able to trade smoothly with one another, traders lent money among themselves, mostly for interest.</w:t>
      </w:r>
      <w:r>
        <w:rPr>
          <w:rFonts w:cs="Arial"/>
          <w:lang w:val="en-US"/>
        </w:rPr>
        <w:t xml:space="preserve"> </w:t>
      </w:r>
      <w:r w:rsidRPr="002F3FE3">
        <w:rPr>
          <w:rFonts w:cs="Arial"/>
          <w:lang w:val="en-US"/>
        </w:rPr>
        <w:t>It is not known whether bank</w:t>
      </w:r>
      <w:r>
        <w:rPr>
          <w:rFonts w:cs="Arial"/>
          <w:lang w:val="en-US"/>
        </w:rPr>
        <w:t>ing</w:t>
      </w:r>
      <w:r w:rsidRPr="002F3FE3">
        <w:rPr>
          <w:rFonts w:cs="Arial"/>
          <w:lang w:val="en-US"/>
        </w:rPr>
        <w:t xml:space="preserve"> fees were already charged for certain services at that time</w:t>
      </w:r>
      <w:r>
        <w:rPr>
          <w:rFonts w:cs="Arial"/>
          <w:lang w:val="en-US"/>
        </w:rPr>
        <w:t>, however the banks found additional ways to make money. For instance t</w:t>
      </w:r>
      <w:r w:rsidRPr="00C02902">
        <w:rPr>
          <w:rFonts w:cs="Arial"/>
          <w:lang w:val="en-US"/>
        </w:rPr>
        <w:t xml:space="preserve">he Florentine banks financed </w:t>
      </w:r>
      <w:r>
        <w:rPr>
          <w:rFonts w:cs="Arial"/>
          <w:lang w:val="en-US"/>
        </w:rPr>
        <w:t xml:space="preserve">the maintenance of the </w:t>
      </w:r>
      <w:r w:rsidRPr="00C02902">
        <w:rPr>
          <w:rFonts w:cs="Arial"/>
          <w:lang w:val="en-US"/>
        </w:rPr>
        <w:t xml:space="preserve">European sovereigns' </w:t>
      </w:r>
      <w:r>
        <w:rPr>
          <w:rFonts w:cs="Arial"/>
          <w:lang w:val="en-US"/>
        </w:rPr>
        <w:t>properties. In exchange they received payments based on taxes and customs</w:t>
      </w:r>
      <w:sdt>
        <w:sdtPr>
          <w:rPr>
            <w:rFonts w:cs="Arial"/>
            <w:lang w:val="en-US"/>
          </w:rPr>
          <w:id w:val="-553006138"/>
          <w:citation/>
        </w:sdtPr>
        <w:sdtEndPr/>
        <w:sdtContent>
          <w:r w:rsidR="00717721">
            <w:rPr>
              <w:rFonts w:cs="Arial"/>
              <w:lang w:val="en-US"/>
            </w:rPr>
            <w:fldChar w:fldCharType="begin"/>
          </w:r>
          <w:r w:rsidR="00717721" w:rsidRPr="00717721">
            <w:rPr>
              <w:rFonts w:cs="Arial"/>
              <w:lang w:val="en-US"/>
            </w:rPr>
            <w:instrText xml:space="preserve"> CITATION Zei08 \l 3079 </w:instrText>
          </w:r>
          <w:r w:rsidR="00717721">
            <w:rPr>
              <w:rFonts w:cs="Arial"/>
              <w:lang w:val="en-US"/>
            </w:rPr>
            <w:fldChar w:fldCharType="separate"/>
          </w:r>
          <w:r w:rsidR="00717721" w:rsidRPr="00717721">
            <w:rPr>
              <w:rFonts w:cs="Arial"/>
              <w:noProof/>
              <w:lang w:val="en-US"/>
            </w:rPr>
            <w:t xml:space="preserve"> (Zeilmann, 2008)</w:t>
          </w:r>
          <w:r w:rsidR="00717721">
            <w:rPr>
              <w:rFonts w:cs="Arial"/>
              <w:lang w:val="en-US"/>
            </w:rPr>
            <w:fldChar w:fldCharType="end"/>
          </w:r>
        </w:sdtContent>
      </w:sdt>
      <w:r>
        <w:rPr>
          <w:rFonts w:cs="Arial"/>
          <w:lang w:val="en-US"/>
        </w:rPr>
        <w:t>.</w:t>
      </w:r>
    </w:p>
    <w:p w14:paraId="57075470" w14:textId="1DE1A369" w:rsidR="00481202" w:rsidRDefault="00481202" w:rsidP="00481202">
      <w:pPr>
        <w:spacing w:line="360" w:lineRule="auto"/>
        <w:rPr>
          <w:rFonts w:cs="Arial"/>
          <w:lang w:val="en-US"/>
        </w:rPr>
      </w:pPr>
      <w:r w:rsidRPr="00E36899">
        <w:rPr>
          <w:rFonts w:cs="Arial"/>
          <w:lang w:val="en-US"/>
        </w:rPr>
        <w:t>In 1407 the Banco di San Giorgio was found</w:t>
      </w:r>
      <w:r>
        <w:rPr>
          <w:rFonts w:cs="Arial"/>
          <w:lang w:val="en-US"/>
        </w:rPr>
        <w:t>ed in Genoa. While several</w:t>
      </w:r>
      <w:r w:rsidRPr="008B0C01">
        <w:rPr>
          <w:rFonts w:cs="Arial"/>
          <w:lang w:val="en-US"/>
        </w:rPr>
        <w:t xml:space="preserve"> prominent families from the city of Genoa were involved in the establishment and management of the bank</w:t>
      </w:r>
      <w:r>
        <w:rPr>
          <w:rFonts w:cs="Arial"/>
          <w:lang w:val="en-US"/>
        </w:rPr>
        <w:t xml:space="preserve">, it was also closely linked to the government and involved in political decisions. This bank is considered to be one of the oldest banks of the world, but was closed down in 1805 by Napoleon </w:t>
      </w:r>
      <w:proofErr w:type="spellStart"/>
      <w:r>
        <w:rPr>
          <w:rFonts w:cs="Arial"/>
          <w:lang w:val="en-US"/>
        </w:rPr>
        <w:t>Bonarparte</w:t>
      </w:r>
      <w:proofErr w:type="spellEnd"/>
      <w:r w:rsidR="00001586">
        <w:rPr>
          <w:rFonts w:cs="Arial"/>
          <w:lang w:val="en-US"/>
        </w:rPr>
        <w:t xml:space="preserve"> </w:t>
      </w:r>
      <w:sdt>
        <w:sdtPr>
          <w:rPr>
            <w:rFonts w:cs="Arial"/>
            <w:lang w:val="en-US"/>
          </w:rPr>
          <w:id w:val="994146325"/>
          <w:citation/>
        </w:sdtPr>
        <w:sdtEndPr/>
        <w:sdtContent>
          <w:r w:rsidR="00001586">
            <w:rPr>
              <w:rFonts w:cs="Arial"/>
              <w:lang w:val="en-US"/>
            </w:rPr>
            <w:fldChar w:fldCharType="begin"/>
          </w:r>
          <w:r w:rsidR="00D448FE">
            <w:rPr>
              <w:rFonts w:cs="Arial"/>
              <w:lang w:val="en-US"/>
            </w:rPr>
            <w:instrText xml:space="preserve">CITATION Ban202 \l 3079 </w:instrText>
          </w:r>
          <w:r w:rsidR="00001586">
            <w:rPr>
              <w:rFonts w:cs="Arial"/>
              <w:lang w:val="en-US"/>
            </w:rPr>
            <w:fldChar w:fldCharType="separate"/>
          </w:r>
          <w:r w:rsidR="00D448FE" w:rsidRPr="00D448FE">
            <w:rPr>
              <w:rFonts w:cs="Arial"/>
              <w:noProof/>
              <w:lang w:val="en-US"/>
            </w:rPr>
            <w:t>(Wikipedia Contributers, 2020)</w:t>
          </w:r>
          <w:r w:rsidR="00001586">
            <w:rPr>
              <w:rFonts w:cs="Arial"/>
              <w:lang w:val="en-US"/>
            </w:rPr>
            <w:fldChar w:fldCharType="end"/>
          </w:r>
        </w:sdtContent>
      </w:sdt>
      <w:r>
        <w:rPr>
          <w:rFonts w:cs="Arial"/>
          <w:lang w:val="en-US"/>
        </w:rPr>
        <w:t>.</w:t>
      </w:r>
    </w:p>
    <w:p w14:paraId="4F3F1F68" w14:textId="4FADD291" w:rsidR="00481202" w:rsidRDefault="00481202" w:rsidP="00F81297">
      <w:pPr>
        <w:pStyle w:val="berschrift2"/>
        <w:rPr>
          <w:lang w:val="en-US"/>
        </w:rPr>
      </w:pPr>
      <w:bookmarkStart w:id="11" w:name="_Toc42077737"/>
      <w:r>
        <w:rPr>
          <w:lang w:val="en-US"/>
        </w:rPr>
        <w:lastRenderedPageBreak/>
        <w:t>Continuous Developments</w:t>
      </w:r>
      <w:bookmarkEnd w:id="11"/>
    </w:p>
    <w:p w14:paraId="23732C42" w14:textId="75238F11" w:rsidR="00481202" w:rsidRDefault="00481202" w:rsidP="00481202">
      <w:pPr>
        <w:spacing w:line="360" w:lineRule="auto"/>
        <w:rPr>
          <w:rFonts w:cs="Arial"/>
          <w:lang w:val="en-US"/>
        </w:rPr>
      </w:pPr>
      <w:r>
        <w:rPr>
          <w:rFonts w:cs="Arial"/>
          <w:lang w:val="en-US"/>
        </w:rPr>
        <w:t xml:space="preserve">During the </w:t>
      </w:r>
      <w:r w:rsidRPr="00111EA5">
        <w:rPr>
          <w:rFonts w:cs="Arial"/>
          <w:lang w:val="en-US"/>
        </w:rPr>
        <w:t>17</w:t>
      </w:r>
      <w:r w:rsidRPr="000E224D">
        <w:rPr>
          <w:rFonts w:cs="Arial"/>
          <w:vertAlign w:val="superscript"/>
          <w:lang w:val="en-US"/>
        </w:rPr>
        <w:t>th</w:t>
      </w:r>
      <w:r>
        <w:rPr>
          <w:rFonts w:cs="Arial"/>
          <w:vertAlign w:val="superscript"/>
          <w:lang w:val="en-US"/>
        </w:rPr>
        <w:t xml:space="preserve"> </w:t>
      </w:r>
      <w:r>
        <w:rPr>
          <w:rFonts w:cs="Arial"/>
          <w:lang w:val="en-US"/>
        </w:rPr>
        <w:t>century common banking services like accepting deposits, lending money, currency changing and transferring funds already existed. The number of services offered by banks, like the issuance of bank dept, increased and promoted commercial and industrial growth. It was at that time, when the first bank began to issue banknotes permanently. The Bank of England was founded in 1695. T</w:t>
      </w:r>
      <w:r w:rsidRPr="005D5E38">
        <w:rPr>
          <w:rFonts w:cs="Arial"/>
          <w:lang w:val="en-US"/>
        </w:rPr>
        <w:t>hey promised to pay the bearer the value of the note</w:t>
      </w:r>
      <w:r>
        <w:rPr>
          <w:rFonts w:cs="Arial"/>
          <w:lang w:val="en-US"/>
        </w:rPr>
        <w:t>, which was initially hand-</w:t>
      </w:r>
      <w:r w:rsidRPr="005D5E38">
        <w:rPr>
          <w:rFonts w:cs="Arial"/>
          <w:lang w:val="en-US"/>
        </w:rPr>
        <w:t>written and issued on deposit or as a loan, on demand.</w:t>
      </w:r>
      <w:r>
        <w:rPr>
          <w:rFonts w:cs="Arial"/>
          <w:lang w:val="en-US"/>
        </w:rPr>
        <w:t xml:space="preserve"> Wealthy merchants started to store their gold with the goldsmiths of London, who in return charged a fee for their service. The goldsmiths bankers were born. In the 18</w:t>
      </w:r>
      <w:r w:rsidRPr="004A75AA">
        <w:rPr>
          <w:rFonts w:cs="Arial"/>
          <w:vertAlign w:val="superscript"/>
          <w:lang w:val="en-US"/>
        </w:rPr>
        <w:t>th</w:t>
      </w:r>
      <w:r>
        <w:rPr>
          <w:rFonts w:cs="Arial"/>
          <w:lang w:val="en-US"/>
        </w:rPr>
        <w:t xml:space="preserve"> century new bank practices, like c</w:t>
      </w:r>
      <w:r w:rsidRPr="00640CE7">
        <w:rPr>
          <w:rFonts w:cs="Arial"/>
          <w:lang w:val="en-US"/>
        </w:rPr>
        <w:t>learing facilities, security investments, cheques and overdraft protections were introduced</w:t>
      </w:r>
      <w:r>
        <w:rPr>
          <w:rFonts w:cs="Arial"/>
          <w:lang w:val="en-US"/>
        </w:rPr>
        <w:t xml:space="preserve">. Despite the fact that multiple savings banks already existed in Italy or Germany, the first British savings bank, named </w:t>
      </w:r>
      <w:r w:rsidRPr="00C20479">
        <w:rPr>
          <w:rFonts w:cs="Arial"/>
          <w:lang w:val="en-US"/>
        </w:rPr>
        <w:t>"Savings and Friendly Society"</w:t>
      </w:r>
      <w:r>
        <w:rPr>
          <w:rFonts w:cs="Arial"/>
          <w:lang w:val="en-US"/>
        </w:rPr>
        <w:t>, which was founded in 1810, is considered the first trustee savings bank in modern sense</w:t>
      </w:r>
      <w:r w:rsidR="005148C5">
        <w:rPr>
          <w:rFonts w:cs="Arial"/>
          <w:lang w:val="en-US"/>
        </w:rPr>
        <w:t xml:space="preserve"> </w:t>
      </w:r>
      <w:sdt>
        <w:sdtPr>
          <w:rPr>
            <w:rFonts w:cs="Arial"/>
            <w:lang w:val="en-US"/>
          </w:rPr>
          <w:id w:val="1873114678"/>
          <w:citation/>
        </w:sdtPr>
        <w:sdtEndPr/>
        <w:sdtContent>
          <w:r w:rsidR="005148C5">
            <w:rPr>
              <w:rFonts w:cs="Arial"/>
              <w:lang w:val="en-US"/>
            </w:rPr>
            <w:fldChar w:fldCharType="begin"/>
          </w:r>
          <w:r w:rsidR="00D448FE">
            <w:rPr>
              <w:rFonts w:cs="Arial"/>
              <w:lang w:val="en-US"/>
            </w:rPr>
            <w:instrText xml:space="preserve">CITATION The17 \l 3079 </w:instrText>
          </w:r>
          <w:r w:rsidR="005148C5">
            <w:rPr>
              <w:rFonts w:cs="Arial"/>
              <w:lang w:val="en-US"/>
            </w:rPr>
            <w:fldChar w:fldCharType="separate"/>
          </w:r>
          <w:r w:rsidR="00D448FE" w:rsidRPr="00D448FE">
            <w:rPr>
              <w:rFonts w:cs="Arial"/>
              <w:noProof/>
              <w:lang w:val="en-US"/>
            </w:rPr>
            <w:t>(Britannica, 2017)</w:t>
          </w:r>
          <w:r w:rsidR="005148C5">
            <w:rPr>
              <w:rFonts w:cs="Arial"/>
              <w:lang w:val="en-US"/>
            </w:rPr>
            <w:fldChar w:fldCharType="end"/>
          </w:r>
        </w:sdtContent>
      </w:sdt>
      <w:r>
        <w:rPr>
          <w:rFonts w:cs="Arial"/>
          <w:lang w:val="en-US"/>
        </w:rPr>
        <w:t xml:space="preserve">. At that time, during the first industrial revolution, the number of British country banks significantly increased and besides basic services, like issuing banknotes and borrowing, respectively lending money, they offered discounting services </w:t>
      </w:r>
      <w:sdt>
        <w:sdtPr>
          <w:rPr>
            <w:rFonts w:cs="Arial"/>
            <w:lang w:val="en-US"/>
          </w:rPr>
          <w:id w:val="1718315607"/>
          <w:citation/>
        </w:sdtPr>
        <w:sdtEndPr/>
        <w:sdtContent>
          <w:r w:rsidR="007C2D02">
            <w:rPr>
              <w:rFonts w:cs="Arial"/>
              <w:lang w:val="en-US"/>
            </w:rPr>
            <w:fldChar w:fldCharType="begin"/>
          </w:r>
          <w:r w:rsidR="00D448FE">
            <w:rPr>
              <w:rFonts w:cs="Arial"/>
              <w:lang w:val="en-US"/>
            </w:rPr>
            <w:instrText xml:space="preserve">CITATION Aga17 \l 3079 </w:instrText>
          </w:r>
          <w:r w:rsidR="007C2D02">
            <w:rPr>
              <w:rFonts w:cs="Arial"/>
              <w:lang w:val="en-US"/>
            </w:rPr>
            <w:fldChar w:fldCharType="separate"/>
          </w:r>
          <w:r w:rsidR="00D448FE" w:rsidRPr="00D448FE">
            <w:rPr>
              <w:rFonts w:cs="Arial"/>
              <w:noProof/>
              <w:lang w:val="en-US"/>
            </w:rPr>
            <w:t>(Agarwal &amp; Agarwal, 2017)</w:t>
          </w:r>
          <w:r w:rsidR="007C2D02">
            <w:rPr>
              <w:rFonts w:cs="Arial"/>
              <w:lang w:val="en-US"/>
            </w:rPr>
            <w:fldChar w:fldCharType="end"/>
          </w:r>
        </w:sdtContent>
      </w:sdt>
      <w:r>
        <w:rPr>
          <w:rFonts w:cs="Arial"/>
          <w:lang w:val="en-US"/>
        </w:rPr>
        <w:t>.</w:t>
      </w:r>
      <w:r w:rsidR="006279DC">
        <w:rPr>
          <w:rFonts w:cs="Arial"/>
          <w:lang w:val="en-US"/>
        </w:rPr>
        <w:t xml:space="preserve"> </w:t>
      </w:r>
      <w:r>
        <w:rPr>
          <w:rFonts w:cs="Arial"/>
          <w:lang w:val="en-US"/>
        </w:rPr>
        <w:t xml:space="preserve">The first postal savings bank followed in 1861 in Great-Britain and allowed depositors who did not have access to banks, a safe, convenient method </w:t>
      </w:r>
      <w:r w:rsidRPr="006502D3">
        <w:rPr>
          <w:rFonts w:cs="Arial"/>
          <w:lang w:val="en-US"/>
        </w:rPr>
        <w:t>to save money. Postal savings banks were originally established to promote thrift among the poor.</w:t>
      </w:r>
    </w:p>
    <w:p w14:paraId="1475B0FA" w14:textId="1E2231AE" w:rsidR="00481202" w:rsidRDefault="00481202" w:rsidP="00481202">
      <w:pPr>
        <w:spacing w:line="360" w:lineRule="auto"/>
        <w:rPr>
          <w:rFonts w:cs="Arial"/>
          <w:lang w:val="en-US"/>
        </w:rPr>
      </w:pPr>
      <w:r>
        <w:rPr>
          <w:rFonts w:cs="Arial"/>
          <w:lang w:val="en-US"/>
        </w:rPr>
        <w:t xml:space="preserve">After World War I the United States experienced a time of economic prosperity and since credits were easily available and very convenient many loans were taken out. Alongside the average citizens even the big banks and corporations bought stocks using borrowed money, which is known as margin buying. In 1913 the Federal Reserve System was founded to regulate monetary policies and monitor the financial market. Nevertheless, the majority of the American banks were small individual institutions and had to rely on their own assets. In 1929 the stock market crashed and caused distrust in the economy in the United States. There were a bunch of potential occasions that could have been responsible for these developments, for instance the headlines of the New York Times about margin sellers and the exit of foreign investors as well as uninhibited speculation on the stock market </w:t>
      </w:r>
      <w:sdt>
        <w:sdtPr>
          <w:rPr>
            <w:rFonts w:cs="Arial"/>
            <w:lang w:val="en-US"/>
          </w:rPr>
          <w:id w:val="139159010"/>
          <w:citation/>
        </w:sdtPr>
        <w:sdtEndPr/>
        <w:sdtContent>
          <w:r w:rsidR="0001332E">
            <w:rPr>
              <w:rFonts w:cs="Arial"/>
              <w:lang w:val="en-US"/>
            </w:rPr>
            <w:fldChar w:fldCharType="begin"/>
          </w:r>
          <w:r w:rsidR="00D448FE">
            <w:rPr>
              <w:rFonts w:cs="Arial"/>
              <w:lang w:val="en-US"/>
            </w:rPr>
            <w:instrText xml:space="preserve">CITATION Ama20 \l 3079 </w:instrText>
          </w:r>
          <w:r w:rsidR="0001332E">
            <w:rPr>
              <w:rFonts w:cs="Arial"/>
              <w:lang w:val="en-US"/>
            </w:rPr>
            <w:fldChar w:fldCharType="separate"/>
          </w:r>
          <w:r w:rsidR="00D448FE" w:rsidRPr="00D448FE">
            <w:rPr>
              <w:rFonts w:cs="Arial"/>
              <w:noProof/>
              <w:lang w:val="en-US"/>
            </w:rPr>
            <w:t>(Amadeo, 2020)</w:t>
          </w:r>
          <w:r w:rsidR="0001332E">
            <w:rPr>
              <w:rFonts w:cs="Arial"/>
              <w:lang w:val="en-US"/>
            </w:rPr>
            <w:fldChar w:fldCharType="end"/>
          </w:r>
        </w:sdtContent>
      </w:sdt>
      <w:r>
        <w:rPr>
          <w:rFonts w:cs="Arial"/>
          <w:lang w:val="en-US"/>
        </w:rPr>
        <w:t xml:space="preserve">. However, because the people lost faith in the economic system they withdrew their deposits immediately, which triggered several bank runs. Banks went broke and unemployment in every economic sector escalated. The deflation spiral started in 1931 and led to the Great Depression. Many countries beside the US, including several European states, were effected and therefore increased financial regulations </w:t>
      </w:r>
      <w:sdt>
        <w:sdtPr>
          <w:rPr>
            <w:rFonts w:cs="Arial"/>
            <w:lang w:val="en-US"/>
          </w:rPr>
          <w:id w:val="-1941061523"/>
          <w:citation/>
        </w:sdtPr>
        <w:sdtEndPr/>
        <w:sdtContent>
          <w:r w:rsidR="00D14C58">
            <w:rPr>
              <w:rFonts w:cs="Arial"/>
              <w:lang w:val="en-US"/>
            </w:rPr>
            <w:fldChar w:fldCharType="begin"/>
          </w:r>
          <w:r w:rsidR="00D14C58" w:rsidRPr="00D14C58">
            <w:rPr>
              <w:rFonts w:cs="Arial"/>
              <w:lang w:val="en-US"/>
            </w:rPr>
            <w:instrText xml:space="preserve"> CITATION Gre13 \l 3079 </w:instrText>
          </w:r>
          <w:r w:rsidR="00D14C58">
            <w:rPr>
              <w:rFonts w:cs="Arial"/>
              <w:lang w:val="en-US"/>
            </w:rPr>
            <w:fldChar w:fldCharType="separate"/>
          </w:r>
          <w:r w:rsidR="00D14C58" w:rsidRPr="00D14C58">
            <w:rPr>
              <w:rFonts w:cs="Arial"/>
              <w:noProof/>
              <w:lang w:val="en-US"/>
            </w:rPr>
            <w:t>(Green, 2013)</w:t>
          </w:r>
          <w:r w:rsidR="00D14C58">
            <w:rPr>
              <w:rFonts w:cs="Arial"/>
              <w:lang w:val="en-US"/>
            </w:rPr>
            <w:fldChar w:fldCharType="end"/>
          </w:r>
        </w:sdtContent>
      </w:sdt>
      <w:r>
        <w:rPr>
          <w:rFonts w:cs="Arial"/>
          <w:lang w:val="en-US"/>
        </w:rPr>
        <w:t>. As a result investment activities and corporate banks got separated and a new kind of special purpose bank emerged: The investment bank</w:t>
      </w:r>
      <w:r w:rsidR="008174DD">
        <w:rPr>
          <w:rFonts w:cs="Arial"/>
          <w:lang w:val="en-US"/>
        </w:rPr>
        <w:t xml:space="preserve"> </w:t>
      </w:r>
      <w:sdt>
        <w:sdtPr>
          <w:rPr>
            <w:rFonts w:cs="Arial"/>
            <w:lang w:val="en-US"/>
          </w:rPr>
          <w:id w:val="-1166779012"/>
          <w:citation/>
        </w:sdtPr>
        <w:sdtEndPr/>
        <w:sdtContent>
          <w:r w:rsidR="008174DD">
            <w:rPr>
              <w:rFonts w:cs="Arial"/>
              <w:lang w:val="en-US"/>
            </w:rPr>
            <w:fldChar w:fldCharType="begin"/>
          </w:r>
          <w:r w:rsidR="00D448FE">
            <w:rPr>
              <w:rFonts w:cs="Arial"/>
              <w:lang w:val="en-US"/>
            </w:rPr>
            <w:instrText xml:space="preserve">CITATION Aga17 \l 3079 </w:instrText>
          </w:r>
          <w:r w:rsidR="008174DD">
            <w:rPr>
              <w:rFonts w:cs="Arial"/>
              <w:lang w:val="en-US"/>
            </w:rPr>
            <w:fldChar w:fldCharType="separate"/>
          </w:r>
          <w:r w:rsidR="00D448FE" w:rsidRPr="00D448FE">
            <w:rPr>
              <w:rFonts w:cs="Arial"/>
              <w:noProof/>
              <w:lang w:val="en-US"/>
            </w:rPr>
            <w:t>(Agarwal &amp; Agarwal, 2017)</w:t>
          </w:r>
          <w:r w:rsidR="008174DD">
            <w:rPr>
              <w:rFonts w:cs="Arial"/>
              <w:lang w:val="en-US"/>
            </w:rPr>
            <w:fldChar w:fldCharType="end"/>
          </w:r>
        </w:sdtContent>
      </w:sdt>
      <w:r>
        <w:rPr>
          <w:rFonts w:cs="Arial"/>
          <w:lang w:val="en-US"/>
        </w:rPr>
        <w:t xml:space="preserve">. </w:t>
      </w:r>
    </w:p>
    <w:p w14:paraId="021327DD" w14:textId="77777777" w:rsidR="00481202" w:rsidRDefault="00481202" w:rsidP="00E31CB3">
      <w:pPr>
        <w:pStyle w:val="berschrift2"/>
        <w:rPr>
          <w:lang w:val="en-US"/>
        </w:rPr>
      </w:pPr>
      <w:bookmarkStart w:id="12" w:name="_Toc42077738"/>
      <w:r>
        <w:rPr>
          <w:lang w:val="en-US"/>
        </w:rPr>
        <w:lastRenderedPageBreak/>
        <w:t>Banking After World War II</w:t>
      </w:r>
      <w:bookmarkEnd w:id="12"/>
    </w:p>
    <w:p w14:paraId="23BB2CC3" w14:textId="7D6857C4" w:rsidR="00481202" w:rsidRDefault="00481202" w:rsidP="009B2F74">
      <w:pPr>
        <w:spacing w:line="360" w:lineRule="auto"/>
        <w:rPr>
          <w:rFonts w:cs="Arial"/>
          <w:lang w:val="en-US"/>
        </w:rPr>
      </w:pPr>
      <w:r>
        <w:rPr>
          <w:rFonts w:cs="Arial"/>
          <w:lang w:val="en-US"/>
        </w:rPr>
        <w:t>In 1944 the Bretton-Woods-System was introduced as a global financial regulation. This agreement included 44 states and pegged multiple currencies to the US dollar’s value as an anchor currency, while itself was based on the value of gold</w:t>
      </w:r>
      <w:r w:rsidR="002F5E40">
        <w:rPr>
          <w:rFonts w:cs="Arial"/>
          <w:lang w:val="en-US"/>
        </w:rPr>
        <w:t xml:space="preserve"> </w:t>
      </w:r>
      <w:sdt>
        <w:sdtPr>
          <w:rPr>
            <w:rFonts w:cs="Arial"/>
            <w:lang w:val="en-US"/>
          </w:rPr>
          <w:id w:val="-1195758109"/>
          <w:citation/>
        </w:sdtPr>
        <w:sdtEndPr/>
        <w:sdtContent>
          <w:r w:rsidR="002F5E40">
            <w:rPr>
              <w:rFonts w:cs="Arial"/>
              <w:lang w:val="en-US"/>
            </w:rPr>
            <w:fldChar w:fldCharType="begin"/>
          </w:r>
          <w:r w:rsidR="00D448FE">
            <w:rPr>
              <w:rFonts w:cs="Arial"/>
              <w:lang w:val="en-US"/>
            </w:rPr>
            <w:instrText xml:space="preserve">CITATION Che19 \l 3079 </w:instrText>
          </w:r>
          <w:r w:rsidR="002F5E40">
            <w:rPr>
              <w:rFonts w:cs="Arial"/>
              <w:lang w:val="en-US"/>
            </w:rPr>
            <w:fldChar w:fldCharType="separate"/>
          </w:r>
          <w:r w:rsidR="00D448FE" w:rsidRPr="00D448FE">
            <w:rPr>
              <w:rFonts w:cs="Arial"/>
              <w:noProof/>
              <w:lang w:val="en-US"/>
            </w:rPr>
            <w:t>(Chen, 2019)</w:t>
          </w:r>
          <w:r w:rsidR="002F5E40">
            <w:rPr>
              <w:rFonts w:cs="Arial"/>
              <w:lang w:val="en-US"/>
            </w:rPr>
            <w:fldChar w:fldCharType="end"/>
          </w:r>
        </w:sdtContent>
      </w:sdt>
      <w:r>
        <w:rPr>
          <w:rFonts w:cs="Arial"/>
          <w:lang w:val="en-US"/>
        </w:rPr>
        <w:t xml:space="preserve">. Moreover the </w:t>
      </w:r>
      <w:r w:rsidRPr="00250590">
        <w:rPr>
          <w:rFonts w:cs="Arial"/>
          <w:lang w:val="en-US"/>
        </w:rPr>
        <w:t>International Monetary Fund and the World Bank</w:t>
      </w:r>
      <w:r>
        <w:rPr>
          <w:rFonts w:cs="Arial"/>
          <w:lang w:val="en-US"/>
        </w:rPr>
        <w:t xml:space="preserve"> were founded with the intention to reduce barriers in the banking industry between different countries, that emerged after the Great Depression in the 1930s</w:t>
      </w:r>
      <w:r w:rsidRPr="00250590">
        <w:rPr>
          <w:rFonts w:cs="Arial"/>
          <w:lang w:val="en-US"/>
        </w:rPr>
        <w:t>.</w:t>
      </w:r>
      <w:r>
        <w:rPr>
          <w:rFonts w:cs="Arial"/>
          <w:lang w:val="en-US"/>
        </w:rPr>
        <w:t xml:space="preserve"> During this time banks implemented technological components in retail banking. For instance in 1967, British banks installed the first Automated Teller Machines (ATM), which enabled to perform financial transactions without the presence of banking staff. </w:t>
      </w:r>
      <w:r w:rsidRPr="000F555C">
        <w:rPr>
          <w:rFonts w:cs="Arial"/>
          <w:lang w:val="en-US"/>
        </w:rPr>
        <w:t>This process turned out to be highly profitable, hence banking c</w:t>
      </w:r>
      <w:r>
        <w:rPr>
          <w:rFonts w:cs="Arial"/>
          <w:lang w:val="en-US"/>
        </w:rPr>
        <w:t>orporations began to invest in technology and introduced electronic payment systems</w:t>
      </w:r>
      <w:r w:rsidR="009B2F74">
        <w:rPr>
          <w:rFonts w:cs="Arial"/>
          <w:lang w:val="en-US"/>
        </w:rPr>
        <w:t xml:space="preserve"> </w:t>
      </w:r>
      <w:sdt>
        <w:sdtPr>
          <w:rPr>
            <w:rFonts w:cs="Arial"/>
            <w:lang w:val="en-US"/>
          </w:rPr>
          <w:id w:val="-427119405"/>
          <w:citation/>
        </w:sdtPr>
        <w:sdtEndPr/>
        <w:sdtContent>
          <w:r w:rsidR="009B2F74">
            <w:rPr>
              <w:rFonts w:cs="Arial"/>
              <w:lang w:val="en-US"/>
            </w:rPr>
            <w:fldChar w:fldCharType="begin"/>
          </w:r>
          <w:r w:rsidR="009B2F74" w:rsidRPr="009B2F74">
            <w:rPr>
              <w:rFonts w:cs="Arial"/>
              <w:lang w:val="en-US"/>
            </w:rPr>
            <w:instrText xml:space="preserve"> CITATION Bát15 \l 3079 </w:instrText>
          </w:r>
          <w:r w:rsidR="009B2F74">
            <w:rPr>
              <w:rFonts w:cs="Arial"/>
              <w:lang w:val="en-US"/>
            </w:rPr>
            <w:fldChar w:fldCharType="separate"/>
          </w:r>
          <w:r w:rsidR="009B2F74" w:rsidRPr="009B2F74">
            <w:rPr>
              <w:rFonts w:cs="Arial"/>
              <w:noProof/>
              <w:lang w:val="en-US"/>
            </w:rPr>
            <w:t>(Bátiz-Lazo, 2015)</w:t>
          </w:r>
          <w:r w:rsidR="009B2F74">
            <w:rPr>
              <w:rFonts w:cs="Arial"/>
              <w:lang w:val="en-US"/>
            </w:rPr>
            <w:fldChar w:fldCharType="end"/>
          </w:r>
        </w:sdtContent>
      </w:sdt>
      <w:r>
        <w:rPr>
          <w:rFonts w:cs="Arial"/>
          <w:lang w:val="en-US"/>
        </w:rPr>
        <w:t>.</w:t>
      </w:r>
    </w:p>
    <w:p w14:paraId="5EB0EAC9" w14:textId="4370335D" w:rsidR="00481202" w:rsidRDefault="00481202" w:rsidP="00481202">
      <w:pPr>
        <w:spacing w:line="360" w:lineRule="auto"/>
        <w:rPr>
          <w:rFonts w:cs="Arial"/>
          <w:lang w:val="en-US"/>
        </w:rPr>
      </w:pPr>
      <w:r>
        <w:rPr>
          <w:rFonts w:cs="Arial"/>
          <w:lang w:val="en-US"/>
        </w:rPr>
        <w:t xml:space="preserve">By the beginning of the 1970s the gold supply owned by the United States was not sufficient anymore and could not cover the number of dollars in circulation, which eventually led to the breakdown of the Bretton-Woods-System in 1973 </w:t>
      </w:r>
      <w:sdt>
        <w:sdtPr>
          <w:rPr>
            <w:rFonts w:cs="Arial"/>
            <w:lang w:val="en-US"/>
          </w:rPr>
          <w:id w:val="-1437976956"/>
          <w:citation/>
        </w:sdtPr>
        <w:sdtEndPr/>
        <w:sdtContent>
          <w:r w:rsidR="002724D6">
            <w:rPr>
              <w:rFonts w:cs="Arial"/>
              <w:lang w:val="en-US"/>
            </w:rPr>
            <w:fldChar w:fldCharType="begin"/>
          </w:r>
          <w:r w:rsidR="00D448FE">
            <w:rPr>
              <w:rFonts w:cs="Arial"/>
              <w:lang w:val="en-US"/>
            </w:rPr>
            <w:instrText xml:space="preserve">CITATION Che19 \l 3079 </w:instrText>
          </w:r>
          <w:r w:rsidR="002724D6">
            <w:rPr>
              <w:rFonts w:cs="Arial"/>
              <w:lang w:val="en-US"/>
            </w:rPr>
            <w:fldChar w:fldCharType="separate"/>
          </w:r>
          <w:r w:rsidR="00D448FE" w:rsidRPr="00D448FE">
            <w:rPr>
              <w:rFonts w:cs="Arial"/>
              <w:noProof/>
              <w:lang w:val="en-US"/>
            </w:rPr>
            <w:t>(Chen, 2019)</w:t>
          </w:r>
          <w:r w:rsidR="002724D6">
            <w:rPr>
              <w:rFonts w:cs="Arial"/>
              <w:lang w:val="en-US"/>
            </w:rPr>
            <w:fldChar w:fldCharType="end"/>
          </w:r>
        </w:sdtContent>
      </w:sdt>
      <w:r>
        <w:rPr>
          <w:rFonts w:cs="Arial"/>
          <w:lang w:val="en-US"/>
        </w:rPr>
        <w:t>.</w:t>
      </w:r>
    </w:p>
    <w:p w14:paraId="442C18D4" w14:textId="18F0B30A" w:rsidR="00481202" w:rsidRDefault="00481202" w:rsidP="00481202">
      <w:pPr>
        <w:spacing w:line="360" w:lineRule="auto"/>
        <w:rPr>
          <w:rFonts w:cs="Arial"/>
          <w:lang w:val="en-US"/>
        </w:rPr>
      </w:pPr>
      <w:r>
        <w:rPr>
          <w:rFonts w:cs="Arial"/>
          <w:lang w:val="en-US"/>
        </w:rPr>
        <w:t xml:space="preserve">Just like a lot of other economic sectors the banking industry was also effected by developments around the deregulation process. Financial institutions provided services globally and could access capital markets in new ways. Furthermore the universal banks increased their banking service supply as well. Home banking was developed and offered a new, more comfortable way to perform financial transactions. </w:t>
      </w:r>
      <w:r w:rsidRPr="0020044C">
        <w:rPr>
          <w:rFonts w:cs="Arial"/>
          <w:lang w:val="en-US"/>
        </w:rPr>
        <w:t xml:space="preserve">Especially one novel service named Pay-by-phone </w:t>
      </w:r>
      <w:r>
        <w:rPr>
          <w:rFonts w:cs="Arial"/>
          <w:lang w:val="en-US"/>
        </w:rPr>
        <w:t xml:space="preserve">got widely used, however other sorts of interaction possibilities, like the Personal Computer, were tested as well. In 1989 the first precursor of a direct bank, named First Direct, was launched and provided banking services by phone. The introduction of the debit card even changed point-of-sale services as customers could make a purchase in a store while the corresponding withdrawal was performed simultaneously </w:t>
      </w:r>
      <w:sdt>
        <w:sdtPr>
          <w:rPr>
            <w:rFonts w:cs="Arial"/>
            <w:lang w:val="en-US"/>
          </w:rPr>
          <w:id w:val="-169867862"/>
          <w:citation/>
        </w:sdtPr>
        <w:sdtEndPr/>
        <w:sdtContent>
          <w:r w:rsidR="000735DB">
            <w:rPr>
              <w:rFonts w:cs="Arial"/>
              <w:lang w:val="en-US"/>
            </w:rPr>
            <w:fldChar w:fldCharType="begin"/>
          </w:r>
          <w:r w:rsidR="00D448FE">
            <w:rPr>
              <w:rFonts w:cs="Arial"/>
              <w:lang w:val="en-US"/>
            </w:rPr>
            <w:instrText xml:space="preserve">CITATION Joh83 \l 3079 </w:instrText>
          </w:r>
          <w:r w:rsidR="000735DB">
            <w:rPr>
              <w:rFonts w:cs="Arial"/>
              <w:lang w:val="en-US"/>
            </w:rPr>
            <w:fldChar w:fldCharType="separate"/>
          </w:r>
          <w:r w:rsidR="00D448FE" w:rsidRPr="00D448FE">
            <w:rPr>
              <w:rFonts w:cs="Arial"/>
              <w:noProof/>
              <w:lang w:val="en-US"/>
            </w:rPr>
            <w:t>(Johnson, 1983)</w:t>
          </w:r>
          <w:r w:rsidR="000735DB">
            <w:rPr>
              <w:rFonts w:cs="Arial"/>
              <w:lang w:val="en-US"/>
            </w:rPr>
            <w:fldChar w:fldCharType="end"/>
          </w:r>
        </w:sdtContent>
      </w:sdt>
      <w:r>
        <w:rPr>
          <w:rFonts w:cs="Arial"/>
          <w:lang w:val="en-US"/>
        </w:rPr>
        <w:t>. In the beginning debit card users had to pay a monthly fee, which for instance added up to less than 3 Dollars for clients of Wells Fargo in the United States. Soon the merchants recognized the advantages of debit cards and bore those charges.</w:t>
      </w:r>
    </w:p>
    <w:p w14:paraId="6AC167DC" w14:textId="4CB78EF4" w:rsidR="00481202" w:rsidRDefault="00481202" w:rsidP="00481202">
      <w:pPr>
        <w:spacing w:line="360" w:lineRule="auto"/>
        <w:rPr>
          <w:rFonts w:cs="Arial"/>
          <w:lang w:val="en-US"/>
        </w:rPr>
      </w:pPr>
      <w:r>
        <w:rPr>
          <w:rFonts w:cs="Arial"/>
          <w:lang w:val="en-US"/>
        </w:rPr>
        <w:t>During the 1990s and the beginning of the 21</w:t>
      </w:r>
      <w:r w:rsidRPr="001C5EC8">
        <w:rPr>
          <w:rFonts w:cs="Arial"/>
          <w:vertAlign w:val="superscript"/>
          <w:lang w:val="en-US"/>
        </w:rPr>
        <w:t>st</w:t>
      </w:r>
      <w:r>
        <w:rPr>
          <w:rFonts w:cs="Arial"/>
          <w:lang w:val="en-US"/>
        </w:rPr>
        <w:t xml:space="preserve"> century the technological progress affected the banking industry significantly. At that time interactive banking on the web, better known as online banking, evolved and emerged a flexible way of managing financial businesses reclusively. These developments came along with new challenges regarding online security issues and </w:t>
      </w:r>
      <w:r w:rsidRPr="0003701B">
        <w:rPr>
          <w:rFonts w:cs="Arial"/>
          <w:lang w:val="en-US"/>
        </w:rPr>
        <w:t>increased the competition among financial institution</w:t>
      </w:r>
      <w:r>
        <w:rPr>
          <w:rFonts w:cs="Arial"/>
          <w:lang w:val="en-US"/>
        </w:rPr>
        <w:t xml:space="preserve">s, which resulted in a drop of cost advantages of banks. As a consequence, the banks started to focus on </w:t>
      </w:r>
      <w:r w:rsidRPr="00DA61F2">
        <w:rPr>
          <w:rFonts w:cs="Arial"/>
          <w:lang w:val="en-US"/>
        </w:rPr>
        <w:t>fee and commission bearing services</w:t>
      </w:r>
      <w:r>
        <w:rPr>
          <w:rFonts w:cs="Arial"/>
          <w:lang w:val="en-US"/>
        </w:rPr>
        <w:t xml:space="preserve">. </w:t>
      </w:r>
      <w:r w:rsidRPr="00FB6EB2">
        <w:rPr>
          <w:rFonts w:cs="Arial"/>
          <w:lang w:val="en-US"/>
        </w:rPr>
        <w:t>In Europe, noninterest income has increased from 26% to 41% of total income between 1989 and 1998</w:t>
      </w:r>
      <w:r>
        <w:rPr>
          <w:rFonts w:cs="Arial"/>
          <w:lang w:val="en-US"/>
        </w:rPr>
        <w:t xml:space="preserve">. </w:t>
      </w:r>
      <w:sdt>
        <w:sdtPr>
          <w:rPr>
            <w:rFonts w:cs="Arial"/>
            <w:lang w:val="en-US"/>
          </w:rPr>
          <w:id w:val="973642995"/>
          <w:citation/>
        </w:sdtPr>
        <w:sdtEndPr/>
        <w:sdtContent>
          <w:r w:rsidR="00722B09">
            <w:rPr>
              <w:rFonts w:cs="Arial"/>
              <w:lang w:val="en-US"/>
            </w:rPr>
            <w:fldChar w:fldCharType="begin"/>
          </w:r>
          <w:r w:rsidR="00722B09" w:rsidRPr="00D75AB6">
            <w:rPr>
              <w:rFonts w:cs="Arial"/>
              <w:lang w:val="en-US"/>
            </w:rPr>
            <w:instrText xml:space="preserve"> CITATION Voz18 \l 3079 </w:instrText>
          </w:r>
          <w:r w:rsidR="00722B09">
            <w:rPr>
              <w:rFonts w:cs="Arial"/>
              <w:lang w:val="en-US"/>
            </w:rPr>
            <w:fldChar w:fldCharType="separate"/>
          </w:r>
          <w:r w:rsidR="00722B09" w:rsidRPr="00722B09">
            <w:rPr>
              <w:rFonts w:cs="Arial"/>
              <w:noProof/>
            </w:rPr>
            <w:t>(Vozková &amp; Teplý, 2018)</w:t>
          </w:r>
          <w:r w:rsidR="00722B09">
            <w:rPr>
              <w:rFonts w:cs="Arial"/>
              <w:lang w:val="en-US"/>
            </w:rPr>
            <w:fldChar w:fldCharType="end"/>
          </w:r>
        </w:sdtContent>
      </w:sdt>
    </w:p>
    <w:p w14:paraId="18BA63E0" w14:textId="77777777" w:rsidR="00481202" w:rsidRDefault="00481202" w:rsidP="00FB58FC">
      <w:pPr>
        <w:pStyle w:val="berschrift2"/>
        <w:rPr>
          <w:lang w:val="en-US"/>
        </w:rPr>
      </w:pPr>
      <w:bookmarkStart w:id="13" w:name="_Toc42077739"/>
      <w:r>
        <w:rPr>
          <w:lang w:val="en-US"/>
        </w:rPr>
        <w:lastRenderedPageBreak/>
        <w:t>Banking In The 21</w:t>
      </w:r>
      <w:r w:rsidRPr="001B24DC">
        <w:rPr>
          <w:vertAlign w:val="superscript"/>
          <w:lang w:val="en-US"/>
        </w:rPr>
        <w:t>st</w:t>
      </w:r>
      <w:r>
        <w:rPr>
          <w:lang w:val="en-US"/>
        </w:rPr>
        <w:t xml:space="preserve"> Century</w:t>
      </w:r>
      <w:bookmarkEnd w:id="13"/>
    </w:p>
    <w:p w14:paraId="41965301" w14:textId="1EF296A1" w:rsidR="00481202" w:rsidRDefault="00481202" w:rsidP="00481202">
      <w:pPr>
        <w:spacing w:line="360" w:lineRule="auto"/>
        <w:rPr>
          <w:rFonts w:cs="Arial"/>
          <w:lang w:val="en-US"/>
        </w:rPr>
      </w:pPr>
      <w:r>
        <w:rPr>
          <w:rFonts w:cs="Arial"/>
          <w:lang w:val="en-US"/>
        </w:rPr>
        <w:t>In the beginning of the 21</w:t>
      </w:r>
      <w:r w:rsidRPr="00E573CC">
        <w:rPr>
          <w:rFonts w:cs="Arial"/>
          <w:vertAlign w:val="superscript"/>
          <w:lang w:val="en-US"/>
        </w:rPr>
        <w:t>st</w:t>
      </w:r>
      <w:r>
        <w:rPr>
          <w:rFonts w:cs="Arial"/>
          <w:lang w:val="en-US"/>
        </w:rPr>
        <w:t xml:space="preserve"> century it was noticeably easy to take out a loan which was secured by a mortgage in the United States. And since the real estate prices increased consistently mortgages were not considered risky. However, the banks bonded these mortgages and created a new financial product, named subprime mortgage bonds, which received a low risk rating and were traded on the stock market. Towards 2007 more and more mortgage payments defaulted and in 2008 the US housing market collapsed. Big investment banks like Lehman Brothers shut down and the corresponding global banking crisis is considered to be the worst since the Great Depression in 1929</w:t>
      </w:r>
      <w:r w:rsidR="00806215">
        <w:rPr>
          <w:rFonts w:cs="Arial"/>
          <w:lang w:val="en-US"/>
        </w:rPr>
        <w:t xml:space="preserve"> </w:t>
      </w:r>
      <w:sdt>
        <w:sdtPr>
          <w:rPr>
            <w:rFonts w:cs="Arial"/>
            <w:lang w:val="en-US"/>
          </w:rPr>
          <w:id w:val="500621302"/>
          <w:citation/>
        </w:sdtPr>
        <w:sdtEndPr/>
        <w:sdtContent>
          <w:r w:rsidR="00806215">
            <w:rPr>
              <w:rFonts w:cs="Arial"/>
              <w:lang w:val="en-US"/>
            </w:rPr>
            <w:fldChar w:fldCharType="begin"/>
          </w:r>
          <w:r w:rsidR="00D448FE">
            <w:rPr>
              <w:rFonts w:cs="Arial"/>
              <w:lang w:val="en-US"/>
            </w:rPr>
            <w:instrText xml:space="preserve">CITATION Fin20 \l 3079 </w:instrText>
          </w:r>
          <w:r w:rsidR="00806215">
            <w:rPr>
              <w:rFonts w:cs="Arial"/>
              <w:lang w:val="en-US"/>
            </w:rPr>
            <w:fldChar w:fldCharType="separate"/>
          </w:r>
          <w:r w:rsidR="00D448FE" w:rsidRPr="00D448FE">
            <w:rPr>
              <w:rFonts w:cs="Arial"/>
              <w:noProof/>
              <w:lang w:val="en-US"/>
            </w:rPr>
            <w:t>(Wikipedia Contributors, 2020)</w:t>
          </w:r>
          <w:r w:rsidR="00806215">
            <w:rPr>
              <w:rFonts w:cs="Arial"/>
              <w:lang w:val="en-US"/>
            </w:rPr>
            <w:fldChar w:fldCharType="end"/>
          </w:r>
        </w:sdtContent>
      </w:sdt>
      <w:r>
        <w:rPr>
          <w:rFonts w:cs="Arial"/>
          <w:lang w:val="en-US"/>
        </w:rPr>
        <w:t>. The European dept crisis followed in 2009 and affected several countries, that were part of the eurozone. The states could not settle their liabilities, hence supranational institutions, like the International Monetary Fund, had to intervene.</w:t>
      </w:r>
    </w:p>
    <w:p w14:paraId="3EFB23E8" w14:textId="6FAB862B" w:rsidR="00481202" w:rsidRDefault="00481202" w:rsidP="00481202">
      <w:pPr>
        <w:spacing w:line="360" w:lineRule="auto"/>
        <w:rPr>
          <w:rFonts w:cs="Arial"/>
          <w:lang w:val="en-US"/>
        </w:rPr>
      </w:pPr>
      <w:r>
        <w:rPr>
          <w:rFonts w:cs="Arial"/>
          <w:lang w:val="en-US"/>
        </w:rPr>
        <w:t xml:space="preserve">As a result the number of banks, bank branches and employees in banking significantly decreased relative to economic activity and population. </w:t>
      </w:r>
      <w:r w:rsidR="0087002A">
        <w:rPr>
          <w:rFonts w:cs="Arial"/>
          <w:lang w:val="en-US"/>
        </w:rPr>
        <w:fldChar w:fldCharType="begin"/>
      </w:r>
      <w:r w:rsidR="0087002A">
        <w:rPr>
          <w:rFonts w:cs="Arial"/>
          <w:lang w:val="en-US"/>
        </w:rPr>
        <w:instrText xml:space="preserve"> REF _Ref41984773 \h </w:instrText>
      </w:r>
      <w:r w:rsidR="0087002A">
        <w:rPr>
          <w:rFonts w:cs="Arial"/>
          <w:lang w:val="en-US"/>
        </w:rPr>
      </w:r>
      <w:r w:rsidR="0087002A">
        <w:rPr>
          <w:rFonts w:cs="Arial"/>
          <w:lang w:val="en-US"/>
        </w:rPr>
        <w:fldChar w:fldCharType="separate"/>
      </w:r>
      <w:r w:rsidR="00B75C93" w:rsidRPr="00F638E6">
        <w:rPr>
          <w:lang w:val="en-US"/>
        </w:rPr>
        <w:t xml:space="preserve">Figure </w:t>
      </w:r>
      <w:r w:rsidR="00B75C93">
        <w:rPr>
          <w:noProof/>
          <w:lang w:val="en-US"/>
        </w:rPr>
        <w:t>1</w:t>
      </w:r>
      <w:r w:rsidR="0087002A">
        <w:rPr>
          <w:rFonts w:cs="Arial"/>
          <w:lang w:val="en-US"/>
        </w:rPr>
        <w:fldChar w:fldCharType="end"/>
      </w:r>
      <w:r>
        <w:rPr>
          <w:rFonts w:cs="Arial"/>
          <w:lang w:val="en-US"/>
        </w:rPr>
        <w:t xml:space="preserve"> shows the development of bank branches in Germany, the biggest banking market in Europe, after the financial crisis in 2008. However, the decreasing tendency cannot be attributed to the crisis on its own, since the digitalization is considered </w:t>
      </w:r>
      <w:r w:rsidR="000E7BAC">
        <w:rPr>
          <w:rFonts w:cs="Arial"/>
          <w:lang w:val="en-US"/>
        </w:rPr>
        <w:t xml:space="preserve">highly </w:t>
      </w:r>
      <w:r>
        <w:rPr>
          <w:rFonts w:cs="Arial"/>
          <w:lang w:val="en-US"/>
        </w:rPr>
        <w:t>relevant as well.</w:t>
      </w:r>
    </w:p>
    <w:p w14:paraId="6CEA6E31" w14:textId="77777777" w:rsidR="00F638E6" w:rsidRDefault="00481202" w:rsidP="00F638E6">
      <w:pPr>
        <w:keepNext/>
        <w:spacing w:line="360" w:lineRule="auto"/>
      </w:pPr>
      <w:r>
        <w:rPr>
          <w:rFonts w:cs="Arial"/>
          <w:noProof/>
          <w:lang w:val="en-US"/>
        </w:rPr>
        <w:drawing>
          <wp:inline distT="0" distB="0" distL="0" distR="0" wp14:anchorId="550037EA" wp14:editId="41EC0CC0">
            <wp:extent cx="5486400" cy="3200400"/>
            <wp:effectExtent l="0" t="0" r="0" b="0"/>
            <wp:docPr id="3" name="Diagram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39D4D41" w14:textId="30BD8110" w:rsidR="00481202" w:rsidRPr="00F638E6" w:rsidRDefault="00F638E6" w:rsidP="00F638E6">
      <w:pPr>
        <w:pStyle w:val="Beschriftung"/>
        <w:jc w:val="center"/>
        <w:rPr>
          <w:rFonts w:cs="Arial"/>
          <w:color w:val="auto"/>
          <w:lang w:val="en-US"/>
        </w:rPr>
      </w:pPr>
      <w:bookmarkStart w:id="14" w:name="_Ref41984773"/>
      <w:bookmarkStart w:id="15" w:name="_Toc39006157"/>
      <w:bookmarkStart w:id="16" w:name="_Toc42077592"/>
      <w:r w:rsidRPr="00F638E6">
        <w:rPr>
          <w:color w:val="auto"/>
          <w:lang w:val="en-US"/>
        </w:rPr>
        <w:t xml:space="preserve">Figure </w:t>
      </w:r>
      <w:r w:rsidRPr="00F638E6">
        <w:rPr>
          <w:color w:val="auto"/>
        </w:rPr>
        <w:fldChar w:fldCharType="begin"/>
      </w:r>
      <w:r w:rsidRPr="00F638E6">
        <w:rPr>
          <w:color w:val="auto"/>
          <w:lang w:val="en-US"/>
        </w:rPr>
        <w:instrText xml:space="preserve"> SEQ Figure \* ARABIC </w:instrText>
      </w:r>
      <w:r w:rsidRPr="00F638E6">
        <w:rPr>
          <w:color w:val="auto"/>
        </w:rPr>
        <w:fldChar w:fldCharType="separate"/>
      </w:r>
      <w:r w:rsidR="00B75C93">
        <w:rPr>
          <w:noProof/>
          <w:color w:val="auto"/>
          <w:lang w:val="en-US"/>
        </w:rPr>
        <w:t>1</w:t>
      </w:r>
      <w:r w:rsidRPr="00F638E6">
        <w:rPr>
          <w:color w:val="auto"/>
        </w:rPr>
        <w:fldChar w:fldCharType="end"/>
      </w:r>
      <w:bookmarkEnd w:id="14"/>
      <w:r w:rsidRPr="00F638E6">
        <w:rPr>
          <w:color w:val="auto"/>
          <w:lang w:val="en-US"/>
        </w:rPr>
        <w:t xml:space="preserve">: Banking Branches In Germany </w:t>
      </w:r>
      <w:sdt>
        <w:sdtPr>
          <w:rPr>
            <w:color w:val="auto"/>
            <w:lang w:val="en-US"/>
          </w:rPr>
          <w:id w:val="1471246743"/>
          <w:citation/>
        </w:sdtPr>
        <w:sdtEndPr/>
        <w:sdtContent>
          <w:r w:rsidRPr="00F638E6">
            <w:rPr>
              <w:color w:val="auto"/>
              <w:lang w:val="en-US"/>
            </w:rPr>
            <w:fldChar w:fldCharType="begin"/>
          </w:r>
          <w:r w:rsidRPr="00AE271C">
            <w:rPr>
              <w:color w:val="auto"/>
              <w:lang w:val="en-US"/>
            </w:rPr>
            <w:instrText xml:space="preserve"> CITATION Ban191 \l 3079 </w:instrText>
          </w:r>
          <w:r w:rsidRPr="00F638E6">
            <w:rPr>
              <w:color w:val="auto"/>
              <w:lang w:val="en-US"/>
            </w:rPr>
            <w:fldChar w:fldCharType="separate"/>
          </w:r>
          <w:r w:rsidRPr="00AE271C">
            <w:rPr>
              <w:noProof/>
              <w:color w:val="auto"/>
              <w:lang w:val="en-US"/>
            </w:rPr>
            <w:t>(Bankenverband, 2019)</w:t>
          </w:r>
          <w:r w:rsidRPr="00F638E6">
            <w:rPr>
              <w:color w:val="auto"/>
              <w:lang w:val="en-US"/>
            </w:rPr>
            <w:fldChar w:fldCharType="end"/>
          </w:r>
        </w:sdtContent>
      </w:sdt>
      <w:bookmarkEnd w:id="15"/>
      <w:bookmarkEnd w:id="16"/>
    </w:p>
    <w:p w14:paraId="653616F5" w14:textId="61B6BE02" w:rsidR="0055597A" w:rsidRDefault="00481202" w:rsidP="0001640B">
      <w:pPr>
        <w:spacing w:line="360" w:lineRule="auto"/>
        <w:rPr>
          <w:rFonts w:cs="Arial"/>
          <w:lang w:val="en-US"/>
        </w:rPr>
      </w:pPr>
      <w:r>
        <w:rPr>
          <w:rFonts w:cs="Arial"/>
          <w:lang w:val="en-US"/>
        </w:rPr>
        <w:t>Moreover financial institutes started to noticeably raise their capital reserve and liquidity buffers. Another trend showed that advanced economy banks adjusted their business models and reclaimed traditional commercial banking instead of complex trading models</w:t>
      </w:r>
      <w:r w:rsidR="00823F18">
        <w:rPr>
          <w:rFonts w:cs="Arial"/>
          <w:lang w:val="en-US"/>
        </w:rPr>
        <w:t xml:space="preserve"> </w:t>
      </w:r>
      <w:sdt>
        <w:sdtPr>
          <w:rPr>
            <w:rFonts w:cs="Arial"/>
            <w:lang w:val="en-US"/>
          </w:rPr>
          <w:id w:val="431639589"/>
          <w:citation/>
        </w:sdtPr>
        <w:sdtEndPr/>
        <w:sdtContent>
          <w:r w:rsidR="00823F18">
            <w:rPr>
              <w:rFonts w:cs="Arial"/>
              <w:lang w:val="en-US"/>
            </w:rPr>
            <w:fldChar w:fldCharType="begin"/>
          </w:r>
          <w:r w:rsidR="00823F18" w:rsidRPr="00823F18">
            <w:rPr>
              <w:rFonts w:cs="Arial"/>
              <w:lang w:val="en-US"/>
            </w:rPr>
            <w:instrText xml:space="preserve"> CITATION Buc18 \l 3079 </w:instrText>
          </w:r>
          <w:r w:rsidR="00823F18">
            <w:rPr>
              <w:rFonts w:cs="Arial"/>
              <w:lang w:val="en-US"/>
            </w:rPr>
            <w:fldChar w:fldCharType="separate"/>
          </w:r>
          <w:r w:rsidR="00823F18" w:rsidRPr="00823F18">
            <w:rPr>
              <w:rFonts w:cs="Arial"/>
              <w:noProof/>
              <w:lang w:val="en-US"/>
            </w:rPr>
            <w:t>(Buch &amp; Dages, 2018)</w:t>
          </w:r>
          <w:r w:rsidR="00823F18">
            <w:rPr>
              <w:rFonts w:cs="Arial"/>
              <w:lang w:val="en-US"/>
            </w:rPr>
            <w:fldChar w:fldCharType="end"/>
          </w:r>
        </w:sdtContent>
      </w:sdt>
      <w:r>
        <w:rPr>
          <w:rFonts w:cs="Arial"/>
          <w:lang w:val="en-US"/>
        </w:rPr>
        <w:t xml:space="preserve">. </w:t>
      </w:r>
    </w:p>
    <w:p w14:paraId="1D4A3D69" w14:textId="77777777" w:rsidR="00481202" w:rsidRPr="00004FA6" w:rsidRDefault="00481202" w:rsidP="0001640B">
      <w:pPr>
        <w:pStyle w:val="berschrift1"/>
        <w:rPr>
          <w:lang w:val="en-US"/>
        </w:rPr>
      </w:pPr>
      <w:bookmarkStart w:id="17" w:name="_Toc42077740"/>
      <w:r w:rsidRPr="00004FA6">
        <w:rPr>
          <w:lang w:val="en-US"/>
        </w:rPr>
        <w:lastRenderedPageBreak/>
        <w:t>Banking in Europe</w:t>
      </w:r>
      <w:bookmarkEnd w:id="17"/>
    </w:p>
    <w:p w14:paraId="44229938" w14:textId="77777777" w:rsidR="00481202" w:rsidRPr="001C6D59" w:rsidRDefault="00481202" w:rsidP="00481202">
      <w:pPr>
        <w:spacing w:line="360" w:lineRule="auto"/>
        <w:rPr>
          <w:rFonts w:cs="Arial"/>
          <w:lang w:val="en-US"/>
        </w:rPr>
      </w:pPr>
      <w:r>
        <w:rPr>
          <w:rFonts w:cs="Arial"/>
          <w:lang w:val="en-US"/>
        </w:rPr>
        <w:t xml:space="preserve">The following chapter deals with the banking industry in the European Union, especially in Austria, and discusses different types of banks. </w:t>
      </w:r>
    </w:p>
    <w:p w14:paraId="7E5CDC65" w14:textId="7390BC44" w:rsidR="00481202" w:rsidRDefault="00481202" w:rsidP="00D71499">
      <w:pPr>
        <w:pStyle w:val="berschrift2"/>
        <w:rPr>
          <w:lang w:val="en-US"/>
        </w:rPr>
      </w:pPr>
      <w:bookmarkStart w:id="18" w:name="_Ref40386955"/>
      <w:bookmarkStart w:id="19" w:name="_Toc42077741"/>
      <w:r>
        <w:rPr>
          <w:lang w:val="en-US"/>
        </w:rPr>
        <w:t>Types Of Banking Institutions</w:t>
      </w:r>
      <w:bookmarkEnd w:id="18"/>
      <w:bookmarkEnd w:id="19"/>
    </w:p>
    <w:p w14:paraId="4B8013D7" w14:textId="1CD20476" w:rsidR="00481202" w:rsidRDefault="00481202" w:rsidP="00481202">
      <w:pPr>
        <w:spacing w:line="360" w:lineRule="auto"/>
        <w:rPr>
          <w:rFonts w:cs="Arial"/>
          <w:lang w:val="en-US"/>
        </w:rPr>
      </w:pPr>
      <w:r>
        <w:rPr>
          <w:rFonts w:cs="Arial"/>
          <w:lang w:val="en-US"/>
        </w:rPr>
        <w:t xml:space="preserve">As already mentioned in chapter </w:t>
      </w:r>
      <w:r w:rsidR="000835D9" w:rsidRPr="00342B92">
        <w:rPr>
          <w:rFonts w:cs="Arial"/>
          <w:u w:val="single"/>
          <w:lang w:val="en-US"/>
        </w:rPr>
        <w:fldChar w:fldCharType="begin"/>
      </w:r>
      <w:r w:rsidR="000835D9" w:rsidRPr="00342B92">
        <w:rPr>
          <w:rFonts w:cs="Arial"/>
          <w:u w:val="single"/>
          <w:lang w:val="en-US"/>
        </w:rPr>
        <w:instrText xml:space="preserve"> REF _Ref40386911 \r \h </w:instrText>
      </w:r>
      <w:r w:rsidR="000835D9" w:rsidRPr="00342B92">
        <w:rPr>
          <w:rFonts w:cs="Arial"/>
          <w:u w:val="single"/>
          <w:lang w:val="en-US"/>
        </w:rPr>
      </w:r>
      <w:r w:rsidR="000835D9" w:rsidRPr="00342B92">
        <w:rPr>
          <w:rFonts w:cs="Arial"/>
          <w:u w:val="single"/>
          <w:lang w:val="en-US"/>
        </w:rPr>
        <w:fldChar w:fldCharType="separate"/>
      </w:r>
      <w:r w:rsidR="00B75C93">
        <w:rPr>
          <w:rFonts w:cs="Arial"/>
          <w:u w:val="single"/>
          <w:lang w:val="en-US"/>
        </w:rPr>
        <w:t>3.1</w:t>
      </w:r>
      <w:r w:rsidR="000835D9" w:rsidRPr="00342B92">
        <w:rPr>
          <w:rFonts w:cs="Arial"/>
          <w:u w:val="single"/>
          <w:lang w:val="en-US"/>
        </w:rPr>
        <w:fldChar w:fldCharType="end"/>
      </w:r>
      <w:r w:rsidR="000835D9">
        <w:rPr>
          <w:rFonts w:cs="Arial"/>
          <w:lang w:val="en-US"/>
        </w:rPr>
        <w:t xml:space="preserve"> </w:t>
      </w:r>
      <w:r>
        <w:rPr>
          <w:rFonts w:cs="Arial"/>
          <w:lang w:val="en-US"/>
        </w:rPr>
        <w:t xml:space="preserve">a bank typically closes the gap between </w:t>
      </w:r>
      <w:r w:rsidRPr="001C6D59">
        <w:rPr>
          <w:rFonts w:cs="Arial"/>
          <w:lang w:val="en-US"/>
        </w:rPr>
        <w:t>individuals who want to save their money in a secure place and those who need to borrow money</w:t>
      </w:r>
      <w:r>
        <w:rPr>
          <w:rFonts w:cs="Arial"/>
          <w:lang w:val="en-US"/>
        </w:rPr>
        <w:t>, while offering a few more services. However, banks can be classified based on their clients and services. The following classification might apply to banks globally, though it is primarily based on the European banking market. Since central banks have a sovereign position and control monetary policy issues as well as the amount of money in circulation, they can be allocated as an independent type of bank</w:t>
      </w:r>
      <w:r w:rsidR="005C31B9">
        <w:rPr>
          <w:rFonts w:cs="Arial"/>
          <w:lang w:val="en-US"/>
        </w:rPr>
        <w:t xml:space="preserve"> and will not be </w:t>
      </w:r>
      <w:r w:rsidR="00144DE1">
        <w:rPr>
          <w:rFonts w:cs="Arial"/>
          <w:lang w:val="en-US"/>
        </w:rPr>
        <w:t>described any further</w:t>
      </w:r>
      <w:r>
        <w:rPr>
          <w:rFonts w:cs="Arial"/>
          <w:lang w:val="en-US"/>
        </w:rPr>
        <w:t>.</w:t>
      </w:r>
    </w:p>
    <w:p w14:paraId="2C647C55" w14:textId="50ADDA4B" w:rsidR="00481202" w:rsidRDefault="00481202" w:rsidP="00481202">
      <w:pPr>
        <w:spacing w:line="360" w:lineRule="auto"/>
        <w:rPr>
          <w:rFonts w:cs="Arial"/>
          <w:lang w:val="en-US"/>
        </w:rPr>
      </w:pPr>
      <w:r>
        <w:rPr>
          <w:rFonts w:cs="Arial"/>
          <w:lang w:val="en-US"/>
        </w:rPr>
        <w:t>A way do differentiate various sorts of banking institutions would be based on the services provided. While universal banks perform several common banking activities, special purpose banks concentrate on one specific subject. For instance a building society offers building savings contracts, thus they often pursue residential funding objectives as well, provide loans and therefore are called savings and loan associations. Credit card companies, like Visa or Mastercard, issue credit and debit cards along with a variety of prepaid cards. A further example for a special purpose bank is the investment bank, which concentrates on trading with bonds and on supporting companies in corporate actions, like in going public processes. Yet another differentiation can be made based on the target group of a banking institutions. While retail banks focus on individuals, commercial banks center businesses and their complex needs. For instance the total number of transactions performed by a company is usually significantly higher than the ones performed by a single customer. Moreover companies generally require flexible credit facilities and have to deal with different currencies when it comes to businesses with clients abroad. However, both, the commercial as well as the retail bank, can usually be identified as universal banks, since they provide multiple services, like issuing credit cards, offering loans and managing transactional along with savings accounts</w:t>
      </w:r>
      <w:r w:rsidR="007D5EBA">
        <w:rPr>
          <w:rFonts w:cs="Arial"/>
          <w:lang w:val="en-US"/>
        </w:rPr>
        <w:t xml:space="preserve"> </w:t>
      </w:r>
      <w:sdt>
        <w:sdtPr>
          <w:rPr>
            <w:rFonts w:cs="Arial"/>
            <w:lang w:val="en-US"/>
          </w:rPr>
          <w:id w:val="1997063229"/>
          <w:citation/>
        </w:sdtPr>
        <w:sdtEndPr/>
        <w:sdtContent>
          <w:r w:rsidR="007D5EBA">
            <w:rPr>
              <w:rFonts w:cs="Arial"/>
              <w:lang w:val="en-US"/>
            </w:rPr>
            <w:fldChar w:fldCharType="begin"/>
          </w:r>
          <w:r w:rsidR="007D5EBA" w:rsidRPr="007D5EBA">
            <w:rPr>
              <w:rFonts w:cs="Arial"/>
              <w:lang w:val="en-US"/>
            </w:rPr>
            <w:instrText xml:space="preserve"> CITATION Pri20 \l 3079 </w:instrText>
          </w:r>
          <w:r w:rsidR="007D5EBA">
            <w:rPr>
              <w:rFonts w:cs="Arial"/>
              <w:lang w:val="en-US"/>
            </w:rPr>
            <w:fldChar w:fldCharType="separate"/>
          </w:r>
          <w:r w:rsidR="007D5EBA" w:rsidRPr="007D5EBA">
            <w:rPr>
              <w:rFonts w:cs="Arial"/>
              <w:noProof/>
              <w:lang w:val="en-US"/>
            </w:rPr>
            <w:t>(Pritchard, 2020)</w:t>
          </w:r>
          <w:r w:rsidR="007D5EBA">
            <w:rPr>
              <w:rFonts w:cs="Arial"/>
              <w:lang w:val="en-US"/>
            </w:rPr>
            <w:fldChar w:fldCharType="end"/>
          </w:r>
        </w:sdtContent>
      </w:sdt>
      <w:r>
        <w:rPr>
          <w:rFonts w:cs="Arial"/>
          <w:lang w:val="en-US"/>
        </w:rPr>
        <w:t>.</w:t>
      </w:r>
    </w:p>
    <w:p w14:paraId="26028559" w14:textId="70D53209" w:rsidR="00481202" w:rsidRDefault="00481202" w:rsidP="00481202">
      <w:pPr>
        <w:spacing w:line="360" w:lineRule="auto"/>
        <w:rPr>
          <w:rFonts w:cs="Arial"/>
          <w:lang w:val="en-US"/>
        </w:rPr>
      </w:pPr>
      <w:r>
        <w:rPr>
          <w:rFonts w:cs="Arial"/>
          <w:lang w:val="en-US"/>
        </w:rPr>
        <w:t>Since this seminar paper deals with the development of banking charges it makes perfectly sense to classify different types of banks based on their accessibility. While conventional traditional banks with a branch network still charge various sorts of fees, direct banks, respectively online banks, mostly do not</w:t>
      </w:r>
      <w:r w:rsidR="005631A1">
        <w:rPr>
          <w:rFonts w:cs="Arial"/>
          <w:lang w:val="en-US"/>
        </w:rPr>
        <w:t xml:space="preserve"> </w:t>
      </w:r>
      <w:sdt>
        <w:sdtPr>
          <w:rPr>
            <w:rFonts w:cs="Arial"/>
            <w:lang w:val="en-US"/>
          </w:rPr>
          <w:id w:val="1865244189"/>
          <w:citation/>
        </w:sdtPr>
        <w:sdtEndPr/>
        <w:sdtContent>
          <w:r w:rsidR="005631A1">
            <w:rPr>
              <w:rFonts w:cs="Arial"/>
              <w:lang w:val="en-US"/>
            </w:rPr>
            <w:fldChar w:fldCharType="begin"/>
          </w:r>
          <w:r w:rsidR="005631A1" w:rsidRPr="005631A1">
            <w:rPr>
              <w:rFonts w:cs="Arial"/>
              <w:lang w:val="en-US"/>
            </w:rPr>
            <w:instrText xml:space="preserve"> CITATION Swo00 \l 3079 </w:instrText>
          </w:r>
          <w:r w:rsidR="005631A1">
            <w:rPr>
              <w:rFonts w:cs="Arial"/>
              <w:lang w:val="en-US"/>
            </w:rPr>
            <w:fldChar w:fldCharType="separate"/>
          </w:r>
          <w:r w:rsidR="005631A1" w:rsidRPr="005631A1">
            <w:rPr>
              <w:rFonts w:cs="Arial"/>
              <w:noProof/>
              <w:lang w:val="en-US"/>
            </w:rPr>
            <w:t>(Swoboda, 2000)</w:t>
          </w:r>
          <w:r w:rsidR="005631A1">
            <w:rPr>
              <w:rFonts w:cs="Arial"/>
              <w:lang w:val="en-US"/>
            </w:rPr>
            <w:fldChar w:fldCharType="end"/>
          </w:r>
        </w:sdtContent>
      </w:sdt>
      <w:r>
        <w:rPr>
          <w:rFonts w:cs="Arial"/>
          <w:lang w:val="en-US"/>
        </w:rPr>
        <w:t>. Therefore the following part addresses these types of banking institutions.</w:t>
      </w:r>
    </w:p>
    <w:p w14:paraId="49C27136" w14:textId="77857EA7" w:rsidR="00481202" w:rsidRDefault="00481202" w:rsidP="009E71A1">
      <w:pPr>
        <w:pStyle w:val="berschrift3"/>
        <w:rPr>
          <w:lang w:val="en-US"/>
        </w:rPr>
      </w:pPr>
      <w:bookmarkStart w:id="20" w:name="_Toc42077742"/>
      <w:r>
        <w:rPr>
          <w:lang w:val="en-US"/>
        </w:rPr>
        <w:t>Traditional Banks</w:t>
      </w:r>
      <w:bookmarkEnd w:id="20"/>
    </w:p>
    <w:p w14:paraId="437E0234" w14:textId="7BEA41BA" w:rsidR="00481202" w:rsidRDefault="00481202" w:rsidP="00481202">
      <w:pPr>
        <w:spacing w:line="360" w:lineRule="auto"/>
        <w:rPr>
          <w:rFonts w:cs="Arial"/>
          <w:lang w:val="en-US"/>
        </w:rPr>
      </w:pPr>
      <w:r>
        <w:rPr>
          <w:rFonts w:cs="Arial"/>
          <w:lang w:val="en-US"/>
        </w:rPr>
        <w:t xml:space="preserve">Distinctive characteristics of traditional banking institutions are the availability of branches as well as the physical presence. Typically traditional banks are headed by central headquarters, </w:t>
      </w:r>
      <w:r>
        <w:rPr>
          <w:rFonts w:cs="Arial"/>
          <w:lang w:val="en-US"/>
        </w:rPr>
        <w:lastRenderedPageBreak/>
        <w:t xml:space="preserve">while having multiple regional administration offices, which are in charge of various branches. Although they often provide their own branded ATMs and offer online banking services, they also focus on personal calls and individual, personal problem solving </w:t>
      </w:r>
      <w:sdt>
        <w:sdtPr>
          <w:rPr>
            <w:rFonts w:cs="Arial"/>
            <w:lang w:val="en-US"/>
          </w:rPr>
          <w:id w:val="1785076889"/>
          <w:citation/>
        </w:sdtPr>
        <w:sdtEndPr/>
        <w:sdtContent>
          <w:r w:rsidR="00850569">
            <w:rPr>
              <w:rFonts w:cs="Arial"/>
              <w:lang w:val="en-US"/>
            </w:rPr>
            <w:fldChar w:fldCharType="begin"/>
          </w:r>
          <w:r w:rsidR="00850569" w:rsidRPr="00850569">
            <w:rPr>
              <w:rFonts w:cs="Arial"/>
              <w:lang w:val="en-US"/>
            </w:rPr>
            <w:instrText xml:space="preserve"> CITATION Swo00 \l 3079 </w:instrText>
          </w:r>
          <w:r w:rsidR="00850569">
            <w:rPr>
              <w:rFonts w:cs="Arial"/>
              <w:lang w:val="en-US"/>
            </w:rPr>
            <w:fldChar w:fldCharType="separate"/>
          </w:r>
          <w:r w:rsidR="00850569" w:rsidRPr="00850569">
            <w:rPr>
              <w:rFonts w:cs="Arial"/>
              <w:noProof/>
              <w:lang w:val="en-US"/>
            </w:rPr>
            <w:t>(Swoboda, 2000)</w:t>
          </w:r>
          <w:r w:rsidR="00850569">
            <w:rPr>
              <w:rFonts w:cs="Arial"/>
              <w:lang w:val="en-US"/>
            </w:rPr>
            <w:fldChar w:fldCharType="end"/>
          </w:r>
        </w:sdtContent>
      </w:sdt>
      <w:r>
        <w:rPr>
          <w:rFonts w:cs="Arial"/>
          <w:lang w:val="en-US"/>
        </w:rPr>
        <w:t>. Eric Rosenberg, journalist at Business Insider, describes the advantages of physical presence of banking institutions as follows:</w:t>
      </w:r>
    </w:p>
    <w:p w14:paraId="542759B5" w14:textId="1BEBE1E7" w:rsidR="00481202" w:rsidRDefault="00481202" w:rsidP="00481202">
      <w:pPr>
        <w:spacing w:line="360" w:lineRule="auto"/>
        <w:ind w:left="567" w:right="567"/>
        <w:rPr>
          <w:rFonts w:cs="Arial"/>
          <w:lang w:val="en-US"/>
        </w:rPr>
      </w:pPr>
      <w:r w:rsidRPr="00C36989">
        <w:rPr>
          <w:rFonts w:cs="Arial"/>
          <w:lang w:val="en-US"/>
        </w:rPr>
        <w:t>Bank branches are places where you can handle all of your banking needs with the assistance of a teller or branch manager. This in-person service is valued by some customers, though it may not be around forever. When you have a bank branch, you know exactly where you can go for help with your accounts.</w:t>
      </w:r>
      <w:r>
        <w:rPr>
          <w:rFonts w:cs="Arial"/>
          <w:lang w:val="en-US"/>
        </w:rPr>
        <w:t xml:space="preserve"> Besides b</w:t>
      </w:r>
      <w:r w:rsidRPr="00D35B74">
        <w:rPr>
          <w:rFonts w:cs="Arial"/>
          <w:lang w:val="en-US"/>
        </w:rPr>
        <w:t>ank branches can offer some other less-commonly needed services, like picking up foreign currency before a trip and notary services.</w:t>
      </w:r>
      <w:r w:rsidR="006B10C7">
        <w:rPr>
          <w:rFonts w:cs="Arial"/>
          <w:lang w:val="en-US"/>
        </w:rPr>
        <w:t xml:space="preserve"> </w:t>
      </w:r>
      <w:sdt>
        <w:sdtPr>
          <w:rPr>
            <w:rFonts w:cs="Arial"/>
            <w:lang w:val="en-US"/>
          </w:rPr>
          <w:id w:val="1769424717"/>
          <w:citation/>
        </w:sdtPr>
        <w:sdtEndPr/>
        <w:sdtContent>
          <w:r w:rsidR="006B10C7">
            <w:rPr>
              <w:rFonts w:cs="Arial"/>
              <w:lang w:val="en-US"/>
            </w:rPr>
            <w:fldChar w:fldCharType="begin"/>
          </w:r>
          <w:r w:rsidR="006B10C7" w:rsidRPr="00D75AB6">
            <w:rPr>
              <w:rFonts w:cs="Arial"/>
              <w:lang w:val="en-US"/>
            </w:rPr>
            <w:instrText xml:space="preserve"> CITATION Ros20 \l 3079 </w:instrText>
          </w:r>
          <w:r w:rsidR="006B10C7">
            <w:rPr>
              <w:rFonts w:cs="Arial"/>
              <w:lang w:val="en-US"/>
            </w:rPr>
            <w:fldChar w:fldCharType="separate"/>
          </w:r>
          <w:r w:rsidR="006B10C7" w:rsidRPr="00306ECF">
            <w:rPr>
              <w:rFonts w:cs="Arial"/>
              <w:noProof/>
              <w:lang w:val="en-US"/>
            </w:rPr>
            <w:t>(Rosenberg, 2020)</w:t>
          </w:r>
          <w:r w:rsidR="006B10C7">
            <w:rPr>
              <w:rFonts w:cs="Arial"/>
              <w:lang w:val="en-US"/>
            </w:rPr>
            <w:fldChar w:fldCharType="end"/>
          </w:r>
        </w:sdtContent>
      </w:sdt>
    </w:p>
    <w:p w14:paraId="71C54605" w14:textId="31AC2CF8" w:rsidR="00481202" w:rsidRDefault="00481202" w:rsidP="00481202">
      <w:pPr>
        <w:spacing w:line="360" w:lineRule="auto"/>
        <w:rPr>
          <w:rFonts w:cs="Arial"/>
          <w:lang w:val="en-US"/>
        </w:rPr>
      </w:pPr>
      <w:r>
        <w:rPr>
          <w:rFonts w:cs="Arial"/>
          <w:lang w:val="en-US"/>
        </w:rPr>
        <w:t xml:space="preserve">According to a global consumer banking survey of 2016, that included 55,000 participants of 32 countries and was realized by Ernst &amp; Young, </w:t>
      </w:r>
      <w:r w:rsidRPr="00990BE1">
        <w:rPr>
          <w:rFonts w:cs="Arial"/>
          <w:lang w:val="en-US"/>
        </w:rPr>
        <w:t xml:space="preserve">60% </w:t>
      </w:r>
      <w:r>
        <w:rPr>
          <w:rFonts w:cs="Arial"/>
          <w:lang w:val="en-US"/>
        </w:rPr>
        <w:t>indicate</w:t>
      </w:r>
      <w:r w:rsidRPr="00990BE1">
        <w:rPr>
          <w:rFonts w:cs="Arial"/>
          <w:lang w:val="en-US"/>
        </w:rPr>
        <w:t xml:space="preserve"> they would want to visit a physical branch or speak with a real person in order to purchase a new financial product or ask for advice.</w:t>
      </w:r>
      <w:r>
        <w:rPr>
          <w:rFonts w:cs="Arial"/>
          <w:lang w:val="en-US"/>
        </w:rPr>
        <w:t xml:space="preserve"> However the </w:t>
      </w:r>
      <w:r w:rsidRPr="00990BE1">
        <w:rPr>
          <w:rFonts w:cs="Arial"/>
          <w:lang w:val="en-US"/>
        </w:rPr>
        <w:t>survey reports that 6% of global consumers have moved their primary relationship to new companies offering simpler technology and services than traditional banks</w:t>
      </w:r>
      <w:r w:rsidR="00306ECF">
        <w:rPr>
          <w:rFonts w:cs="Arial"/>
          <w:lang w:val="en-US"/>
        </w:rPr>
        <w:t xml:space="preserve"> </w:t>
      </w:r>
      <w:sdt>
        <w:sdtPr>
          <w:rPr>
            <w:rFonts w:cs="Arial"/>
            <w:lang w:val="en-US"/>
          </w:rPr>
          <w:id w:val="1867244702"/>
          <w:citation/>
        </w:sdtPr>
        <w:sdtEndPr/>
        <w:sdtContent>
          <w:r w:rsidR="00306ECF">
            <w:rPr>
              <w:rFonts w:cs="Arial"/>
              <w:lang w:val="en-US"/>
            </w:rPr>
            <w:fldChar w:fldCharType="begin"/>
          </w:r>
          <w:r w:rsidR="00306ECF" w:rsidRPr="00306ECF">
            <w:rPr>
              <w:rFonts w:cs="Arial"/>
              <w:lang w:val="en-US"/>
            </w:rPr>
            <w:instrText xml:space="preserve"> CITATION Bel16 \l 3079 </w:instrText>
          </w:r>
          <w:r w:rsidR="00306ECF">
            <w:rPr>
              <w:rFonts w:cs="Arial"/>
              <w:lang w:val="en-US"/>
            </w:rPr>
            <w:fldChar w:fldCharType="separate"/>
          </w:r>
          <w:r w:rsidR="00306ECF" w:rsidRPr="00306ECF">
            <w:rPr>
              <w:rFonts w:cs="Arial"/>
              <w:noProof/>
              <w:lang w:val="en-US"/>
            </w:rPr>
            <w:t>(Bellens, 2016)</w:t>
          </w:r>
          <w:r w:rsidR="00306ECF">
            <w:rPr>
              <w:rFonts w:cs="Arial"/>
              <w:lang w:val="en-US"/>
            </w:rPr>
            <w:fldChar w:fldCharType="end"/>
          </w:r>
        </w:sdtContent>
      </w:sdt>
      <w:r w:rsidRPr="00990BE1">
        <w:rPr>
          <w:rFonts w:cs="Arial"/>
          <w:lang w:val="en-US"/>
        </w:rPr>
        <w:t>.</w:t>
      </w:r>
      <w:r>
        <w:rPr>
          <w:rFonts w:cs="Arial"/>
          <w:lang w:val="en-US"/>
        </w:rPr>
        <w:t xml:space="preserve"> </w:t>
      </w:r>
    </w:p>
    <w:p w14:paraId="381C2FAB" w14:textId="5DCA8E7C" w:rsidR="00481202" w:rsidRDefault="00481202" w:rsidP="00481202">
      <w:pPr>
        <w:spacing w:line="360" w:lineRule="auto"/>
        <w:rPr>
          <w:rFonts w:cs="Arial"/>
          <w:lang w:val="en-US"/>
        </w:rPr>
      </w:pPr>
      <w:r>
        <w:rPr>
          <w:rFonts w:cs="Arial"/>
          <w:lang w:val="en-US"/>
        </w:rPr>
        <w:t xml:space="preserve">As already mentioned, due to technological innovations the number of </w:t>
      </w:r>
      <w:r w:rsidRPr="009C3372">
        <w:rPr>
          <w:rFonts w:cs="Arial"/>
          <w:lang w:val="en-US"/>
        </w:rPr>
        <w:t xml:space="preserve">bank branches in Europe decreased. For instance, there were </w:t>
      </w:r>
      <w:r w:rsidR="00D67BFA">
        <w:rPr>
          <w:rFonts w:cs="Arial"/>
          <w:lang w:val="en-US"/>
        </w:rPr>
        <w:t>5,479</w:t>
      </w:r>
      <w:r w:rsidRPr="009C3372">
        <w:rPr>
          <w:rFonts w:cs="Arial"/>
          <w:lang w:val="en-US"/>
        </w:rPr>
        <w:t xml:space="preserve"> banking branches in </w:t>
      </w:r>
      <w:r w:rsidR="00A410FF">
        <w:rPr>
          <w:rFonts w:cs="Arial"/>
          <w:lang w:val="en-US"/>
        </w:rPr>
        <w:t xml:space="preserve">the year </w:t>
      </w:r>
      <w:r w:rsidRPr="009C3372">
        <w:rPr>
          <w:rFonts w:cs="Arial"/>
          <w:lang w:val="en-US"/>
        </w:rPr>
        <w:t xml:space="preserve">2000 in Austria. </w:t>
      </w:r>
      <w:r w:rsidRPr="00D77B00">
        <w:rPr>
          <w:rFonts w:cs="Arial"/>
          <w:lang w:val="en-US"/>
        </w:rPr>
        <w:t xml:space="preserve">That number declined by </w:t>
      </w:r>
      <w:r w:rsidR="0075141F">
        <w:rPr>
          <w:rFonts w:cs="Arial"/>
          <w:lang w:val="en-US"/>
        </w:rPr>
        <w:t>24</w:t>
      </w:r>
      <w:r w:rsidRPr="00D77B00">
        <w:rPr>
          <w:rFonts w:cs="Arial"/>
          <w:lang w:val="en-US"/>
        </w:rPr>
        <w:t xml:space="preserve">% to </w:t>
      </w:r>
      <w:r w:rsidR="009F284E">
        <w:rPr>
          <w:rFonts w:cs="Arial"/>
          <w:lang w:val="en-US"/>
        </w:rPr>
        <w:t>4,140</w:t>
      </w:r>
      <w:r w:rsidRPr="00D77B00">
        <w:rPr>
          <w:rFonts w:cs="Arial"/>
          <w:lang w:val="en-US"/>
        </w:rPr>
        <w:t xml:space="preserve"> by 2019</w:t>
      </w:r>
      <w:r w:rsidR="00CB3ABF" w:rsidRPr="00D77B00">
        <w:rPr>
          <w:rFonts w:cs="Arial"/>
          <w:lang w:val="en-US"/>
        </w:rPr>
        <w:t xml:space="preserve"> </w:t>
      </w:r>
      <w:sdt>
        <w:sdtPr>
          <w:rPr>
            <w:rFonts w:cs="Arial"/>
            <w:lang w:val="en-US"/>
          </w:rPr>
          <w:id w:val="-1080445848"/>
          <w:citation/>
        </w:sdtPr>
        <w:sdtEndPr/>
        <w:sdtContent>
          <w:r w:rsidR="00EA51C0">
            <w:rPr>
              <w:rFonts w:cs="Arial"/>
              <w:lang w:val="en-US"/>
            </w:rPr>
            <w:fldChar w:fldCharType="begin"/>
          </w:r>
          <w:r w:rsidR="00D67BFA">
            <w:rPr>
              <w:rFonts w:cs="Arial"/>
              <w:lang w:val="en-US"/>
            </w:rPr>
            <w:instrText xml:space="preserve">CITATION Jed20 \l 3079 </w:instrText>
          </w:r>
          <w:r w:rsidR="00EA51C0">
            <w:rPr>
              <w:rFonts w:cs="Arial"/>
              <w:lang w:val="en-US"/>
            </w:rPr>
            <w:fldChar w:fldCharType="separate"/>
          </w:r>
          <w:r w:rsidR="00D67BFA" w:rsidRPr="00D67BFA">
            <w:rPr>
              <w:rFonts w:cs="Arial"/>
              <w:noProof/>
              <w:lang w:val="en-US"/>
            </w:rPr>
            <w:t>(Der Standard, 2020)</w:t>
          </w:r>
          <w:r w:rsidR="00EA51C0">
            <w:rPr>
              <w:rFonts w:cs="Arial"/>
              <w:lang w:val="en-US"/>
            </w:rPr>
            <w:fldChar w:fldCharType="end"/>
          </w:r>
        </w:sdtContent>
      </w:sdt>
      <w:r w:rsidR="00EA51C0" w:rsidRPr="00D77B00">
        <w:rPr>
          <w:rFonts w:cs="Arial"/>
          <w:lang w:val="en-US"/>
        </w:rPr>
        <w:t xml:space="preserve">. </w:t>
      </w:r>
      <w:r>
        <w:rPr>
          <w:rFonts w:cs="Arial"/>
          <w:lang w:val="en-US"/>
        </w:rPr>
        <w:t>Similar developments can be observed across member states of the European Union</w:t>
      </w:r>
      <w:r w:rsidR="00AD4F3F">
        <w:rPr>
          <w:rFonts w:cs="Arial"/>
          <w:lang w:val="en-US"/>
        </w:rPr>
        <w:t xml:space="preserve"> </w:t>
      </w:r>
      <w:sdt>
        <w:sdtPr>
          <w:rPr>
            <w:rFonts w:cs="Arial"/>
            <w:lang w:val="en-US"/>
          </w:rPr>
          <w:id w:val="10892499"/>
          <w:citation/>
        </w:sdtPr>
        <w:sdtEndPr/>
        <w:sdtContent>
          <w:r w:rsidR="00AD4F3F">
            <w:rPr>
              <w:rFonts w:cs="Arial"/>
              <w:lang w:val="en-US"/>
            </w:rPr>
            <w:fldChar w:fldCharType="begin"/>
          </w:r>
          <w:r w:rsidR="00AD4F3F" w:rsidRPr="00AD4F3F">
            <w:rPr>
              <w:rFonts w:cs="Arial"/>
              <w:lang w:val="en-US"/>
            </w:rPr>
            <w:instrText xml:space="preserve"> CITATION Eur19 \l 3079 </w:instrText>
          </w:r>
          <w:r w:rsidR="00AD4F3F">
            <w:rPr>
              <w:rFonts w:cs="Arial"/>
              <w:lang w:val="en-US"/>
            </w:rPr>
            <w:fldChar w:fldCharType="separate"/>
          </w:r>
          <w:r w:rsidR="00AD4F3F" w:rsidRPr="00AD4F3F">
            <w:rPr>
              <w:rFonts w:cs="Arial"/>
              <w:noProof/>
              <w:lang w:val="en-US"/>
            </w:rPr>
            <w:t>(European Banking Federation, 2019)</w:t>
          </w:r>
          <w:r w:rsidR="00AD4F3F">
            <w:rPr>
              <w:rFonts w:cs="Arial"/>
              <w:lang w:val="en-US"/>
            </w:rPr>
            <w:fldChar w:fldCharType="end"/>
          </w:r>
        </w:sdtContent>
      </w:sdt>
      <w:r>
        <w:rPr>
          <w:rFonts w:cs="Arial"/>
          <w:lang w:val="en-US"/>
        </w:rPr>
        <w:t xml:space="preserve">. Chapter </w:t>
      </w:r>
      <w:r w:rsidR="005B50A8" w:rsidRPr="00956881">
        <w:rPr>
          <w:rFonts w:cs="Arial"/>
          <w:u w:val="single"/>
          <w:lang w:val="en-US"/>
        </w:rPr>
        <w:fldChar w:fldCharType="begin"/>
      </w:r>
      <w:r w:rsidR="005B50A8" w:rsidRPr="00956881">
        <w:rPr>
          <w:rFonts w:cs="Arial"/>
          <w:u w:val="single"/>
          <w:lang w:val="en-US"/>
        </w:rPr>
        <w:instrText xml:space="preserve"> REF _Ref40387059 \r \h </w:instrText>
      </w:r>
      <w:r w:rsidR="005B50A8" w:rsidRPr="00956881">
        <w:rPr>
          <w:rFonts w:cs="Arial"/>
          <w:u w:val="single"/>
          <w:lang w:val="en-US"/>
        </w:rPr>
      </w:r>
      <w:r w:rsidR="005B50A8" w:rsidRPr="00956881">
        <w:rPr>
          <w:rFonts w:cs="Arial"/>
          <w:u w:val="single"/>
          <w:lang w:val="en-US"/>
        </w:rPr>
        <w:fldChar w:fldCharType="separate"/>
      </w:r>
      <w:r w:rsidR="00B75C93">
        <w:rPr>
          <w:rFonts w:cs="Arial"/>
          <w:u w:val="single"/>
          <w:lang w:val="en-US"/>
        </w:rPr>
        <w:t>5.2</w:t>
      </w:r>
      <w:r w:rsidR="005B50A8" w:rsidRPr="00956881">
        <w:rPr>
          <w:rFonts w:cs="Arial"/>
          <w:u w:val="single"/>
          <w:lang w:val="en-US"/>
        </w:rPr>
        <w:fldChar w:fldCharType="end"/>
      </w:r>
      <w:r w:rsidR="005B50A8">
        <w:rPr>
          <w:rFonts w:cs="Arial"/>
          <w:lang w:val="en-US"/>
        </w:rPr>
        <w:t xml:space="preserve"> </w:t>
      </w:r>
      <w:r>
        <w:rPr>
          <w:rFonts w:cs="Arial"/>
          <w:lang w:val="en-US"/>
        </w:rPr>
        <w:t xml:space="preserve">deals with the status quo in the European banking industry in more detail and discusses recent developments regarding consumer interaction. </w:t>
      </w:r>
    </w:p>
    <w:p w14:paraId="2C5D84B8" w14:textId="77777777" w:rsidR="00481202" w:rsidRDefault="00481202" w:rsidP="009E71A1">
      <w:pPr>
        <w:pStyle w:val="berschrift3"/>
        <w:rPr>
          <w:lang w:val="en-US"/>
        </w:rPr>
      </w:pPr>
      <w:r>
        <w:rPr>
          <w:lang w:val="en-US"/>
        </w:rPr>
        <w:tab/>
      </w:r>
      <w:bookmarkStart w:id="21" w:name="_Toc42077743"/>
      <w:r>
        <w:rPr>
          <w:lang w:val="en-US"/>
        </w:rPr>
        <w:t>Direct Banks</w:t>
      </w:r>
      <w:bookmarkEnd w:id="21"/>
    </w:p>
    <w:p w14:paraId="1AB95944" w14:textId="626341C3" w:rsidR="00481202" w:rsidRDefault="00481202" w:rsidP="00481202">
      <w:pPr>
        <w:spacing w:line="360" w:lineRule="auto"/>
        <w:rPr>
          <w:rFonts w:cs="Arial"/>
          <w:lang w:val="en-US"/>
        </w:rPr>
      </w:pPr>
      <w:r>
        <w:rPr>
          <w:rFonts w:cs="Arial"/>
          <w:lang w:val="en-US"/>
        </w:rPr>
        <w:t xml:space="preserve">Direct banks, also known as online banks, disclaim the use of a branch networks entirely and the services provided are only accessible by phone or online. </w:t>
      </w:r>
      <w:r w:rsidRPr="0009269D">
        <w:rPr>
          <w:rFonts w:cs="Arial"/>
          <w:lang w:val="en-US"/>
        </w:rPr>
        <w:t xml:space="preserve">From the customer’s point of view, direct banking </w:t>
      </w:r>
      <w:r>
        <w:rPr>
          <w:rFonts w:cs="Arial"/>
          <w:lang w:val="en-US"/>
        </w:rPr>
        <w:t>can be</w:t>
      </w:r>
      <w:r w:rsidRPr="0009269D">
        <w:rPr>
          <w:rFonts w:cs="Arial"/>
          <w:lang w:val="en-US"/>
        </w:rPr>
        <w:t xml:space="preserve"> c</w:t>
      </w:r>
      <w:r>
        <w:rPr>
          <w:rFonts w:cs="Arial"/>
          <w:lang w:val="en-US"/>
        </w:rPr>
        <w:t xml:space="preserve">haracterized as any semi-personal and impersonal contact with a financial institution. Forms of semi-personal contact in this context are phone calls or video chats. However, since traditional banks provide direct banking services as well, these sorts of services do not distinguish direct banks. It is rather the fact, that they do not operate a branch network and therefore are not available in person to their customers. Yet direct banks offer several advantages, like convenient account-keeping. Furthermore they usually charge less fees compared to traditional banks and provide higher interest rates on deposits, </w:t>
      </w:r>
      <w:r w:rsidRPr="008776E9">
        <w:rPr>
          <w:rFonts w:cs="Arial"/>
          <w:lang w:val="en-US"/>
        </w:rPr>
        <w:t xml:space="preserve">which is </w:t>
      </w:r>
      <w:r>
        <w:rPr>
          <w:rFonts w:cs="Arial"/>
          <w:lang w:val="en-US"/>
        </w:rPr>
        <w:t>made possible by</w:t>
      </w:r>
      <w:r w:rsidRPr="008776E9">
        <w:rPr>
          <w:rFonts w:cs="Arial"/>
          <w:lang w:val="en-US"/>
        </w:rPr>
        <w:t xml:space="preserve"> lower fixed costs</w:t>
      </w:r>
      <w:r>
        <w:rPr>
          <w:rFonts w:cs="Arial"/>
          <w:lang w:val="en-US"/>
        </w:rPr>
        <w:t>,</w:t>
      </w:r>
      <w:r w:rsidRPr="008776E9">
        <w:rPr>
          <w:rFonts w:cs="Arial"/>
          <w:lang w:val="en-US"/>
        </w:rPr>
        <w:t xml:space="preserve"> due to the </w:t>
      </w:r>
      <w:r>
        <w:rPr>
          <w:rFonts w:cs="Arial"/>
          <w:lang w:val="en-US"/>
        </w:rPr>
        <w:t>absence</w:t>
      </w:r>
      <w:r w:rsidRPr="008776E9">
        <w:rPr>
          <w:rFonts w:cs="Arial"/>
          <w:lang w:val="en-US"/>
        </w:rPr>
        <w:t xml:space="preserve"> of bank branches.</w:t>
      </w:r>
      <w:r>
        <w:rPr>
          <w:rFonts w:cs="Arial"/>
          <w:lang w:val="en-US"/>
        </w:rPr>
        <w:t xml:space="preserve"> However, hidden extras may appear, as additional services, like guidance by phone, are not free </w:t>
      </w:r>
      <w:sdt>
        <w:sdtPr>
          <w:rPr>
            <w:rFonts w:cs="Arial"/>
            <w:lang w:val="en-US"/>
          </w:rPr>
          <w:id w:val="-1173019750"/>
          <w:citation/>
        </w:sdtPr>
        <w:sdtEndPr/>
        <w:sdtContent>
          <w:r w:rsidR="004B4DB1">
            <w:rPr>
              <w:rFonts w:cs="Arial"/>
              <w:lang w:val="en-US"/>
            </w:rPr>
            <w:fldChar w:fldCharType="begin"/>
          </w:r>
          <w:r w:rsidR="004B4DB1" w:rsidRPr="004B4DB1">
            <w:rPr>
              <w:rFonts w:cs="Arial"/>
              <w:lang w:val="en-US"/>
            </w:rPr>
            <w:instrText xml:space="preserve"> CITATION Swo00 \l 3079 </w:instrText>
          </w:r>
          <w:r w:rsidR="004B4DB1">
            <w:rPr>
              <w:rFonts w:cs="Arial"/>
              <w:lang w:val="en-US"/>
            </w:rPr>
            <w:fldChar w:fldCharType="separate"/>
          </w:r>
          <w:r w:rsidR="004B4DB1" w:rsidRPr="004B4DB1">
            <w:rPr>
              <w:rFonts w:cs="Arial"/>
              <w:noProof/>
              <w:lang w:val="en-US"/>
            </w:rPr>
            <w:t>(Swoboda, 2000)</w:t>
          </w:r>
          <w:r w:rsidR="004B4DB1">
            <w:rPr>
              <w:rFonts w:cs="Arial"/>
              <w:lang w:val="en-US"/>
            </w:rPr>
            <w:fldChar w:fldCharType="end"/>
          </w:r>
        </w:sdtContent>
      </w:sdt>
      <w:r>
        <w:rPr>
          <w:rFonts w:cs="Arial"/>
          <w:lang w:val="en-US"/>
        </w:rPr>
        <w:t xml:space="preserve">. Since direct banks focus on online-banking entirely, their platforms are considered well </w:t>
      </w:r>
      <w:r>
        <w:rPr>
          <w:rFonts w:cs="Arial"/>
          <w:lang w:val="en-US"/>
        </w:rPr>
        <w:lastRenderedPageBreak/>
        <w:t>organized and user friendly and they often enable mobile banking through sophisticated smartphone applications</w:t>
      </w:r>
      <w:r w:rsidR="009C3372">
        <w:rPr>
          <w:rFonts w:cs="Arial"/>
          <w:lang w:val="en-US"/>
        </w:rPr>
        <w:t xml:space="preserve"> </w:t>
      </w:r>
      <w:sdt>
        <w:sdtPr>
          <w:rPr>
            <w:rFonts w:cs="Arial"/>
            <w:lang w:val="en-US"/>
          </w:rPr>
          <w:id w:val="-772633694"/>
          <w:citation/>
        </w:sdtPr>
        <w:sdtEndPr/>
        <w:sdtContent>
          <w:r w:rsidR="009C3372">
            <w:rPr>
              <w:rFonts w:cs="Arial"/>
              <w:lang w:val="en-US"/>
            </w:rPr>
            <w:fldChar w:fldCharType="begin"/>
          </w:r>
          <w:r w:rsidR="00911337">
            <w:rPr>
              <w:rFonts w:cs="Arial"/>
              <w:lang w:val="en-US"/>
            </w:rPr>
            <w:instrText xml:space="preserve">CITATION Bon19 \l 3079 </w:instrText>
          </w:r>
          <w:r w:rsidR="009C3372">
            <w:rPr>
              <w:rFonts w:cs="Arial"/>
              <w:lang w:val="en-US"/>
            </w:rPr>
            <w:fldChar w:fldCharType="separate"/>
          </w:r>
          <w:r w:rsidR="00911337" w:rsidRPr="00911337">
            <w:rPr>
              <w:rFonts w:cs="Arial"/>
              <w:noProof/>
              <w:lang w:val="en-US"/>
            </w:rPr>
            <w:t>(Bondarenko, Evdokimova, &amp; Shinkareva, 2019)</w:t>
          </w:r>
          <w:r w:rsidR="009C3372">
            <w:rPr>
              <w:rFonts w:cs="Arial"/>
              <w:lang w:val="en-US"/>
            </w:rPr>
            <w:fldChar w:fldCharType="end"/>
          </w:r>
        </w:sdtContent>
      </w:sdt>
      <w:r w:rsidR="009C3372" w:rsidRPr="009C3372">
        <w:rPr>
          <w:lang w:val="en-US"/>
        </w:rPr>
        <w:t>.</w:t>
      </w:r>
    </w:p>
    <w:p w14:paraId="53A2580C" w14:textId="77777777" w:rsidR="00481202" w:rsidRDefault="00481202" w:rsidP="009E71A1">
      <w:pPr>
        <w:pStyle w:val="berschrift2"/>
        <w:rPr>
          <w:lang w:val="en-US"/>
        </w:rPr>
      </w:pPr>
      <w:bookmarkStart w:id="22" w:name="_Ref40387059"/>
      <w:bookmarkStart w:id="23" w:name="_Toc42077744"/>
      <w:r>
        <w:rPr>
          <w:lang w:val="en-US"/>
        </w:rPr>
        <w:t>Market Analysis</w:t>
      </w:r>
      <w:bookmarkEnd w:id="22"/>
      <w:bookmarkEnd w:id="23"/>
    </w:p>
    <w:p w14:paraId="1618B61A" w14:textId="7F9C3607" w:rsidR="00481202" w:rsidRDefault="00481202" w:rsidP="00481202">
      <w:pPr>
        <w:spacing w:line="360" w:lineRule="auto"/>
        <w:rPr>
          <w:rFonts w:cs="Arial"/>
          <w:lang w:val="en-US"/>
        </w:rPr>
      </w:pPr>
      <w:r w:rsidRPr="00F341C1">
        <w:rPr>
          <w:rFonts w:cs="Arial"/>
          <w:lang w:val="en-US"/>
        </w:rPr>
        <w:t>The tertiary sector</w:t>
      </w:r>
      <w:r>
        <w:rPr>
          <w:rFonts w:cs="Arial"/>
          <w:lang w:val="en-US"/>
        </w:rPr>
        <w:t>, respectively service sector,</w:t>
      </w:r>
      <w:r w:rsidRPr="00F341C1">
        <w:rPr>
          <w:rFonts w:cs="Arial"/>
          <w:lang w:val="en-US"/>
        </w:rPr>
        <w:t xml:space="preserve"> represents the most significant </w:t>
      </w:r>
      <w:r>
        <w:rPr>
          <w:rFonts w:cs="Arial"/>
          <w:lang w:val="en-US"/>
        </w:rPr>
        <w:t xml:space="preserve">one </w:t>
      </w:r>
      <w:r w:rsidRPr="00F341C1">
        <w:rPr>
          <w:rFonts w:cs="Arial"/>
          <w:lang w:val="en-US"/>
        </w:rPr>
        <w:t>in the European Union</w:t>
      </w:r>
      <w:r>
        <w:rPr>
          <w:rFonts w:cs="Arial"/>
          <w:lang w:val="en-US"/>
        </w:rPr>
        <w:t>. According to Statista 66% of the GDP generated by the EU member states in 2018 derive from services, while the agricultural and industrial sectors combined merely achieved 24%. This distribution has remained constant since 2008</w:t>
      </w:r>
      <w:r w:rsidR="007627B9">
        <w:rPr>
          <w:rFonts w:cs="Arial"/>
          <w:lang w:val="en-US"/>
        </w:rPr>
        <w:t xml:space="preserve"> </w:t>
      </w:r>
      <w:sdt>
        <w:sdtPr>
          <w:rPr>
            <w:rFonts w:cs="Arial"/>
            <w:lang w:val="en-US"/>
          </w:rPr>
          <w:id w:val="1634601048"/>
          <w:citation/>
        </w:sdtPr>
        <w:sdtEndPr/>
        <w:sdtContent>
          <w:r w:rsidR="007627B9">
            <w:rPr>
              <w:rFonts w:cs="Arial"/>
              <w:lang w:val="en-US"/>
            </w:rPr>
            <w:fldChar w:fldCharType="begin"/>
          </w:r>
          <w:r w:rsidR="00931C36">
            <w:rPr>
              <w:rFonts w:cs="Arial"/>
              <w:lang w:val="en-US"/>
            </w:rPr>
            <w:instrText xml:space="preserve">CITATION Urm19 \l 3079 </w:instrText>
          </w:r>
          <w:r w:rsidR="007627B9">
            <w:rPr>
              <w:rFonts w:cs="Arial"/>
              <w:lang w:val="en-US"/>
            </w:rPr>
            <w:fldChar w:fldCharType="separate"/>
          </w:r>
          <w:r w:rsidR="00931C36" w:rsidRPr="00931C36">
            <w:rPr>
              <w:rFonts w:cs="Arial"/>
              <w:noProof/>
              <w:lang w:val="en-US"/>
            </w:rPr>
            <w:t>(Urmersbach, 2019)</w:t>
          </w:r>
          <w:r w:rsidR="007627B9">
            <w:rPr>
              <w:rFonts w:cs="Arial"/>
              <w:lang w:val="en-US"/>
            </w:rPr>
            <w:fldChar w:fldCharType="end"/>
          </w:r>
        </w:sdtContent>
      </w:sdt>
      <w:r>
        <w:rPr>
          <w:rFonts w:cs="Arial"/>
          <w:lang w:val="en-US"/>
        </w:rPr>
        <w:t>. Similar values appear considering data, that illustrate employment factors. Although differences between the member states exist, most people in every relevant country work in the service sector</w:t>
      </w:r>
      <w:r w:rsidR="00931C36">
        <w:rPr>
          <w:rFonts w:cs="Arial"/>
          <w:lang w:val="en-US"/>
        </w:rPr>
        <w:t xml:space="preserve"> </w:t>
      </w:r>
      <w:sdt>
        <w:sdtPr>
          <w:rPr>
            <w:rFonts w:cs="Arial"/>
            <w:lang w:val="en-US"/>
          </w:rPr>
          <w:id w:val="-175502162"/>
          <w:citation/>
        </w:sdtPr>
        <w:sdtEndPr/>
        <w:sdtContent>
          <w:r w:rsidR="00931C36">
            <w:rPr>
              <w:rFonts w:cs="Arial"/>
              <w:lang w:val="en-US"/>
            </w:rPr>
            <w:fldChar w:fldCharType="begin"/>
          </w:r>
          <w:r w:rsidR="00C339A1">
            <w:rPr>
              <w:rFonts w:cs="Arial"/>
              <w:lang w:val="en-US"/>
            </w:rPr>
            <w:instrText xml:space="preserve">CITATION Urm20 \t  \l 3079 </w:instrText>
          </w:r>
          <w:r w:rsidR="00931C36">
            <w:rPr>
              <w:rFonts w:cs="Arial"/>
              <w:lang w:val="en-US"/>
            </w:rPr>
            <w:fldChar w:fldCharType="separate"/>
          </w:r>
          <w:r w:rsidR="00C339A1" w:rsidRPr="00C339A1">
            <w:rPr>
              <w:rFonts w:cs="Arial"/>
              <w:noProof/>
              <w:lang w:val="en-US"/>
            </w:rPr>
            <w:t>(Urmersbach, 2020)</w:t>
          </w:r>
          <w:r w:rsidR="00931C36">
            <w:rPr>
              <w:rFonts w:cs="Arial"/>
              <w:lang w:val="en-US"/>
            </w:rPr>
            <w:fldChar w:fldCharType="end"/>
          </w:r>
        </w:sdtContent>
      </w:sdt>
      <w:r>
        <w:rPr>
          <w:rFonts w:cs="Arial"/>
          <w:lang w:val="en-US"/>
        </w:rPr>
        <w:t>.</w:t>
      </w:r>
    </w:p>
    <w:p w14:paraId="4D0ED2F2" w14:textId="77777777" w:rsidR="00481202" w:rsidRDefault="00481202" w:rsidP="00481202">
      <w:pPr>
        <w:spacing w:line="360" w:lineRule="auto"/>
        <w:rPr>
          <w:rFonts w:cs="Arial"/>
          <w:lang w:val="en-US"/>
        </w:rPr>
      </w:pPr>
      <w:r>
        <w:rPr>
          <w:rFonts w:cs="Arial"/>
          <w:lang w:val="en-US"/>
        </w:rPr>
        <w:t xml:space="preserve">However, banking only represents a small part of the tertiary sector. The national banking systems of the EU member states differ regarding types, bank size and organization. The same applies to the size of banking and financial sectors across Europe, although they all slightly decreased considering quantity between 2008 and 2014. </w:t>
      </w:r>
    </w:p>
    <w:p w14:paraId="4CBF5D0A" w14:textId="1B4D0CBB" w:rsidR="00481202" w:rsidRDefault="00481202" w:rsidP="00481202">
      <w:pPr>
        <w:spacing w:line="360" w:lineRule="auto"/>
        <w:ind w:left="567" w:right="567"/>
        <w:rPr>
          <w:rFonts w:cs="Arial"/>
          <w:lang w:val="en-US"/>
        </w:rPr>
      </w:pPr>
      <w:r w:rsidRPr="00794388">
        <w:rPr>
          <w:rFonts w:cs="Arial"/>
          <w:lang w:val="en-US"/>
        </w:rPr>
        <w:t>The process of consolidation of the banking sectors in eurozone countries has continued, due to increased pressure on cost-cutting and restructuring. With a few exceptions, most countries experienced a marked decrease in the number of banks between 2008 and 2014</w:t>
      </w:r>
      <w:r>
        <w:rPr>
          <w:rFonts w:cs="Arial"/>
          <w:lang w:val="en-US"/>
        </w:rPr>
        <w:t xml:space="preserve">. </w:t>
      </w:r>
      <w:sdt>
        <w:sdtPr>
          <w:rPr>
            <w:rFonts w:cs="Arial"/>
            <w:lang w:val="en-US"/>
          </w:rPr>
          <w:id w:val="-1331834670"/>
          <w:citation/>
        </w:sdtPr>
        <w:sdtEndPr/>
        <w:sdtContent>
          <w:r w:rsidR="008830A3">
            <w:rPr>
              <w:rFonts w:cs="Arial"/>
              <w:lang w:val="en-US"/>
            </w:rPr>
            <w:fldChar w:fldCharType="begin"/>
          </w:r>
          <w:r w:rsidR="008830A3" w:rsidRPr="00D75AB6">
            <w:rPr>
              <w:rFonts w:cs="Arial"/>
              <w:lang w:val="en-US"/>
            </w:rPr>
            <w:instrText xml:space="preserve"> CITATION Bec16 \l 3079 </w:instrText>
          </w:r>
          <w:r w:rsidR="008830A3">
            <w:rPr>
              <w:rFonts w:cs="Arial"/>
              <w:lang w:val="en-US"/>
            </w:rPr>
            <w:fldChar w:fldCharType="separate"/>
          </w:r>
          <w:r w:rsidR="008830A3" w:rsidRPr="00D75AB6">
            <w:rPr>
              <w:rFonts w:cs="Arial"/>
              <w:noProof/>
              <w:lang w:val="en-US"/>
            </w:rPr>
            <w:t>(Beck &amp; Casu, 2016)</w:t>
          </w:r>
          <w:r w:rsidR="008830A3">
            <w:rPr>
              <w:rFonts w:cs="Arial"/>
              <w:lang w:val="en-US"/>
            </w:rPr>
            <w:fldChar w:fldCharType="end"/>
          </w:r>
        </w:sdtContent>
      </w:sdt>
    </w:p>
    <w:p w14:paraId="64611B47" w14:textId="1F0739B0" w:rsidR="00481202" w:rsidRDefault="00481202" w:rsidP="00481202">
      <w:pPr>
        <w:spacing w:line="360" w:lineRule="auto"/>
        <w:ind w:right="567"/>
        <w:rPr>
          <w:rFonts w:cs="Arial"/>
          <w:lang w:val="en-US"/>
        </w:rPr>
      </w:pPr>
      <w:r>
        <w:rPr>
          <w:rFonts w:cs="Arial"/>
          <w:lang w:val="en-US"/>
        </w:rPr>
        <w:t>As a result of</w:t>
      </w:r>
      <w:r w:rsidRPr="007E7BDB">
        <w:rPr>
          <w:rFonts w:cs="Arial"/>
          <w:lang w:val="en-US"/>
        </w:rPr>
        <w:t xml:space="preserve"> increasing use of digital channels by </w:t>
      </w:r>
      <w:r>
        <w:rPr>
          <w:rFonts w:cs="Arial"/>
          <w:lang w:val="en-US"/>
        </w:rPr>
        <w:t>the</w:t>
      </w:r>
      <w:r w:rsidRPr="007E7BDB">
        <w:rPr>
          <w:rFonts w:cs="Arial"/>
          <w:lang w:val="en-US"/>
        </w:rPr>
        <w:t xml:space="preserve"> customers, banks are reducing their physical network. The total number of credit institutions decreased by 5% in 201</w:t>
      </w:r>
      <w:r>
        <w:rPr>
          <w:rFonts w:cs="Arial"/>
          <w:lang w:val="en-US"/>
        </w:rPr>
        <w:t>8</w:t>
      </w:r>
      <w:r w:rsidRPr="007E7BDB">
        <w:rPr>
          <w:rFonts w:cs="Arial"/>
          <w:lang w:val="en-US"/>
        </w:rPr>
        <w:t xml:space="preserve"> to 6,250. </w:t>
      </w:r>
      <w:r w:rsidRPr="007F2A59">
        <w:rPr>
          <w:rFonts w:cs="Arial"/>
          <w:lang w:val="en-US"/>
        </w:rPr>
        <w:t>In 2019 there were 4,599 credit institutions within the European Union, even though the numbers vary considerably</w:t>
      </w:r>
      <w:r>
        <w:rPr>
          <w:rFonts w:cs="Arial"/>
          <w:lang w:val="en-US"/>
        </w:rPr>
        <w:t xml:space="preserve"> across the EU member states</w:t>
      </w:r>
      <w:r w:rsidRPr="007F2A59">
        <w:rPr>
          <w:rFonts w:cs="Arial"/>
          <w:lang w:val="en-US"/>
        </w:rPr>
        <w:t xml:space="preserve">. </w:t>
      </w:r>
      <w:r w:rsidR="00584503" w:rsidRPr="00584503">
        <w:rPr>
          <w:rFonts w:cs="Arial"/>
          <w:u w:val="single"/>
          <w:lang w:val="en-US"/>
        </w:rPr>
        <w:fldChar w:fldCharType="begin"/>
      </w:r>
      <w:r w:rsidR="00584503" w:rsidRPr="00584503">
        <w:rPr>
          <w:rFonts w:cs="Arial"/>
          <w:u w:val="single"/>
          <w:lang w:val="en-US"/>
        </w:rPr>
        <w:instrText xml:space="preserve"> REF _Ref40387147 \h </w:instrText>
      </w:r>
      <w:r w:rsidR="00584503" w:rsidRPr="00584503">
        <w:rPr>
          <w:rFonts w:cs="Arial"/>
          <w:u w:val="single"/>
          <w:lang w:val="en-US"/>
        </w:rPr>
      </w:r>
      <w:r w:rsidR="00584503" w:rsidRPr="00584503">
        <w:rPr>
          <w:rFonts w:cs="Arial"/>
          <w:u w:val="single"/>
          <w:lang w:val="en-US"/>
        </w:rPr>
        <w:fldChar w:fldCharType="separate"/>
      </w:r>
      <w:r w:rsidR="00B75C93" w:rsidRPr="00AE271C">
        <w:rPr>
          <w:lang w:val="en-US"/>
        </w:rPr>
        <w:t xml:space="preserve">Figure </w:t>
      </w:r>
      <w:r w:rsidR="00B75C93">
        <w:rPr>
          <w:noProof/>
          <w:lang w:val="en-US"/>
        </w:rPr>
        <w:t>2</w:t>
      </w:r>
      <w:r w:rsidR="00584503" w:rsidRPr="00584503">
        <w:rPr>
          <w:rFonts w:cs="Arial"/>
          <w:u w:val="single"/>
          <w:lang w:val="en-US"/>
        </w:rPr>
        <w:fldChar w:fldCharType="end"/>
      </w:r>
      <w:r>
        <w:rPr>
          <w:rFonts w:cs="Arial"/>
          <w:lang w:val="en-US"/>
        </w:rPr>
        <w:t xml:space="preserve"> shows the change in number of credit institutions from 2017 to 2018 in selected countries. </w:t>
      </w:r>
      <w:r w:rsidRPr="007F2A59">
        <w:rPr>
          <w:rFonts w:cs="Arial"/>
          <w:lang w:val="en-US"/>
        </w:rPr>
        <w:t xml:space="preserve">While 31%, in total 1,584 organizations, of </w:t>
      </w:r>
      <w:r>
        <w:rPr>
          <w:rFonts w:cs="Arial"/>
          <w:lang w:val="en-US"/>
        </w:rPr>
        <w:t>the European financial</w:t>
      </w:r>
      <w:r w:rsidRPr="007F2A59">
        <w:rPr>
          <w:rFonts w:cs="Arial"/>
          <w:lang w:val="en-US"/>
        </w:rPr>
        <w:t xml:space="preserve"> institutions are located in Germany, only 17 belong to Slovenia</w:t>
      </w:r>
      <w:r>
        <w:rPr>
          <w:rFonts w:cs="Arial"/>
          <w:lang w:val="en-US"/>
        </w:rPr>
        <w:t xml:space="preserve">.  </w:t>
      </w:r>
      <w:r w:rsidRPr="00914EB9">
        <w:rPr>
          <w:rFonts w:cs="Arial"/>
          <w:lang w:val="en-US"/>
        </w:rPr>
        <w:t xml:space="preserve">Austrian, French, German and Italian </w:t>
      </w:r>
      <w:r>
        <w:rPr>
          <w:rFonts w:cs="Arial"/>
          <w:lang w:val="en-US"/>
        </w:rPr>
        <w:t>financial</w:t>
      </w:r>
      <w:r w:rsidRPr="00914EB9">
        <w:rPr>
          <w:rFonts w:cs="Arial"/>
          <w:lang w:val="en-US"/>
        </w:rPr>
        <w:t xml:space="preserve"> institutions accounted for around 69% of </w:t>
      </w:r>
      <w:r>
        <w:rPr>
          <w:rFonts w:cs="Arial"/>
          <w:lang w:val="en-US"/>
        </w:rPr>
        <w:t>financial</w:t>
      </w:r>
      <w:r w:rsidRPr="00914EB9">
        <w:rPr>
          <w:rFonts w:cs="Arial"/>
          <w:lang w:val="en-US"/>
        </w:rPr>
        <w:t xml:space="preserve"> institutions </w:t>
      </w:r>
      <w:r>
        <w:rPr>
          <w:rFonts w:cs="Arial"/>
          <w:lang w:val="en-US"/>
        </w:rPr>
        <w:t xml:space="preserve">in the </w:t>
      </w:r>
      <w:r w:rsidRPr="00914EB9">
        <w:rPr>
          <w:rFonts w:cs="Arial"/>
          <w:lang w:val="en-US"/>
        </w:rPr>
        <w:t>eurozone at the end of 2014</w:t>
      </w:r>
      <w:r w:rsidR="00F96DAE">
        <w:rPr>
          <w:rFonts w:cs="Arial"/>
          <w:lang w:val="en-US"/>
        </w:rPr>
        <w:t xml:space="preserve"> </w:t>
      </w:r>
      <w:sdt>
        <w:sdtPr>
          <w:rPr>
            <w:rFonts w:cs="Arial"/>
            <w:lang w:val="en-US"/>
          </w:rPr>
          <w:id w:val="-4125967"/>
          <w:citation/>
        </w:sdtPr>
        <w:sdtEndPr/>
        <w:sdtContent>
          <w:r w:rsidR="00F96DAE">
            <w:rPr>
              <w:rFonts w:cs="Arial"/>
              <w:lang w:val="en-US"/>
            </w:rPr>
            <w:fldChar w:fldCharType="begin"/>
          </w:r>
          <w:r w:rsidR="00F96DAE" w:rsidRPr="00F96DAE">
            <w:rPr>
              <w:rFonts w:cs="Arial"/>
              <w:lang w:val="en-US"/>
            </w:rPr>
            <w:instrText xml:space="preserve"> CITATION Eur19 \l 3079 </w:instrText>
          </w:r>
          <w:r w:rsidR="00F96DAE">
            <w:rPr>
              <w:rFonts w:cs="Arial"/>
              <w:lang w:val="en-US"/>
            </w:rPr>
            <w:fldChar w:fldCharType="separate"/>
          </w:r>
          <w:r w:rsidR="00F96DAE" w:rsidRPr="00F96DAE">
            <w:rPr>
              <w:rFonts w:cs="Arial"/>
              <w:noProof/>
              <w:lang w:val="en-US"/>
            </w:rPr>
            <w:t>(European Banking Federation, 2019)</w:t>
          </w:r>
          <w:r w:rsidR="00F96DAE">
            <w:rPr>
              <w:rFonts w:cs="Arial"/>
              <w:lang w:val="en-US"/>
            </w:rPr>
            <w:fldChar w:fldCharType="end"/>
          </w:r>
        </w:sdtContent>
      </w:sdt>
      <w:r>
        <w:rPr>
          <w:rFonts w:cs="Arial"/>
          <w:lang w:val="en-US"/>
        </w:rPr>
        <w:t>.</w:t>
      </w:r>
    </w:p>
    <w:p w14:paraId="644F83B5" w14:textId="77777777" w:rsidR="00AE271C" w:rsidRDefault="00481202" w:rsidP="00AE271C">
      <w:pPr>
        <w:keepNext/>
        <w:spacing w:line="360" w:lineRule="auto"/>
        <w:ind w:right="567"/>
      </w:pPr>
      <w:r>
        <w:rPr>
          <w:rFonts w:cs="Arial"/>
          <w:noProof/>
          <w:lang w:val="en-US"/>
        </w:rPr>
        <w:lastRenderedPageBreak/>
        <w:drawing>
          <wp:inline distT="0" distB="0" distL="0" distR="0" wp14:anchorId="2D9F1446" wp14:editId="5D9BED50">
            <wp:extent cx="5486400" cy="3200400"/>
            <wp:effectExtent l="0" t="0" r="0" b="0"/>
            <wp:docPr id="2"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C605A0A" w14:textId="609712AE" w:rsidR="00481202" w:rsidRPr="00AE271C" w:rsidRDefault="00AE271C" w:rsidP="00AE271C">
      <w:pPr>
        <w:pStyle w:val="Beschriftung"/>
        <w:jc w:val="center"/>
        <w:rPr>
          <w:rFonts w:cs="Arial"/>
          <w:color w:val="auto"/>
          <w:lang w:val="en-US"/>
        </w:rPr>
      </w:pPr>
      <w:bookmarkStart w:id="24" w:name="_Ref40387147"/>
      <w:bookmarkStart w:id="25" w:name="_Toc39006158"/>
      <w:bookmarkStart w:id="26" w:name="_Ref40387127"/>
      <w:bookmarkStart w:id="27" w:name="_Toc42077593"/>
      <w:r w:rsidRPr="00AE271C">
        <w:rPr>
          <w:color w:val="auto"/>
          <w:lang w:val="en-US"/>
        </w:rPr>
        <w:t xml:space="preserve">Figure </w:t>
      </w:r>
      <w:r w:rsidRPr="00AE271C">
        <w:rPr>
          <w:color w:val="auto"/>
        </w:rPr>
        <w:fldChar w:fldCharType="begin"/>
      </w:r>
      <w:r w:rsidRPr="00AE271C">
        <w:rPr>
          <w:color w:val="auto"/>
          <w:lang w:val="en-US"/>
        </w:rPr>
        <w:instrText xml:space="preserve"> SEQ Figure \* ARABIC </w:instrText>
      </w:r>
      <w:r w:rsidRPr="00AE271C">
        <w:rPr>
          <w:color w:val="auto"/>
        </w:rPr>
        <w:fldChar w:fldCharType="separate"/>
      </w:r>
      <w:r w:rsidR="00B75C93">
        <w:rPr>
          <w:noProof/>
          <w:color w:val="auto"/>
          <w:lang w:val="en-US"/>
        </w:rPr>
        <w:t>2</w:t>
      </w:r>
      <w:r w:rsidRPr="00AE271C">
        <w:rPr>
          <w:color w:val="auto"/>
        </w:rPr>
        <w:fldChar w:fldCharType="end"/>
      </w:r>
      <w:bookmarkEnd w:id="24"/>
      <w:r w:rsidRPr="00AE271C">
        <w:rPr>
          <w:color w:val="auto"/>
          <w:lang w:val="en-US"/>
        </w:rPr>
        <w:t>: Change In Numbers Of Credit Institutions From 2017-2018</w:t>
      </w:r>
      <w:r>
        <w:rPr>
          <w:color w:val="auto"/>
          <w:lang w:val="en-US"/>
        </w:rPr>
        <w:t xml:space="preserve"> </w:t>
      </w:r>
      <w:sdt>
        <w:sdtPr>
          <w:rPr>
            <w:color w:val="auto"/>
            <w:lang w:val="en-US"/>
          </w:rPr>
          <w:id w:val="514500960"/>
          <w:citation/>
        </w:sdtPr>
        <w:sdtEndPr/>
        <w:sdtContent>
          <w:r>
            <w:rPr>
              <w:color w:val="auto"/>
              <w:lang w:val="en-US"/>
            </w:rPr>
            <w:fldChar w:fldCharType="begin"/>
          </w:r>
          <w:r w:rsidRPr="00AE271C">
            <w:rPr>
              <w:color w:val="auto"/>
              <w:lang w:val="en-US"/>
            </w:rPr>
            <w:instrText xml:space="preserve"> CITATION Eur19 \l 3079 </w:instrText>
          </w:r>
          <w:r>
            <w:rPr>
              <w:color w:val="auto"/>
              <w:lang w:val="en-US"/>
            </w:rPr>
            <w:fldChar w:fldCharType="separate"/>
          </w:r>
          <w:r w:rsidRPr="00AE271C">
            <w:rPr>
              <w:noProof/>
              <w:color w:val="auto"/>
              <w:lang w:val="en-US"/>
            </w:rPr>
            <w:t>(European Banking Federation, 2019)</w:t>
          </w:r>
          <w:r>
            <w:rPr>
              <w:color w:val="auto"/>
              <w:lang w:val="en-US"/>
            </w:rPr>
            <w:fldChar w:fldCharType="end"/>
          </w:r>
        </w:sdtContent>
      </w:sdt>
      <w:bookmarkEnd w:id="25"/>
      <w:bookmarkEnd w:id="26"/>
      <w:bookmarkEnd w:id="27"/>
    </w:p>
    <w:p w14:paraId="0FD23EEF" w14:textId="53BC6F8D" w:rsidR="00481202" w:rsidRPr="00376A38" w:rsidRDefault="00481202" w:rsidP="00481202">
      <w:pPr>
        <w:spacing w:line="360" w:lineRule="auto"/>
        <w:ind w:right="567"/>
        <w:rPr>
          <w:rFonts w:cs="Arial"/>
          <w:lang w:val="en-US"/>
        </w:rPr>
      </w:pPr>
      <w:r w:rsidRPr="007E7BDB">
        <w:rPr>
          <w:rFonts w:cs="Arial"/>
          <w:lang w:val="en-US"/>
        </w:rPr>
        <w:t>In 201</w:t>
      </w:r>
      <w:r>
        <w:rPr>
          <w:rFonts w:cs="Arial"/>
          <w:lang w:val="en-US"/>
        </w:rPr>
        <w:t>8</w:t>
      </w:r>
      <w:r w:rsidRPr="007E7BDB">
        <w:rPr>
          <w:rFonts w:cs="Arial"/>
          <w:lang w:val="en-US"/>
        </w:rPr>
        <w:t xml:space="preserve">, around </w:t>
      </w:r>
      <w:r>
        <w:rPr>
          <w:rFonts w:cs="Arial"/>
          <w:lang w:val="en-US"/>
        </w:rPr>
        <w:t>10</w:t>
      </w:r>
      <w:r w:rsidRPr="007E7BDB">
        <w:rPr>
          <w:rFonts w:cs="Arial"/>
          <w:lang w:val="en-US"/>
        </w:rPr>
        <w:t>,</w:t>
      </w:r>
      <w:r>
        <w:rPr>
          <w:rFonts w:cs="Arial"/>
          <w:lang w:val="en-US"/>
        </w:rPr>
        <w:t>0</w:t>
      </w:r>
      <w:r w:rsidRPr="007E7BDB">
        <w:rPr>
          <w:rFonts w:cs="Arial"/>
          <w:lang w:val="en-US"/>
        </w:rPr>
        <w:t xml:space="preserve">00 branches were closed in Europe, a decrease of </w:t>
      </w:r>
      <w:r>
        <w:rPr>
          <w:rFonts w:cs="Arial"/>
          <w:lang w:val="en-US"/>
        </w:rPr>
        <w:t>5</w:t>
      </w:r>
      <w:r w:rsidRPr="007E7BDB">
        <w:rPr>
          <w:rFonts w:cs="Arial"/>
          <w:lang w:val="en-US"/>
        </w:rPr>
        <w:t>.</w:t>
      </w:r>
      <w:r>
        <w:rPr>
          <w:rFonts w:cs="Arial"/>
          <w:lang w:val="en-US"/>
        </w:rPr>
        <w:t>6</w:t>
      </w:r>
      <w:r w:rsidRPr="007E7BDB">
        <w:rPr>
          <w:rFonts w:cs="Arial"/>
          <w:lang w:val="en-US"/>
        </w:rPr>
        <w:t>% to approximately 1</w:t>
      </w:r>
      <w:r>
        <w:rPr>
          <w:rFonts w:cs="Arial"/>
          <w:lang w:val="en-US"/>
        </w:rPr>
        <w:t>74</w:t>
      </w:r>
      <w:r w:rsidRPr="007E7BDB">
        <w:rPr>
          <w:rFonts w:cs="Arial"/>
          <w:lang w:val="en-US"/>
        </w:rPr>
        <w:t>,000</w:t>
      </w:r>
      <w:r>
        <w:rPr>
          <w:rFonts w:cs="Arial"/>
          <w:lang w:val="en-US"/>
        </w:rPr>
        <w:t>, which indicates the largest drop since the financial crisis in 2008</w:t>
      </w:r>
      <w:r w:rsidRPr="007E7BDB">
        <w:rPr>
          <w:rFonts w:cs="Arial"/>
          <w:lang w:val="en-US"/>
        </w:rPr>
        <w:t xml:space="preserve">. </w:t>
      </w:r>
      <w:r>
        <w:rPr>
          <w:rFonts w:cs="Arial"/>
          <w:lang w:val="en-US"/>
        </w:rPr>
        <w:t>According to the European Bank Federation,</w:t>
      </w:r>
      <w:r w:rsidRPr="007E7BDB">
        <w:rPr>
          <w:rFonts w:cs="Arial"/>
          <w:lang w:val="en-US"/>
        </w:rPr>
        <w:t xml:space="preserve"> </w:t>
      </w:r>
      <w:r>
        <w:rPr>
          <w:rFonts w:cs="Arial"/>
          <w:lang w:val="en-US"/>
        </w:rPr>
        <w:t>54%</w:t>
      </w:r>
      <w:r w:rsidRPr="0057442E">
        <w:rPr>
          <w:rFonts w:cs="Arial"/>
          <w:lang w:val="en-US"/>
        </w:rPr>
        <w:t xml:space="preserve"> </w:t>
      </w:r>
      <w:r>
        <w:rPr>
          <w:rFonts w:cs="Arial"/>
          <w:lang w:val="en-US"/>
        </w:rPr>
        <w:t xml:space="preserve">of all </w:t>
      </w:r>
      <w:r w:rsidRPr="007E7BDB">
        <w:rPr>
          <w:rFonts w:cs="Arial"/>
          <w:lang w:val="en-US"/>
        </w:rPr>
        <w:t xml:space="preserve">bank customers, almost twice as many </w:t>
      </w:r>
      <w:r>
        <w:rPr>
          <w:rFonts w:cs="Arial"/>
          <w:lang w:val="en-US"/>
        </w:rPr>
        <w:t xml:space="preserve">as ten years ago, currently </w:t>
      </w:r>
      <w:r w:rsidRPr="007E7BDB">
        <w:rPr>
          <w:rFonts w:cs="Arial"/>
          <w:lang w:val="en-US"/>
        </w:rPr>
        <w:t>use internet banking. At the end of 201</w:t>
      </w:r>
      <w:r>
        <w:rPr>
          <w:rFonts w:cs="Arial"/>
          <w:lang w:val="en-US"/>
        </w:rPr>
        <w:t>8</w:t>
      </w:r>
      <w:r w:rsidRPr="007E7BDB">
        <w:rPr>
          <w:rFonts w:cs="Arial"/>
          <w:lang w:val="en-US"/>
        </w:rPr>
        <w:t xml:space="preserve">, the number of bank employees fell to 2.7 million, the lowest level since the start of the ECB statistics in 1997. </w:t>
      </w:r>
      <w:r>
        <w:rPr>
          <w:rFonts w:cs="Arial"/>
          <w:lang w:val="en-US"/>
        </w:rPr>
        <w:t>Compared to</w:t>
      </w:r>
      <w:r w:rsidRPr="007E7BDB">
        <w:rPr>
          <w:rFonts w:cs="Arial"/>
          <w:lang w:val="en-US"/>
        </w:rPr>
        <w:t xml:space="preserve"> 2009,</w:t>
      </w:r>
      <w:r>
        <w:rPr>
          <w:rFonts w:cs="Arial"/>
          <w:lang w:val="en-US"/>
        </w:rPr>
        <w:t xml:space="preserve"> when</w:t>
      </w:r>
      <w:r w:rsidRPr="007E7BDB">
        <w:rPr>
          <w:rFonts w:cs="Arial"/>
          <w:lang w:val="en-US"/>
        </w:rPr>
        <w:t xml:space="preserve"> 3.1 million people were employed by European banks</w:t>
      </w:r>
      <w:r>
        <w:rPr>
          <w:rFonts w:cs="Arial"/>
          <w:lang w:val="en-US"/>
        </w:rPr>
        <w:t>, that is a significant staff reduction</w:t>
      </w:r>
      <w:r w:rsidRPr="007E7BDB">
        <w:rPr>
          <w:rFonts w:cs="Arial"/>
          <w:lang w:val="en-US"/>
        </w:rPr>
        <w:t>.</w:t>
      </w:r>
      <w:r>
        <w:rPr>
          <w:rFonts w:cs="Arial"/>
          <w:lang w:val="en-US"/>
        </w:rPr>
        <w:t xml:space="preserve"> </w:t>
      </w:r>
      <w:r w:rsidRPr="004E7405">
        <w:rPr>
          <w:rFonts w:cs="Arial"/>
          <w:lang w:val="en-US"/>
        </w:rPr>
        <w:t>Household and corporate deposits rose by 2.5% in the EU to 16,300</w:t>
      </w:r>
      <w:r>
        <w:rPr>
          <w:rFonts w:cs="Arial"/>
          <w:lang w:val="en-US"/>
        </w:rPr>
        <w:t xml:space="preserve"> </w:t>
      </w:r>
      <w:r w:rsidRPr="004E7405">
        <w:rPr>
          <w:rFonts w:cs="Arial"/>
          <w:lang w:val="en-US"/>
        </w:rPr>
        <w:t>billion</w:t>
      </w:r>
      <w:r>
        <w:rPr>
          <w:rFonts w:cs="Arial"/>
          <w:lang w:val="en-US"/>
        </w:rPr>
        <w:t xml:space="preserve"> Euro</w:t>
      </w:r>
      <w:r w:rsidRPr="004E7405">
        <w:rPr>
          <w:rFonts w:cs="Arial"/>
          <w:lang w:val="en-US"/>
        </w:rPr>
        <w:t xml:space="preserve">, including EUR 12,100 in the euro area. </w:t>
      </w:r>
      <w:r>
        <w:rPr>
          <w:rFonts w:cs="Arial"/>
          <w:lang w:val="en-US"/>
        </w:rPr>
        <w:t xml:space="preserve">In contrast, the majority of bank loans </w:t>
      </w:r>
      <w:r w:rsidRPr="00031EFB">
        <w:rPr>
          <w:rFonts w:cs="Arial"/>
          <w:lang w:val="en-US"/>
        </w:rPr>
        <w:t>are provided to non-financial corporations and households</w:t>
      </w:r>
      <w:r>
        <w:rPr>
          <w:rFonts w:cs="Arial"/>
          <w:lang w:val="en-US"/>
        </w:rPr>
        <w:t>. Furthermore</w:t>
      </w:r>
      <w:r w:rsidRPr="005947A8">
        <w:rPr>
          <w:rFonts w:cs="Arial"/>
          <w:lang w:val="en-US"/>
        </w:rPr>
        <w:t xml:space="preserve"> SMEs</w:t>
      </w:r>
      <w:r>
        <w:rPr>
          <w:rFonts w:cs="Arial"/>
          <w:lang w:val="en-US"/>
        </w:rPr>
        <w:t xml:space="preserve"> (small and medium enterprises)</w:t>
      </w:r>
      <w:r w:rsidRPr="005947A8">
        <w:rPr>
          <w:rFonts w:cs="Arial"/>
          <w:lang w:val="en-US"/>
        </w:rPr>
        <w:t xml:space="preserve"> received 47% of their financing from bank loans and only 12% from equity</w:t>
      </w:r>
      <w:r>
        <w:rPr>
          <w:rFonts w:cs="Arial"/>
          <w:lang w:val="en-US"/>
        </w:rPr>
        <w:t xml:space="preserve"> </w:t>
      </w:r>
      <w:r w:rsidRPr="005947A8">
        <w:rPr>
          <w:rFonts w:cs="Arial"/>
          <w:lang w:val="en-US"/>
        </w:rPr>
        <w:t>in 2018</w:t>
      </w:r>
      <w:r>
        <w:rPr>
          <w:rFonts w:cs="Arial"/>
          <w:lang w:val="en-US"/>
        </w:rPr>
        <w:t>, which confirms the importance of the banking industry for the European economy</w:t>
      </w:r>
      <w:r w:rsidR="00376A38">
        <w:rPr>
          <w:rFonts w:cs="Arial"/>
          <w:lang w:val="en-US"/>
        </w:rPr>
        <w:t xml:space="preserve"> </w:t>
      </w:r>
      <w:sdt>
        <w:sdtPr>
          <w:rPr>
            <w:rFonts w:cs="Arial"/>
            <w:lang w:val="en-US"/>
          </w:rPr>
          <w:id w:val="805058945"/>
          <w:citation/>
        </w:sdtPr>
        <w:sdtEndPr/>
        <w:sdtContent>
          <w:r w:rsidR="00376A38">
            <w:rPr>
              <w:rFonts w:cs="Arial"/>
              <w:lang w:val="en-US"/>
            </w:rPr>
            <w:fldChar w:fldCharType="begin"/>
          </w:r>
          <w:r w:rsidR="00376A38" w:rsidRPr="00376A38">
            <w:rPr>
              <w:rFonts w:cs="Arial"/>
              <w:lang w:val="en-US"/>
            </w:rPr>
            <w:instrText xml:space="preserve"> CITATION Eur19 \l 3079 </w:instrText>
          </w:r>
          <w:r w:rsidR="00376A38">
            <w:rPr>
              <w:rFonts w:cs="Arial"/>
              <w:lang w:val="en-US"/>
            </w:rPr>
            <w:fldChar w:fldCharType="separate"/>
          </w:r>
          <w:r w:rsidR="00376A38" w:rsidRPr="00376A38">
            <w:rPr>
              <w:rFonts w:cs="Arial"/>
              <w:noProof/>
              <w:lang w:val="en-US"/>
            </w:rPr>
            <w:t>(European Banking Federation, 2019)</w:t>
          </w:r>
          <w:r w:rsidR="00376A38">
            <w:rPr>
              <w:rFonts w:cs="Arial"/>
              <w:lang w:val="en-US"/>
            </w:rPr>
            <w:fldChar w:fldCharType="end"/>
          </w:r>
        </w:sdtContent>
      </w:sdt>
      <w:r>
        <w:rPr>
          <w:rFonts w:cs="Arial"/>
          <w:lang w:val="en-US"/>
        </w:rPr>
        <w:t>.</w:t>
      </w:r>
    </w:p>
    <w:p w14:paraId="0FC50DE6" w14:textId="778149E0" w:rsidR="00481202" w:rsidRDefault="00481202" w:rsidP="009E71A1">
      <w:pPr>
        <w:pStyle w:val="berschrift2"/>
        <w:rPr>
          <w:lang w:val="en-US"/>
        </w:rPr>
      </w:pPr>
      <w:bookmarkStart w:id="28" w:name="_Toc42077745"/>
      <w:r>
        <w:rPr>
          <w:lang w:val="en-US"/>
        </w:rPr>
        <w:t>Recent Developments</w:t>
      </w:r>
      <w:bookmarkEnd w:id="28"/>
    </w:p>
    <w:p w14:paraId="15B2F771" w14:textId="0DA785ED" w:rsidR="00481202" w:rsidRDefault="00481202" w:rsidP="00481202">
      <w:pPr>
        <w:spacing w:line="360" w:lineRule="auto"/>
        <w:ind w:right="567"/>
        <w:rPr>
          <w:rFonts w:cs="Arial"/>
          <w:lang w:val="en-US"/>
        </w:rPr>
      </w:pPr>
      <w:r>
        <w:rPr>
          <w:rFonts w:cs="Arial"/>
          <w:lang w:val="en-US"/>
        </w:rPr>
        <w:t>The banking industry is clearly effected by the digitalization as well as by the globalization. Modern technologies, like mobile and online banking, experience a</w:t>
      </w:r>
      <w:r w:rsidR="00D2430A">
        <w:rPr>
          <w:rFonts w:cs="Arial"/>
          <w:lang w:val="en-US"/>
        </w:rPr>
        <w:t>n</w:t>
      </w:r>
      <w:r>
        <w:rPr>
          <w:rFonts w:cs="Arial"/>
          <w:lang w:val="en-US"/>
        </w:rPr>
        <w:t xml:space="preserve"> increasing demand, since convenience and speed are inevitable for every service in today’s highly developed economy. According to Andrew </w:t>
      </w:r>
      <w:proofErr w:type="spellStart"/>
      <w:r>
        <w:rPr>
          <w:rFonts w:cs="Arial"/>
          <w:lang w:val="en-US"/>
        </w:rPr>
        <w:t>Meola</w:t>
      </w:r>
      <w:proofErr w:type="spellEnd"/>
      <w:r>
        <w:rPr>
          <w:rFonts w:cs="Arial"/>
          <w:lang w:val="en-US"/>
        </w:rPr>
        <w:t xml:space="preserve"> from Business Insider this applies especially to Millennials and older members of Generation Z, who are not willing to manage their banking businesses offline</w:t>
      </w:r>
      <w:r w:rsidR="00E14620">
        <w:rPr>
          <w:rFonts w:cs="Arial"/>
          <w:lang w:val="en-US"/>
        </w:rPr>
        <w:t xml:space="preserve"> </w:t>
      </w:r>
      <w:sdt>
        <w:sdtPr>
          <w:rPr>
            <w:rFonts w:cs="Arial"/>
            <w:lang w:val="en-US"/>
          </w:rPr>
          <w:id w:val="-1141033254"/>
          <w:citation/>
        </w:sdtPr>
        <w:sdtEndPr/>
        <w:sdtContent>
          <w:r w:rsidR="00E14620">
            <w:rPr>
              <w:rFonts w:cs="Arial"/>
              <w:lang w:val="en-US"/>
            </w:rPr>
            <w:fldChar w:fldCharType="begin"/>
          </w:r>
          <w:r w:rsidR="00E14620" w:rsidRPr="00E14620">
            <w:rPr>
              <w:rFonts w:cs="Arial"/>
              <w:lang w:val="en-US"/>
            </w:rPr>
            <w:instrText xml:space="preserve"> CITATION Meo19 \l 3079 </w:instrText>
          </w:r>
          <w:r w:rsidR="00E14620">
            <w:rPr>
              <w:rFonts w:cs="Arial"/>
              <w:lang w:val="en-US"/>
            </w:rPr>
            <w:fldChar w:fldCharType="separate"/>
          </w:r>
          <w:r w:rsidR="00E14620" w:rsidRPr="00E14620">
            <w:rPr>
              <w:rFonts w:cs="Arial"/>
              <w:noProof/>
              <w:lang w:val="en-US"/>
            </w:rPr>
            <w:t>(Meola, 2019)</w:t>
          </w:r>
          <w:r w:rsidR="00E14620">
            <w:rPr>
              <w:rFonts w:cs="Arial"/>
              <w:lang w:val="en-US"/>
            </w:rPr>
            <w:fldChar w:fldCharType="end"/>
          </w:r>
        </w:sdtContent>
      </w:sdt>
      <w:r w:rsidR="00E14620">
        <w:rPr>
          <w:rFonts w:cs="Arial"/>
          <w:lang w:val="en-US"/>
        </w:rPr>
        <w:t xml:space="preserve">. </w:t>
      </w:r>
      <w:r>
        <w:rPr>
          <w:rFonts w:cs="Arial"/>
          <w:lang w:val="en-US"/>
        </w:rPr>
        <w:t>As already mentioned, since 2008</w:t>
      </w:r>
      <w:r w:rsidRPr="00A16543">
        <w:rPr>
          <w:rFonts w:cs="Arial"/>
          <w:lang w:val="en-US"/>
        </w:rPr>
        <w:t xml:space="preserve"> the number of branches has fallen by 27%, </w:t>
      </w:r>
      <w:r>
        <w:rPr>
          <w:rFonts w:cs="Arial"/>
          <w:lang w:val="en-US"/>
        </w:rPr>
        <w:t>respectively</w:t>
      </w:r>
      <w:r w:rsidRPr="00A16543">
        <w:rPr>
          <w:rFonts w:cs="Arial"/>
          <w:lang w:val="en-US"/>
        </w:rPr>
        <w:t xml:space="preserve"> by almost 65,000</w:t>
      </w:r>
      <w:r w:rsidR="00955A12">
        <w:rPr>
          <w:rFonts w:cs="Arial"/>
          <w:lang w:val="en-US"/>
        </w:rPr>
        <w:t xml:space="preserve"> </w:t>
      </w:r>
      <w:r w:rsidR="00B76BEC">
        <w:rPr>
          <w:rFonts w:cs="Arial"/>
          <w:lang w:val="en-US"/>
        </w:rPr>
        <w:t>objects</w:t>
      </w:r>
      <w:r w:rsidRPr="00A16543">
        <w:rPr>
          <w:rFonts w:cs="Arial"/>
          <w:lang w:val="en-US"/>
        </w:rPr>
        <w:t xml:space="preserve">. </w:t>
      </w:r>
      <w:r>
        <w:rPr>
          <w:rFonts w:cs="Arial"/>
          <w:lang w:val="en-US"/>
        </w:rPr>
        <w:t xml:space="preserve">The trend addressed above seems to be confirmed by the data. In 2019 </w:t>
      </w:r>
      <w:r w:rsidRPr="00A16543">
        <w:rPr>
          <w:rFonts w:cs="Arial"/>
          <w:lang w:val="en-US"/>
        </w:rPr>
        <w:t xml:space="preserve">half of EU individuals, 54%, used internet banking in 2018, up from 51% in 2017, and 25% in 2007, when the </w:t>
      </w:r>
      <w:r w:rsidRPr="00A16543">
        <w:rPr>
          <w:rFonts w:cs="Arial"/>
          <w:lang w:val="en-US"/>
        </w:rPr>
        <w:lastRenderedPageBreak/>
        <w:t>data series began</w:t>
      </w:r>
      <w:r w:rsidR="00226A48">
        <w:rPr>
          <w:rFonts w:cs="Arial"/>
          <w:lang w:val="en-US"/>
        </w:rPr>
        <w:t xml:space="preserve"> </w:t>
      </w:r>
      <w:sdt>
        <w:sdtPr>
          <w:rPr>
            <w:rFonts w:cs="Arial"/>
            <w:lang w:val="en-US"/>
          </w:rPr>
          <w:id w:val="1078327213"/>
          <w:citation/>
        </w:sdtPr>
        <w:sdtEndPr/>
        <w:sdtContent>
          <w:r w:rsidR="00226A48">
            <w:rPr>
              <w:rFonts w:cs="Arial"/>
              <w:lang w:val="en-US"/>
            </w:rPr>
            <w:fldChar w:fldCharType="begin"/>
          </w:r>
          <w:r w:rsidR="00226A48" w:rsidRPr="00226A48">
            <w:rPr>
              <w:rFonts w:cs="Arial"/>
              <w:lang w:val="en-US"/>
            </w:rPr>
            <w:instrText xml:space="preserve"> CITATION Eur19 \l 3079 </w:instrText>
          </w:r>
          <w:r w:rsidR="00226A48">
            <w:rPr>
              <w:rFonts w:cs="Arial"/>
              <w:lang w:val="en-US"/>
            </w:rPr>
            <w:fldChar w:fldCharType="separate"/>
          </w:r>
          <w:r w:rsidR="00226A48" w:rsidRPr="00226A48">
            <w:rPr>
              <w:rFonts w:cs="Arial"/>
              <w:noProof/>
              <w:lang w:val="en-US"/>
            </w:rPr>
            <w:t>(European Banking Federation, 2019)</w:t>
          </w:r>
          <w:r w:rsidR="00226A48">
            <w:rPr>
              <w:rFonts w:cs="Arial"/>
              <w:lang w:val="en-US"/>
            </w:rPr>
            <w:fldChar w:fldCharType="end"/>
          </w:r>
        </w:sdtContent>
      </w:sdt>
      <w:r w:rsidRPr="00A16543">
        <w:rPr>
          <w:rFonts w:cs="Arial"/>
          <w:lang w:val="en-US"/>
        </w:rPr>
        <w:t>.</w:t>
      </w:r>
      <w:r>
        <w:rPr>
          <w:rFonts w:cs="Arial"/>
          <w:lang w:val="en-US"/>
        </w:rPr>
        <w:t xml:space="preserve"> However, banking in the digital environment will be further analyzed in chapter </w:t>
      </w:r>
      <w:r w:rsidR="0020439B" w:rsidRPr="0020439B">
        <w:rPr>
          <w:rFonts w:cs="Arial"/>
          <w:u w:val="single"/>
          <w:lang w:val="en-US"/>
        </w:rPr>
        <w:fldChar w:fldCharType="begin"/>
      </w:r>
      <w:r w:rsidR="0020439B" w:rsidRPr="0020439B">
        <w:rPr>
          <w:rFonts w:cs="Arial"/>
          <w:u w:val="single"/>
          <w:lang w:val="en-US"/>
        </w:rPr>
        <w:instrText xml:space="preserve"> REF _Ref40387234 \r \h </w:instrText>
      </w:r>
      <w:r w:rsidR="0020439B" w:rsidRPr="0020439B">
        <w:rPr>
          <w:rFonts w:cs="Arial"/>
          <w:u w:val="single"/>
          <w:lang w:val="en-US"/>
        </w:rPr>
      </w:r>
      <w:r w:rsidR="0020439B" w:rsidRPr="0020439B">
        <w:rPr>
          <w:rFonts w:cs="Arial"/>
          <w:u w:val="single"/>
          <w:lang w:val="en-US"/>
        </w:rPr>
        <w:fldChar w:fldCharType="separate"/>
      </w:r>
      <w:r w:rsidR="00B75C93">
        <w:rPr>
          <w:rFonts w:cs="Arial"/>
          <w:u w:val="single"/>
          <w:lang w:val="en-US"/>
        </w:rPr>
        <w:t>6</w:t>
      </w:r>
      <w:r w:rsidR="0020439B" w:rsidRPr="0020439B">
        <w:rPr>
          <w:rFonts w:cs="Arial"/>
          <w:u w:val="single"/>
          <w:lang w:val="en-US"/>
        </w:rPr>
        <w:fldChar w:fldCharType="end"/>
      </w:r>
      <w:r>
        <w:rPr>
          <w:rFonts w:cs="Arial"/>
          <w:lang w:val="en-US"/>
        </w:rPr>
        <w:t xml:space="preserve">. Changes considering cross border banking in Europe can be observed as well. </w:t>
      </w:r>
    </w:p>
    <w:p w14:paraId="0DCB5716" w14:textId="15BDAC34" w:rsidR="00481202" w:rsidRDefault="00481202" w:rsidP="00481202">
      <w:pPr>
        <w:spacing w:line="360" w:lineRule="auto"/>
        <w:ind w:left="567" w:right="567"/>
        <w:rPr>
          <w:rFonts w:cs="Arial"/>
          <w:lang w:val="en-US"/>
        </w:rPr>
      </w:pPr>
      <w:r w:rsidRPr="0095536E">
        <w:rPr>
          <w:rFonts w:cs="Arial"/>
          <w:lang w:val="en-US"/>
        </w:rPr>
        <w:t>Banks located in the euro area and in the rest of the EU reduced their cross-border bank claims by</w:t>
      </w:r>
      <w:r>
        <w:rPr>
          <w:rFonts w:cs="Arial"/>
          <w:lang w:val="en-US"/>
        </w:rPr>
        <w:t xml:space="preserve"> </w:t>
      </w:r>
      <w:r w:rsidRPr="0095536E">
        <w:rPr>
          <w:rFonts w:cs="Arial"/>
          <w:lang w:val="en-US"/>
        </w:rPr>
        <w:t>around 25% since the global financial crisis, driven by a sharp and sustained reduction in intra-EU</w:t>
      </w:r>
      <w:r>
        <w:rPr>
          <w:rFonts w:cs="Arial"/>
          <w:lang w:val="en-US"/>
        </w:rPr>
        <w:t xml:space="preserve"> </w:t>
      </w:r>
      <w:r w:rsidRPr="0095536E">
        <w:rPr>
          <w:rFonts w:cs="Arial"/>
          <w:lang w:val="en-US"/>
        </w:rPr>
        <w:t>claims, which make up 60% of total EU cross-border claims. Within the EU, banks have cut their</w:t>
      </w:r>
      <w:r>
        <w:rPr>
          <w:rFonts w:cs="Arial"/>
          <w:lang w:val="en-US"/>
        </w:rPr>
        <w:t xml:space="preserve"> </w:t>
      </w:r>
      <w:r w:rsidRPr="0095536E">
        <w:rPr>
          <w:rFonts w:cs="Arial"/>
          <w:lang w:val="en-US"/>
        </w:rPr>
        <w:t>cross-border loans by around 40% which particularly affected cross-border interbank lending</w:t>
      </w:r>
      <w:r w:rsidR="007821B0">
        <w:rPr>
          <w:rFonts w:cs="Arial"/>
          <w:lang w:val="en-US"/>
        </w:rPr>
        <w:t>.</w:t>
      </w:r>
      <w:r>
        <w:rPr>
          <w:rFonts w:cs="Arial"/>
          <w:lang w:val="en-US"/>
        </w:rPr>
        <w:t xml:space="preserve"> </w:t>
      </w:r>
      <w:sdt>
        <w:sdtPr>
          <w:rPr>
            <w:rFonts w:cs="Arial"/>
            <w:lang w:val="en-US"/>
          </w:rPr>
          <w:id w:val="-860899071"/>
          <w:citation/>
        </w:sdtPr>
        <w:sdtEndPr/>
        <w:sdtContent>
          <w:r w:rsidR="00464F5A">
            <w:rPr>
              <w:rFonts w:cs="Arial"/>
              <w:lang w:val="en-US"/>
            </w:rPr>
            <w:fldChar w:fldCharType="begin"/>
          </w:r>
          <w:r w:rsidR="00464F5A" w:rsidRPr="00464F5A">
            <w:rPr>
              <w:rFonts w:cs="Arial"/>
              <w:lang w:val="en-US"/>
            </w:rPr>
            <w:instrText xml:space="preserve"> CITATION Emt18 \l 3079 </w:instrText>
          </w:r>
          <w:r w:rsidR="00464F5A">
            <w:rPr>
              <w:rFonts w:cs="Arial"/>
              <w:lang w:val="en-US"/>
            </w:rPr>
            <w:fldChar w:fldCharType="separate"/>
          </w:r>
          <w:r w:rsidR="00464F5A" w:rsidRPr="00464F5A">
            <w:rPr>
              <w:rFonts w:cs="Arial"/>
              <w:noProof/>
              <w:lang w:val="en-US"/>
            </w:rPr>
            <w:t>(Emter, Schmitz, &amp; Tirpák, 2018)</w:t>
          </w:r>
          <w:r w:rsidR="00464F5A">
            <w:rPr>
              <w:rFonts w:cs="Arial"/>
              <w:lang w:val="en-US"/>
            </w:rPr>
            <w:fldChar w:fldCharType="end"/>
          </w:r>
        </w:sdtContent>
      </w:sdt>
    </w:p>
    <w:p w14:paraId="4CD8A0D6" w14:textId="354DD9F6" w:rsidR="00481202" w:rsidRPr="00216883" w:rsidRDefault="00481202" w:rsidP="00481202">
      <w:pPr>
        <w:spacing w:line="360" w:lineRule="auto"/>
        <w:rPr>
          <w:rFonts w:cs="Arial"/>
          <w:lang w:val="en-US"/>
        </w:rPr>
      </w:pPr>
      <w:r>
        <w:rPr>
          <w:rFonts w:cs="Arial"/>
          <w:lang w:val="en-US"/>
        </w:rPr>
        <w:t xml:space="preserve">Further significant shifts regarding banking, that emerged from the financial crisis in 2008, are intentionally induced by the European Union. </w:t>
      </w:r>
      <w:r w:rsidRPr="00D205D5">
        <w:rPr>
          <w:rFonts w:cs="Arial"/>
          <w:lang w:val="en-US"/>
        </w:rPr>
        <w:t>The regulations under Basel III provide stricter regulation of bank</w:t>
      </w:r>
      <w:r>
        <w:rPr>
          <w:rFonts w:cs="Arial"/>
          <w:lang w:val="en-US"/>
        </w:rPr>
        <w:t>ing institutions</w:t>
      </w:r>
      <w:r w:rsidRPr="00D205D5">
        <w:rPr>
          <w:rFonts w:cs="Arial"/>
          <w:lang w:val="en-US"/>
        </w:rPr>
        <w:t xml:space="preserve"> and were first published in 2010. In the </w:t>
      </w:r>
      <w:r>
        <w:rPr>
          <w:rFonts w:cs="Arial"/>
          <w:lang w:val="en-US"/>
        </w:rPr>
        <w:t>EU</w:t>
      </w:r>
      <w:r w:rsidRPr="00D205D5">
        <w:rPr>
          <w:rFonts w:cs="Arial"/>
          <w:lang w:val="en-US"/>
        </w:rPr>
        <w:t xml:space="preserve">, they came into force in the form of a new equity capital directive in 2014. </w:t>
      </w:r>
      <w:r>
        <w:rPr>
          <w:rFonts w:cs="Arial"/>
          <w:lang w:val="en-US"/>
        </w:rPr>
        <w:t>Basically</w:t>
      </w:r>
      <w:r w:rsidRPr="00D205D5">
        <w:rPr>
          <w:rFonts w:cs="Arial"/>
          <w:lang w:val="en-US"/>
        </w:rPr>
        <w:t xml:space="preserve"> Basel III </w:t>
      </w:r>
      <w:r>
        <w:rPr>
          <w:rFonts w:cs="Arial"/>
          <w:lang w:val="en-US"/>
        </w:rPr>
        <w:t>was</w:t>
      </w:r>
      <w:r w:rsidRPr="00D205D5">
        <w:rPr>
          <w:rFonts w:cs="Arial"/>
          <w:lang w:val="en-US"/>
        </w:rPr>
        <w:t xml:space="preserve"> </w:t>
      </w:r>
      <w:r>
        <w:rPr>
          <w:rFonts w:cs="Arial"/>
          <w:lang w:val="en-US"/>
        </w:rPr>
        <w:t>introduced to create</w:t>
      </w:r>
      <w:r w:rsidRPr="00D205D5">
        <w:rPr>
          <w:rFonts w:cs="Arial"/>
          <w:lang w:val="en-US"/>
        </w:rPr>
        <w:t xml:space="preserve"> a comprehensive protective mechanism consisting of several buffers, which ensure security in times of crisis and make government financial aid for banks unnecessary.</w:t>
      </w:r>
      <w:r>
        <w:rPr>
          <w:rFonts w:cs="Arial"/>
          <w:lang w:val="en-US"/>
        </w:rPr>
        <w:t xml:space="preserve"> However, the customer is not directly affected by these regulations</w:t>
      </w:r>
      <w:r w:rsidR="00216883">
        <w:rPr>
          <w:rFonts w:cs="Arial"/>
          <w:lang w:val="en-US"/>
        </w:rPr>
        <w:t xml:space="preserve"> </w:t>
      </w:r>
      <w:sdt>
        <w:sdtPr>
          <w:rPr>
            <w:rFonts w:cs="Arial"/>
            <w:lang w:val="en-US"/>
          </w:rPr>
          <w:id w:val="-1533807549"/>
          <w:citation/>
        </w:sdtPr>
        <w:sdtEndPr/>
        <w:sdtContent>
          <w:r w:rsidR="00216883">
            <w:rPr>
              <w:rFonts w:cs="Arial"/>
              <w:lang w:val="en-US"/>
            </w:rPr>
            <w:fldChar w:fldCharType="begin"/>
          </w:r>
          <w:r w:rsidR="00216883" w:rsidRPr="00216883">
            <w:rPr>
              <w:rFonts w:cs="Arial"/>
              <w:lang w:val="en-US"/>
            </w:rPr>
            <w:instrText xml:space="preserve"> CITATION Eur19 \l 3079 </w:instrText>
          </w:r>
          <w:r w:rsidR="00216883">
            <w:rPr>
              <w:rFonts w:cs="Arial"/>
              <w:lang w:val="en-US"/>
            </w:rPr>
            <w:fldChar w:fldCharType="separate"/>
          </w:r>
          <w:r w:rsidR="00216883" w:rsidRPr="00216883">
            <w:rPr>
              <w:rFonts w:cs="Arial"/>
              <w:noProof/>
              <w:lang w:val="en-US"/>
            </w:rPr>
            <w:t>(European Banking Federation, 2019)</w:t>
          </w:r>
          <w:r w:rsidR="00216883">
            <w:rPr>
              <w:rFonts w:cs="Arial"/>
              <w:lang w:val="en-US"/>
            </w:rPr>
            <w:fldChar w:fldCharType="end"/>
          </w:r>
        </w:sdtContent>
      </w:sdt>
      <w:r>
        <w:rPr>
          <w:rFonts w:cs="Arial"/>
          <w:lang w:val="en-US"/>
        </w:rPr>
        <w:t>.</w:t>
      </w:r>
      <w:r w:rsidRPr="00216883">
        <w:rPr>
          <w:rFonts w:cs="Arial"/>
          <w:lang w:val="en-US"/>
        </w:rPr>
        <w:t xml:space="preserve"> </w:t>
      </w:r>
    </w:p>
    <w:p w14:paraId="1E346409" w14:textId="77777777" w:rsidR="00481202" w:rsidRDefault="00481202" w:rsidP="009719DD">
      <w:pPr>
        <w:pStyle w:val="berschrift1"/>
        <w:rPr>
          <w:lang w:val="en-US"/>
        </w:rPr>
      </w:pPr>
      <w:bookmarkStart w:id="29" w:name="_Ref40387234"/>
      <w:bookmarkStart w:id="30" w:name="_Toc42077746"/>
      <w:r w:rsidRPr="004852C9">
        <w:rPr>
          <w:lang w:val="en-US"/>
        </w:rPr>
        <w:t xml:space="preserve">Digitalization And Automation </w:t>
      </w:r>
      <w:r>
        <w:rPr>
          <w:lang w:val="en-US"/>
        </w:rPr>
        <w:t>Of</w:t>
      </w:r>
      <w:r w:rsidRPr="004852C9">
        <w:rPr>
          <w:lang w:val="en-US"/>
        </w:rPr>
        <w:t xml:space="preserve"> The Banking Industry</w:t>
      </w:r>
      <w:bookmarkEnd w:id="29"/>
      <w:bookmarkEnd w:id="30"/>
    </w:p>
    <w:p w14:paraId="5AEE63E4" w14:textId="77777777" w:rsidR="00481202" w:rsidRDefault="00481202" w:rsidP="00481202">
      <w:pPr>
        <w:spacing w:line="360" w:lineRule="auto"/>
        <w:rPr>
          <w:rFonts w:cs="Arial"/>
          <w:lang w:val="en-US"/>
        </w:rPr>
      </w:pPr>
      <w:r>
        <w:rPr>
          <w:rFonts w:cs="Arial"/>
          <w:lang w:val="en-US"/>
        </w:rPr>
        <w:t>The following chapter covers changes regarding business models in the banking sector triggered by the Digitalization. In this context the resulting kinds of services and potential challenges are described.</w:t>
      </w:r>
    </w:p>
    <w:p w14:paraId="067B0BA1" w14:textId="0E499E97" w:rsidR="00481202" w:rsidRDefault="00481202" w:rsidP="00481202">
      <w:pPr>
        <w:spacing w:line="360" w:lineRule="auto"/>
        <w:rPr>
          <w:rFonts w:cs="Arial"/>
          <w:lang w:val="en-US"/>
        </w:rPr>
      </w:pPr>
      <w:r>
        <w:rPr>
          <w:rFonts w:cs="Arial"/>
          <w:lang w:val="en-US"/>
        </w:rPr>
        <w:t>As already discussed, a</w:t>
      </w:r>
      <w:r w:rsidRPr="003B0FAA">
        <w:rPr>
          <w:rFonts w:cs="Arial"/>
          <w:lang w:val="en-US"/>
        </w:rPr>
        <w:t xml:space="preserve">lternatives to classical branch banking have attracted increasing attention as Internet usage started to spread. </w:t>
      </w:r>
      <w:r>
        <w:rPr>
          <w:rFonts w:cs="Arial"/>
          <w:lang w:val="en-US"/>
        </w:rPr>
        <w:t xml:space="preserve">Banking institutions began to benefit from internet usage since it provides a way to lower costs and enhance profits. Furthermore the web increased customer convenience and procured innovative payment methods </w:t>
      </w:r>
      <w:sdt>
        <w:sdtPr>
          <w:rPr>
            <w:rFonts w:cs="Arial"/>
            <w:lang w:val="en-US"/>
          </w:rPr>
          <w:id w:val="1845976295"/>
          <w:citation/>
        </w:sdtPr>
        <w:sdtEndPr/>
        <w:sdtContent>
          <w:r w:rsidR="00643992">
            <w:rPr>
              <w:rFonts w:cs="Arial"/>
              <w:lang w:val="en-US"/>
            </w:rPr>
            <w:fldChar w:fldCharType="begin"/>
          </w:r>
          <w:r w:rsidR="00E17C39">
            <w:rPr>
              <w:rFonts w:cs="Arial"/>
              <w:lang w:val="en-US"/>
            </w:rPr>
            <w:instrText xml:space="preserve">CITATION Arn08 \l 3079 </w:instrText>
          </w:r>
          <w:r w:rsidR="00643992">
            <w:rPr>
              <w:rFonts w:cs="Arial"/>
              <w:lang w:val="en-US"/>
            </w:rPr>
            <w:fldChar w:fldCharType="separate"/>
          </w:r>
          <w:r w:rsidR="00E17C39" w:rsidRPr="00E17C39">
            <w:rPr>
              <w:rFonts w:cs="Arial"/>
              <w:noProof/>
              <w:lang w:val="en-US"/>
            </w:rPr>
            <w:t>(Arnaboldi &amp; Claeys, 2008)</w:t>
          </w:r>
          <w:r w:rsidR="00643992">
            <w:rPr>
              <w:rFonts w:cs="Arial"/>
              <w:lang w:val="en-US"/>
            </w:rPr>
            <w:fldChar w:fldCharType="end"/>
          </w:r>
        </w:sdtContent>
      </w:sdt>
      <w:r>
        <w:rPr>
          <w:rFonts w:cs="Arial"/>
          <w:lang w:val="en-US"/>
        </w:rPr>
        <w:t>.</w:t>
      </w:r>
    </w:p>
    <w:p w14:paraId="3979E53F" w14:textId="77777777" w:rsidR="00481202" w:rsidRDefault="00481202" w:rsidP="00481202">
      <w:pPr>
        <w:spacing w:line="360" w:lineRule="auto"/>
        <w:rPr>
          <w:rFonts w:cs="Arial"/>
          <w:lang w:val="en-US"/>
        </w:rPr>
      </w:pPr>
      <w:r>
        <w:rPr>
          <w:rFonts w:cs="Arial"/>
          <w:lang w:val="en-US"/>
        </w:rPr>
        <w:t>These developments affected and created business models across industries and led to significant changes in banking. For instance innovative industries, like the FinTech industry, emerged and sustainably modified banking services.</w:t>
      </w:r>
    </w:p>
    <w:p w14:paraId="145C7FDA" w14:textId="77777777" w:rsidR="00481202" w:rsidRDefault="00481202" w:rsidP="009719DD">
      <w:pPr>
        <w:pStyle w:val="berschrift2"/>
        <w:rPr>
          <w:lang w:val="en-US"/>
        </w:rPr>
      </w:pPr>
      <w:bookmarkStart w:id="31" w:name="_Toc42077747"/>
      <w:r>
        <w:rPr>
          <w:lang w:val="en-US"/>
        </w:rPr>
        <w:t>FinTech</w:t>
      </w:r>
      <w:bookmarkEnd w:id="31"/>
    </w:p>
    <w:p w14:paraId="3BA17921" w14:textId="4DA82626" w:rsidR="00481202" w:rsidRDefault="00481202" w:rsidP="00481202">
      <w:pPr>
        <w:spacing w:line="360" w:lineRule="auto"/>
        <w:ind w:right="567"/>
        <w:rPr>
          <w:rFonts w:cs="Arial"/>
          <w:lang w:val="en-US"/>
        </w:rPr>
      </w:pPr>
      <w:r>
        <w:rPr>
          <w:rFonts w:cs="Arial"/>
          <w:lang w:val="en-US"/>
        </w:rPr>
        <w:t xml:space="preserve">According to a paper by Patrick </w:t>
      </w:r>
      <w:proofErr w:type="spellStart"/>
      <w:r>
        <w:rPr>
          <w:rFonts w:cs="Arial"/>
          <w:lang w:val="en-US"/>
        </w:rPr>
        <w:t>Schueffel</w:t>
      </w:r>
      <w:proofErr w:type="spellEnd"/>
      <w:r w:rsidR="000901E2">
        <w:rPr>
          <w:rFonts w:cs="Arial"/>
          <w:lang w:val="en-US"/>
        </w:rPr>
        <w:t xml:space="preserve"> </w:t>
      </w:r>
      <w:sdt>
        <w:sdtPr>
          <w:rPr>
            <w:rFonts w:cs="Arial"/>
            <w:lang w:val="en-US"/>
          </w:rPr>
          <w:id w:val="203690916"/>
          <w:citation/>
        </w:sdtPr>
        <w:sdtEndPr/>
        <w:sdtContent>
          <w:r w:rsidR="000901E2">
            <w:rPr>
              <w:rFonts w:cs="Arial"/>
              <w:lang w:val="en-US"/>
            </w:rPr>
            <w:fldChar w:fldCharType="begin"/>
          </w:r>
          <w:r w:rsidR="000901E2">
            <w:rPr>
              <w:rFonts w:cs="Arial"/>
              <w:lang w:val="en-US"/>
            </w:rPr>
            <w:instrText xml:space="preserve">CITATION Sch16 \n  \t  \l 3079 </w:instrText>
          </w:r>
          <w:r w:rsidR="000901E2">
            <w:rPr>
              <w:rFonts w:cs="Arial"/>
              <w:lang w:val="en-US"/>
            </w:rPr>
            <w:fldChar w:fldCharType="separate"/>
          </w:r>
          <w:r w:rsidR="000901E2" w:rsidRPr="000901E2">
            <w:rPr>
              <w:rFonts w:cs="Arial"/>
              <w:noProof/>
              <w:lang w:val="en-US"/>
            </w:rPr>
            <w:t>(2016)</w:t>
          </w:r>
          <w:r w:rsidR="000901E2">
            <w:rPr>
              <w:rFonts w:cs="Arial"/>
              <w:lang w:val="en-US"/>
            </w:rPr>
            <w:fldChar w:fldCharType="end"/>
          </w:r>
        </w:sdtContent>
      </w:sdt>
      <w:r w:rsidR="00CA4BC7">
        <w:rPr>
          <w:rFonts w:cs="Arial"/>
          <w:lang w:val="en-US"/>
        </w:rPr>
        <w:t>,</w:t>
      </w:r>
      <w:r>
        <w:rPr>
          <w:rFonts w:cs="Arial"/>
          <w:lang w:val="en-US"/>
        </w:rPr>
        <w:t xml:space="preserve"> FinTech, which serves as an acronym for financial technology, i</w:t>
      </w:r>
      <w:r w:rsidRPr="00497E78">
        <w:rPr>
          <w:rFonts w:cs="Arial"/>
          <w:lang w:val="en-US"/>
        </w:rPr>
        <w:t>s a new financial industry that applies technology to improve</w:t>
      </w:r>
      <w:r>
        <w:rPr>
          <w:rFonts w:cs="Arial"/>
          <w:lang w:val="en-US"/>
        </w:rPr>
        <w:t xml:space="preserve"> </w:t>
      </w:r>
      <w:r w:rsidRPr="00497E78">
        <w:rPr>
          <w:rFonts w:cs="Arial"/>
          <w:lang w:val="en-US"/>
        </w:rPr>
        <w:t>financial activities.</w:t>
      </w:r>
      <w:r>
        <w:rPr>
          <w:rFonts w:cs="Arial"/>
          <w:lang w:val="en-US"/>
        </w:rPr>
        <w:t xml:space="preserve"> A report of 2016 indicates that the amount of investments in FinTech companies increased by 75% to USD 22.3 Billion in the previous year and more than </w:t>
      </w:r>
      <w:r>
        <w:rPr>
          <w:rFonts w:cs="Arial"/>
          <w:lang w:val="en-US"/>
        </w:rPr>
        <w:lastRenderedPageBreak/>
        <w:t>12,000 of these type</w:t>
      </w:r>
      <w:r w:rsidR="005C0D4C">
        <w:rPr>
          <w:rFonts w:cs="Arial"/>
          <w:lang w:val="en-US"/>
        </w:rPr>
        <w:t>s</w:t>
      </w:r>
      <w:r>
        <w:rPr>
          <w:rFonts w:cs="Arial"/>
          <w:lang w:val="en-US"/>
        </w:rPr>
        <w:t xml:space="preserve"> of firms existed in 2016 </w:t>
      </w:r>
      <w:sdt>
        <w:sdtPr>
          <w:rPr>
            <w:rFonts w:cs="Arial"/>
            <w:lang w:val="en-US"/>
          </w:rPr>
          <w:id w:val="570467434"/>
          <w:citation/>
        </w:sdtPr>
        <w:sdtEndPr/>
        <w:sdtContent>
          <w:r w:rsidR="001E205D">
            <w:rPr>
              <w:rFonts w:cs="Arial"/>
              <w:lang w:val="en-US"/>
            </w:rPr>
            <w:fldChar w:fldCharType="begin"/>
          </w:r>
          <w:r w:rsidR="001E205D" w:rsidRPr="001E205D">
            <w:rPr>
              <w:rFonts w:cs="Arial"/>
              <w:lang w:val="en-US"/>
            </w:rPr>
            <w:instrText xml:space="preserve"> CITATION Sch16 \l 3079 </w:instrText>
          </w:r>
          <w:r w:rsidR="001E205D">
            <w:rPr>
              <w:rFonts w:cs="Arial"/>
              <w:lang w:val="en-US"/>
            </w:rPr>
            <w:fldChar w:fldCharType="separate"/>
          </w:r>
          <w:r w:rsidR="001E205D" w:rsidRPr="001E205D">
            <w:rPr>
              <w:rFonts w:cs="Arial"/>
              <w:noProof/>
              <w:lang w:val="en-US"/>
            </w:rPr>
            <w:t>(Schueffel, 2016)</w:t>
          </w:r>
          <w:r w:rsidR="001E205D">
            <w:rPr>
              <w:rFonts w:cs="Arial"/>
              <w:lang w:val="en-US"/>
            </w:rPr>
            <w:fldChar w:fldCharType="end"/>
          </w:r>
        </w:sdtContent>
      </w:sdt>
      <w:r>
        <w:rPr>
          <w:rFonts w:cs="Arial"/>
          <w:lang w:val="en-US"/>
        </w:rPr>
        <w:t>. Statistics show that the number of FinTech-startups consistently grew throughout the years and currently adds up to 21,000 enterprises globally</w:t>
      </w:r>
      <w:r w:rsidR="00C16081">
        <w:rPr>
          <w:rFonts w:cs="Arial"/>
          <w:lang w:val="en-US"/>
        </w:rPr>
        <w:t xml:space="preserve"> </w:t>
      </w:r>
      <w:sdt>
        <w:sdtPr>
          <w:rPr>
            <w:rFonts w:cs="Arial"/>
            <w:lang w:val="en-US"/>
          </w:rPr>
          <w:id w:val="431549351"/>
          <w:citation/>
        </w:sdtPr>
        <w:sdtEndPr/>
        <w:sdtContent>
          <w:r w:rsidR="00C16081">
            <w:rPr>
              <w:rFonts w:cs="Arial"/>
              <w:lang w:val="en-US"/>
            </w:rPr>
            <w:fldChar w:fldCharType="begin"/>
          </w:r>
          <w:r w:rsidR="00C16081" w:rsidRPr="00C16081">
            <w:rPr>
              <w:rFonts w:cs="Arial"/>
              <w:lang w:val="en-US"/>
            </w:rPr>
            <w:instrText xml:space="preserve"> CITATION Szm20 \l 3079 </w:instrText>
          </w:r>
          <w:r w:rsidR="00C16081">
            <w:rPr>
              <w:rFonts w:cs="Arial"/>
              <w:lang w:val="en-US"/>
            </w:rPr>
            <w:fldChar w:fldCharType="separate"/>
          </w:r>
          <w:r w:rsidR="00C16081" w:rsidRPr="00C16081">
            <w:rPr>
              <w:rFonts w:cs="Arial"/>
              <w:noProof/>
              <w:lang w:val="en-US"/>
            </w:rPr>
            <w:t>(Szmigiera, 2020)</w:t>
          </w:r>
          <w:r w:rsidR="00C16081">
            <w:rPr>
              <w:rFonts w:cs="Arial"/>
              <w:lang w:val="en-US"/>
            </w:rPr>
            <w:fldChar w:fldCharType="end"/>
          </w:r>
        </w:sdtContent>
      </w:sdt>
      <w:r>
        <w:rPr>
          <w:rFonts w:cs="Arial"/>
          <w:lang w:val="en-US"/>
        </w:rPr>
        <w:t xml:space="preserve">. However, the FinTech industry is not only characterized by numerous startup-companies, but also attracts the attention of well-established technology enterprises, so called BigTechs. Globally operating firms, like Google, Apple or Alibaba already began to provide financial services and </w:t>
      </w:r>
      <w:r w:rsidRPr="00DD3A65">
        <w:rPr>
          <w:rFonts w:cs="Arial"/>
          <w:lang w:val="en-US"/>
        </w:rPr>
        <w:t>have decisive</w:t>
      </w:r>
      <w:r>
        <w:rPr>
          <w:rFonts w:cs="Arial"/>
          <w:lang w:val="en-US"/>
        </w:rPr>
        <w:t>,</w:t>
      </w:r>
      <w:r w:rsidRPr="00DD3A65">
        <w:rPr>
          <w:rFonts w:cs="Arial"/>
          <w:lang w:val="en-US"/>
        </w:rPr>
        <w:t xml:space="preserve"> competitive advantages over traditional banks</w:t>
      </w:r>
      <w:r>
        <w:rPr>
          <w:rFonts w:cs="Arial"/>
          <w:lang w:val="en-US"/>
        </w:rPr>
        <w:t>. For instance, BigTechs operate on the highest level of technology, possess loads of client-related information and are experienced when it comes to analyzing costumer’s data</w:t>
      </w:r>
      <w:r w:rsidR="00210591">
        <w:rPr>
          <w:rFonts w:cs="Arial"/>
          <w:lang w:val="en-US"/>
        </w:rPr>
        <w:t xml:space="preserve"> </w:t>
      </w:r>
      <w:sdt>
        <w:sdtPr>
          <w:rPr>
            <w:rFonts w:cs="Arial"/>
            <w:lang w:val="en-US"/>
          </w:rPr>
          <w:id w:val="-550310234"/>
          <w:citation/>
        </w:sdtPr>
        <w:sdtEndPr/>
        <w:sdtContent>
          <w:r w:rsidR="00210591">
            <w:rPr>
              <w:rFonts w:cs="Arial"/>
              <w:lang w:val="en-US"/>
            </w:rPr>
            <w:fldChar w:fldCharType="begin"/>
          </w:r>
          <w:r w:rsidR="00210591" w:rsidRPr="00210591">
            <w:rPr>
              <w:rFonts w:cs="Arial"/>
              <w:lang w:val="en-US"/>
            </w:rPr>
            <w:instrText xml:space="preserve"> CITATION Tan19 \l 3079 </w:instrText>
          </w:r>
          <w:r w:rsidR="00210591">
            <w:rPr>
              <w:rFonts w:cs="Arial"/>
              <w:lang w:val="en-US"/>
            </w:rPr>
            <w:fldChar w:fldCharType="separate"/>
          </w:r>
          <w:r w:rsidR="00210591" w:rsidRPr="00210591">
            <w:rPr>
              <w:rFonts w:cs="Arial"/>
              <w:noProof/>
              <w:lang w:val="en-US"/>
            </w:rPr>
            <w:t>(Tanda &amp; Schena, 2019)</w:t>
          </w:r>
          <w:r w:rsidR="00210591">
            <w:rPr>
              <w:rFonts w:cs="Arial"/>
              <w:lang w:val="en-US"/>
            </w:rPr>
            <w:fldChar w:fldCharType="end"/>
          </w:r>
        </w:sdtContent>
      </w:sdt>
      <w:r>
        <w:rPr>
          <w:rFonts w:cs="Arial"/>
          <w:lang w:val="en-US"/>
        </w:rPr>
        <w:t>.</w:t>
      </w:r>
    </w:p>
    <w:p w14:paraId="3CB0C3E6" w14:textId="500949EB" w:rsidR="00481202" w:rsidRDefault="00481202" w:rsidP="00481202">
      <w:pPr>
        <w:spacing w:line="360" w:lineRule="auto"/>
        <w:ind w:right="567"/>
        <w:rPr>
          <w:rFonts w:cs="Arial"/>
          <w:lang w:val="en-US"/>
        </w:rPr>
      </w:pPr>
      <w:r>
        <w:rPr>
          <w:rFonts w:cs="Arial"/>
          <w:lang w:val="en-US"/>
        </w:rPr>
        <w:t xml:space="preserve">Fintech can also be defined as </w:t>
      </w:r>
      <w:r w:rsidRPr="001E7F94">
        <w:rPr>
          <w:rFonts w:cs="Arial"/>
          <w:lang w:val="en-US"/>
        </w:rPr>
        <w:t>an ongoing process</w:t>
      </w:r>
      <w:r>
        <w:rPr>
          <w:rFonts w:cs="Arial"/>
          <w:lang w:val="en-US"/>
        </w:rPr>
        <w:t xml:space="preserve">, </w:t>
      </w:r>
      <w:r w:rsidRPr="001E7F94">
        <w:rPr>
          <w:rFonts w:cs="Arial"/>
          <w:lang w:val="en-US"/>
        </w:rPr>
        <w:t>during which finance and technology have  evolved  together</w:t>
      </w:r>
      <w:r>
        <w:rPr>
          <w:rFonts w:cs="Arial"/>
          <w:lang w:val="en-US"/>
        </w:rPr>
        <w:t xml:space="preserve">, </w:t>
      </w:r>
      <w:r w:rsidRPr="001E7F94">
        <w:rPr>
          <w:rFonts w:cs="Arial"/>
          <w:lang w:val="en-US"/>
        </w:rPr>
        <w:t xml:space="preserve">and  which  led  to  numerous  incremental  and  disruptive innovations,  such as </w:t>
      </w:r>
      <w:r>
        <w:rPr>
          <w:rFonts w:cs="Arial"/>
          <w:lang w:val="en-US"/>
        </w:rPr>
        <w:t>i</w:t>
      </w:r>
      <w:r w:rsidRPr="001E7F94">
        <w:rPr>
          <w:rFonts w:cs="Arial"/>
          <w:lang w:val="en-US"/>
        </w:rPr>
        <w:t>nternet  banking,</w:t>
      </w:r>
      <w:r>
        <w:rPr>
          <w:rFonts w:cs="Arial"/>
          <w:lang w:val="en-US"/>
        </w:rPr>
        <w:t xml:space="preserve"> </w:t>
      </w:r>
      <w:r w:rsidRPr="001E7F94">
        <w:rPr>
          <w:rFonts w:cs="Arial"/>
          <w:lang w:val="en-US"/>
        </w:rPr>
        <w:t>mobile  payments, crowdfunding</w:t>
      </w:r>
      <w:r>
        <w:rPr>
          <w:rFonts w:cs="Arial"/>
          <w:lang w:val="en-US"/>
        </w:rPr>
        <w:t xml:space="preserve"> and</w:t>
      </w:r>
      <w:r w:rsidRPr="001E7F94">
        <w:rPr>
          <w:rFonts w:cs="Arial"/>
          <w:lang w:val="en-US"/>
        </w:rPr>
        <w:t xml:space="preserve"> peer-to-peer lending</w:t>
      </w:r>
      <w:r>
        <w:rPr>
          <w:rFonts w:cs="Arial"/>
          <w:lang w:val="en-US"/>
        </w:rPr>
        <w:t xml:space="preserve"> </w:t>
      </w:r>
      <w:sdt>
        <w:sdtPr>
          <w:rPr>
            <w:rFonts w:cs="Arial"/>
            <w:lang w:val="en-US"/>
          </w:rPr>
          <w:id w:val="-496494234"/>
          <w:citation/>
        </w:sdtPr>
        <w:sdtEndPr/>
        <w:sdtContent>
          <w:r w:rsidR="000044F1">
            <w:rPr>
              <w:rFonts w:cs="Arial"/>
              <w:lang w:val="en-US"/>
            </w:rPr>
            <w:fldChar w:fldCharType="begin"/>
          </w:r>
          <w:r w:rsidR="000044F1" w:rsidRPr="000044F1">
            <w:rPr>
              <w:rFonts w:cs="Arial"/>
              <w:lang w:val="en-US"/>
            </w:rPr>
            <w:instrText xml:space="preserve"> CITATION Arn16 \l 3079 </w:instrText>
          </w:r>
          <w:r w:rsidR="000044F1">
            <w:rPr>
              <w:rFonts w:cs="Arial"/>
              <w:lang w:val="en-US"/>
            </w:rPr>
            <w:fldChar w:fldCharType="separate"/>
          </w:r>
          <w:r w:rsidR="000044F1" w:rsidRPr="000044F1">
            <w:rPr>
              <w:rFonts w:cs="Arial"/>
              <w:noProof/>
              <w:lang w:val="en-US"/>
            </w:rPr>
            <w:t>(Arner, Barberis, &amp; Buckley, 2016)</w:t>
          </w:r>
          <w:r w:rsidR="000044F1">
            <w:rPr>
              <w:rFonts w:cs="Arial"/>
              <w:lang w:val="en-US"/>
            </w:rPr>
            <w:fldChar w:fldCharType="end"/>
          </w:r>
        </w:sdtContent>
      </w:sdt>
      <w:r w:rsidRPr="001E7F94">
        <w:rPr>
          <w:rFonts w:cs="Arial"/>
          <w:lang w:val="en-US"/>
        </w:rPr>
        <w:t>.</w:t>
      </w:r>
      <w:r>
        <w:rPr>
          <w:rFonts w:cs="Arial"/>
          <w:lang w:val="en-US"/>
        </w:rPr>
        <w:t xml:space="preserve"> Nowadays FinTech companies, like Klarna and N26, are competing directly against traditional banking institutions in areas like payment, lending as well as investing.</w:t>
      </w:r>
    </w:p>
    <w:p w14:paraId="64583162" w14:textId="4BD3749D" w:rsidR="00481202" w:rsidRDefault="00481202" w:rsidP="00481202">
      <w:pPr>
        <w:spacing w:line="360" w:lineRule="auto"/>
        <w:ind w:right="567"/>
        <w:rPr>
          <w:rFonts w:cs="Arial"/>
          <w:lang w:val="en-US"/>
        </w:rPr>
      </w:pPr>
      <w:r>
        <w:rPr>
          <w:rFonts w:cs="Arial"/>
          <w:lang w:val="en-US"/>
        </w:rPr>
        <w:t xml:space="preserve">According to their </w:t>
      </w:r>
      <w:r w:rsidRPr="00581E6E">
        <w:rPr>
          <w:rFonts w:cs="Arial"/>
          <w:lang w:val="en-US"/>
        </w:rPr>
        <w:t>paper on the evolution of Fin</w:t>
      </w:r>
      <w:r>
        <w:rPr>
          <w:rFonts w:cs="Arial"/>
          <w:lang w:val="en-US"/>
        </w:rPr>
        <w:t>T</w:t>
      </w:r>
      <w:r w:rsidRPr="00581E6E">
        <w:rPr>
          <w:rFonts w:cs="Arial"/>
          <w:lang w:val="en-US"/>
        </w:rPr>
        <w:t>ech</w:t>
      </w:r>
      <w:r>
        <w:rPr>
          <w:rFonts w:cs="Arial"/>
          <w:lang w:val="en-US"/>
        </w:rPr>
        <w:t>,</w:t>
      </w:r>
      <w:r w:rsidRPr="00581E6E">
        <w:rPr>
          <w:rFonts w:cs="Arial"/>
          <w:lang w:val="en-US"/>
        </w:rPr>
        <w:t xml:space="preserve"> </w:t>
      </w:r>
      <w:proofErr w:type="spellStart"/>
      <w:r w:rsidRPr="00581E6E">
        <w:rPr>
          <w:rFonts w:cs="Arial"/>
          <w:lang w:val="en-US"/>
        </w:rPr>
        <w:t>Arner</w:t>
      </w:r>
      <w:proofErr w:type="spellEnd"/>
      <w:r w:rsidR="00B532A6">
        <w:rPr>
          <w:rFonts w:cs="Arial"/>
          <w:lang w:val="en-US"/>
        </w:rPr>
        <w:t xml:space="preserve">, </w:t>
      </w:r>
      <w:r w:rsidR="00B532A6" w:rsidRPr="000044F1">
        <w:rPr>
          <w:rFonts w:cs="Arial"/>
          <w:noProof/>
          <w:lang w:val="en-US"/>
        </w:rPr>
        <w:t>Barberis, &amp; Buckley</w:t>
      </w:r>
      <w:r w:rsidR="00B532A6">
        <w:rPr>
          <w:rFonts w:cs="Arial"/>
          <w:lang w:val="en-US"/>
        </w:rPr>
        <w:t xml:space="preserve"> </w:t>
      </w:r>
      <w:sdt>
        <w:sdtPr>
          <w:rPr>
            <w:rFonts w:cs="Arial"/>
            <w:lang w:val="en-US"/>
          </w:rPr>
          <w:id w:val="779607111"/>
          <w:citation/>
        </w:sdtPr>
        <w:sdtEndPr/>
        <w:sdtContent>
          <w:r w:rsidR="004252C2">
            <w:rPr>
              <w:rFonts w:cs="Arial"/>
              <w:lang w:val="en-US"/>
            </w:rPr>
            <w:fldChar w:fldCharType="begin"/>
          </w:r>
          <w:r w:rsidR="004252C2">
            <w:rPr>
              <w:rFonts w:cs="Arial"/>
              <w:lang w:val="en-US"/>
            </w:rPr>
            <w:instrText xml:space="preserve">CITATION Arn16 \n  \t  \l 3079 </w:instrText>
          </w:r>
          <w:r w:rsidR="004252C2">
            <w:rPr>
              <w:rFonts w:cs="Arial"/>
              <w:lang w:val="en-US"/>
            </w:rPr>
            <w:fldChar w:fldCharType="separate"/>
          </w:r>
          <w:r w:rsidR="004252C2" w:rsidRPr="004252C2">
            <w:rPr>
              <w:rFonts w:cs="Arial"/>
              <w:noProof/>
              <w:lang w:val="en-US"/>
            </w:rPr>
            <w:t>(2016)</w:t>
          </w:r>
          <w:r w:rsidR="004252C2">
            <w:rPr>
              <w:rFonts w:cs="Arial"/>
              <w:lang w:val="en-US"/>
            </w:rPr>
            <w:fldChar w:fldCharType="end"/>
          </w:r>
        </w:sdtContent>
      </w:sdt>
      <w:r>
        <w:rPr>
          <w:rFonts w:cs="Arial"/>
          <w:lang w:val="en-US"/>
        </w:rPr>
        <w:t xml:space="preserve"> define five major areas when it comes to today’s FinTech industry:</w:t>
      </w:r>
    </w:p>
    <w:p w14:paraId="266B6CD9" w14:textId="77777777" w:rsidR="00481202" w:rsidRDefault="00481202" w:rsidP="00481202">
      <w:pPr>
        <w:pStyle w:val="Listenabsatz"/>
        <w:numPr>
          <w:ilvl w:val="0"/>
          <w:numId w:val="2"/>
        </w:numPr>
        <w:spacing w:line="360" w:lineRule="auto"/>
        <w:ind w:right="567"/>
        <w:rPr>
          <w:rFonts w:cs="Arial"/>
          <w:lang w:val="en-US"/>
        </w:rPr>
      </w:pPr>
      <w:r w:rsidRPr="00AB4FF4">
        <w:rPr>
          <w:rFonts w:cs="Arial"/>
          <w:i/>
          <w:iCs/>
          <w:lang w:val="en-US"/>
        </w:rPr>
        <w:t>Finance and investment:</w:t>
      </w:r>
      <w:r>
        <w:rPr>
          <w:rFonts w:cs="Arial"/>
          <w:lang w:val="en-US"/>
        </w:rPr>
        <w:t xml:space="preserve"> Alternative financing methods became more attractive recently and crowdfunding or P2P lending prove to be serious loan substitutes. Prospectively </w:t>
      </w:r>
      <w:r w:rsidRPr="00683B8D">
        <w:rPr>
          <w:rFonts w:cs="Arial"/>
          <w:lang w:val="en-US"/>
        </w:rPr>
        <w:t>FinTech is increasingly</w:t>
      </w:r>
      <w:r>
        <w:rPr>
          <w:rFonts w:cs="Arial"/>
          <w:lang w:val="en-US"/>
        </w:rPr>
        <w:t xml:space="preserve"> </w:t>
      </w:r>
      <w:r w:rsidRPr="00683B8D">
        <w:rPr>
          <w:rFonts w:cs="Arial"/>
          <w:lang w:val="en-US"/>
        </w:rPr>
        <w:t xml:space="preserve">involved in areas such as </w:t>
      </w:r>
      <w:proofErr w:type="spellStart"/>
      <w:r w:rsidRPr="00683B8D">
        <w:rPr>
          <w:rFonts w:cs="Arial"/>
          <w:lang w:val="en-US"/>
        </w:rPr>
        <w:t>robo</w:t>
      </w:r>
      <w:proofErr w:type="spellEnd"/>
      <w:r w:rsidRPr="00683B8D">
        <w:rPr>
          <w:rFonts w:cs="Arial"/>
          <w:lang w:val="en-US"/>
        </w:rPr>
        <w:t>-advisory services</w:t>
      </w:r>
      <w:r>
        <w:rPr>
          <w:rFonts w:cs="Arial"/>
          <w:lang w:val="en-US"/>
        </w:rPr>
        <w:t>, which constantly improves due to technological progress</w:t>
      </w:r>
      <w:r w:rsidRPr="00683B8D">
        <w:rPr>
          <w:rFonts w:cs="Arial"/>
          <w:lang w:val="en-US"/>
        </w:rPr>
        <w:t>.</w:t>
      </w:r>
    </w:p>
    <w:p w14:paraId="023B780F" w14:textId="77777777" w:rsidR="00481202" w:rsidRDefault="00481202" w:rsidP="00481202">
      <w:pPr>
        <w:pStyle w:val="Listenabsatz"/>
        <w:numPr>
          <w:ilvl w:val="0"/>
          <w:numId w:val="2"/>
        </w:numPr>
        <w:spacing w:line="360" w:lineRule="auto"/>
        <w:ind w:right="567"/>
        <w:rPr>
          <w:rFonts w:cs="Arial"/>
          <w:lang w:val="en-US"/>
        </w:rPr>
      </w:pPr>
      <w:r w:rsidRPr="008A00D1">
        <w:rPr>
          <w:rFonts w:cs="Arial"/>
          <w:i/>
          <w:iCs/>
          <w:lang w:val="en-US"/>
        </w:rPr>
        <w:t>Financial operations and risk management:</w:t>
      </w:r>
      <w:r>
        <w:rPr>
          <w:rFonts w:cs="Arial"/>
          <w:lang w:val="en-US"/>
        </w:rPr>
        <w:t xml:space="preserve"> Since 2008 this area has been responsible for increasing IT-</w:t>
      </w:r>
      <w:proofErr w:type="spellStart"/>
      <w:r>
        <w:rPr>
          <w:rFonts w:cs="Arial"/>
          <w:lang w:val="en-US"/>
        </w:rPr>
        <w:t>spendings</w:t>
      </w:r>
      <w:proofErr w:type="spellEnd"/>
      <w:r>
        <w:rPr>
          <w:rFonts w:cs="Arial"/>
          <w:lang w:val="en-US"/>
        </w:rPr>
        <w:t xml:space="preserve"> by financial institutions, since banks had to improve their compliance systems to cope with numerous regulatory changes.</w:t>
      </w:r>
    </w:p>
    <w:p w14:paraId="3E7985E8" w14:textId="77777777" w:rsidR="00481202" w:rsidRDefault="00481202" w:rsidP="00481202">
      <w:pPr>
        <w:pStyle w:val="Listenabsatz"/>
        <w:numPr>
          <w:ilvl w:val="0"/>
          <w:numId w:val="2"/>
        </w:numPr>
        <w:spacing w:line="360" w:lineRule="auto"/>
        <w:ind w:right="567"/>
        <w:rPr>
          <w:rFonts w:cs="Arial"/>
          <w:lang w:val="en-US"/>
        </w:rPr>
      </w:pPr>
      <w:r w:rsidRPr="00E04C55">
        <w:rPr>
          <w:rFonts w:cs="Arial"/>
          <w:i/>
          <w:iCs/>
          <w:lang w:val="en-US"/>
        </w:rPr>
        <w:t>Payments and infrastructure:</w:t>
      </w:r>
      <w:r>
        <w:rPr>
          <w:rFonts w:cs="Arial"/>
          <w:lang w:val="en-US"/>
        </w:rPr>
        <w:t xml:space="preserve"> FinTech focuses on innovative payment methods enabled by the internet and mobile devices. While payments have been desperately regulated since the 1970s, domestic and cross-border electronic payment systems today globally transfer</w:t>
      </w:r>
      <w:r w:rsidRPr="0059757B">
        <w:rPr>
          <w:rFonts w:cs="Arial"/>
          <w:lang w:val="en-US"/>
        </w:rPr>
        <w:t xml:space="preserve"> US</w:t>
      </w:r>
      <w:r>
        <w:rPr>
          <w:rFonts w:cs="Arial"/>
          <w:lang w:val="en-US"/>
        </w:rPr>
        <w:t xml:space="preserve">D </w:t>
      </w:r>
      <w:r w:rsidRPr="0059757B">
        <w:rPr>
          <w:rFonts w:cs="Arial"/>
          <w:lang w:val="en-US"/>
        </w:rPr>
        <w:t>5.4 trillion per day</w:t>
      </w:r>
      <w:r>
        <w:rPr>
          <w:rFonts w:cs="Arial"/>
          <w:lang w:val="en-US"/>
        </w:rPr>
        <w:t>. Furthermore, in the security trading area, IT and telecommunication enterprises investigate new ways to disintermediate traditional banking institutions.</w:t>
      </w:r>
    </w:p>
    <w:p w14:paraId="5712E070" w14:textId="77777777" w:rsidR="00481202" w:rsidRDefault="00481202" w:rsidP="00481202">
      <w:pPr>
        <w:pStyle w:val="Listenabsatz"/>
        <w:numPr>
          <w:ilvl w:val="0"/>
          <w:numId w:val="2"/>
        </w:numPr>
        <w:spacing w:line="360" w:lineRule="auto"/>
        <w:ind w:right="567"/>
        <w:rPr>
          <w:rFonts w:cs="Arial"/>
          <w:lang w:val="en-US"/>
        </w:rPr>
      </w:pPr>
      <w:r w:rsidRPr="00500315">
        <w:rPr>
          <w:rFonts w:cs="Arial"/>
          <w:i/>
          <w:iCs/>
          <w:lang w:val="en-US"/>
        </w:rPr>
        <w:t>Data security and monetization:</w:t>
      </w:r>
      <w:r>
        <w:rPr>
          <w:rFonts w:cs="Arial"/>
          <w:lang w:val="en-US"/>
        </w:rPr>
        <w:t xml:space="preserve"> Since the financial market directly affects the global economy, vulnerabilities regarding cybercrime and espionage are classified as a crucial area of FinTech companies. Besides, the usage of big data emerged as profitable and additionally increased</w:t>
      </w:r>
      <w:r w:rsidRPr="0083658C">
        <w:rPr>
          <w:rFonts w:cs="Arial"/>
          <w:lang w:val="en-US"/>
        </w:rPr>
        <w:t xml:space="preserve"> the efficiency and availability of financial services.</w:t>
      </w:r>
    </w:p>
    <w:p w14:paraId="0A38FA4A" w14:textId="77777777" w:rsidR="00481202" w:rsidRDefault="00481202" w:rsidP="00481202">
      <w:pPr>
        <w:pStyle w:val="Listenabsatz"/>
        <w:numPr>
          <w:ilvl w:val="0"/>
          <w:numId w:val="2"/>
        </w:numPr>
        <w:spacing w:line="360" w:lineRule="auto"/>
        <w:ind w:right="567"/>
        <w:rPr>
          <w:rFonts w:cs="Arial"/>
          <w:lang w:val="en-US"/>
        </w:rPr>
      </w:pPr>
      <w:r w:rsidRPr="003F18AA">
        <w:rPr>
          <w:rFonts w:cs="Arial"/>
          <w:i/>
          <w:iCs/>
          <w:lang w:val="en-US"/>
        </w:rPr>
        <w:lastRenderedPageBreak/>
        <w:t>Consumer interface:</w:t>
      </w:r>
      <w:r>
        <w:rPr>
          <w:rFonts w:cs="Arial"/>
          <w:lang w:val="en-US"/>
        </w:rPr>
        <w:t xml:space="preserve"> This area refers to online and mobile services and constitutes a major scope for competition with the traditional banking sector. FinTech firms benefit from their pre-existing large customer bases to introduce new financial products.</w:t>
      </w:r>
    </w:p>
    <w:p w14:paraId="46E694F1" w14:textId="1D383EE8" w:rsidR="00481202" w:rsidRDefault="00481202" w:rsidP="00481202">
      <w:pPr>
        <w:spacing w:line="360" w:lineRule="auto"/>
        <w:rPr>
          <w:rFonts w:cs="Arial"/>
          <w:lang w:val="en-US"/>
        </w:rPr>
      </w:pPr>
      <w:r>
        <w:rPr>
          <w:rFonts w:cs="Arial"/>
          <w:lang w:val="en-US"/>
        </w:rPr>
        <w:t>The establishment of FinTech companies combined with the market entrance of BigTech enterprises lead to growing competition among financial institutions, which in turn decreases cost advantages of banks. Subsequently traditional banking services’ profitability declined and services, that involve fee and commission charging, flourished</w:t>
      </w:r>
      <w:r w:rsidR="00D836EF">
        <w:rPr>
          <w:rFonts w:cs="Arial"/>
          <w:lang w:val="en-US"/>
        </w:rPr>
        <w:t xml:space="preserve"> </w:t>
      </w:r>
      <w:sdt>
        <w:sdtPr>
          <w:rPr>
            <w:rFonts w:cs="Arial"/>
            <w:lang w:val="en-US"/>
          </w:rPr>
          <w:id w:val="-1745249867"/>
          <w:citation/>
        </w:sdtPr>
        <w:sdtEndPr/>
        <w:sdtContent>
          <w:r w:rsidR="00D836EF">
            <w:rPr>
              <w:rFonts w:cs="Arial"/>
              <w:lang w:val="en-US"/>
            </w:rPr>
            <w:fldChar w:fldCharType="begin"/>
          </w:r>
          <w:r w:rsidR="00D836EF" w:rsidRPr="00D836EF">
            <w:rPr>
              <w:rFonts w:cs="Arial"/>
              <w:lang w:val="en-US"/>
            </w:rPr>
            <w:instrText xml:space="preserve"> CITATION Voz18 \l 3079 </w:instrText>
          </w:r>
          <w:r w:rsidR="00D836EF">
            <w:rPr>
              <w:rFonts w:cs="Arial"/>
              <w:lang w:val="en-US"/>
            </w:rPr>
            <w:fldChar w:fldCharType="separate"/>
          </w:r>
          <w:r w:rsidR="00D836EF" w:rsidRPr="00D836EF">
            <w:rPr>
              <w:rFonts w:cs="Arial"/>
              <w:noProof/>
              <w:lang w:val="en-US"/>
            </w:rPr>
            <w:t>(Vozková &amp; Teplý, 2018)</w:t>
          </w:r>
          <w:r w:rsidR="00D836EF">
            <w:rPr>
              <w:rFonts w:cs="Arial"/>
              <w:lang w:val="en-US"/>
            </w:rPr>
            <w:fldChar w:fldCharType="end"/>
          </w:r>
        </w:sdtContent>
      </w:sdt>
      <w:r>
        <w:rPr>
          <w:rFonts w:cs="Arial"/>
          <w:lang w:val="en-US"/>
        </w:rPr>
        <w:t>.</w:t>
      </w:r>
    </w:p>
    <w:p w14:paraId="16ECB3E6" w14:textId="77777777" w:rsidR="00481202" w:rsidRDefault="00481202" w:rsidP="00481202">
      <w:pPr>
        <w:spacing w:line="360" w:lineRule="auto"/>
        <w:rPr>
          <w:rFonts w:cs="Arial"/>
          <w:lang w:val="en-US"/>
        </w:rPr>
      </w:pPr>
      <w:r>
        <w:rPr>
          <w:rFonts w:cs="Arial"/>
          <w:lang w:val="en-US"/>
        </w:rPr>
        <w:t xml:space="preserve">Furthermore, banking institutions nowadays have to constantly refine their business models to keep up with FinTech companies. The following chapter deals with this topic and addresses crucial developments in the digital age regarding banking. </w:t>
      </w:r>
    </w:p>
    <w:p w14:paraId="11BE49F0" w14:textId="64FC1000" w:rsidR="00481202" w:rsidRDefault="00481202" w:rsidP="009719DD">
      <w:pPr>
        <w:pStyle w:val="berschrift2"/>
        <w:rPr>
          <w:lang w:val="en-US"/>
        </w:rPr>
      </w:pPr>
      <w:bookmarkStart w:id="32" w:name="_Ref40387566"/>
      <w:bookmarkStart w:id="33" w:name="_Toc42077748"/>
      <w:r>
        <w:rPr>
          <w:lang w:val="en-US"/>
        </w:rPr>
        <w:t>Changing Business Models</w:t>
      </w:r>
      <w:bookmarkEnd w:id="32"/>
      <w:bookmarkEnd w:id="33"/>
    </w:p>
    <w:p w14:paraId="4C272553" w14:textId="7392E790" w:rsidR="00481202" w:rsidRDefault="00481202" w:rsidP="00481202">
      <w:pPr>
        <w:spacing w:line="360" w:lineRule="auto"/>
        <w:rPr>
          <w:rFonts w:cs="Arial"/>
          <w:lang w:val="en-US"/>
        </w:rPr>
      </w:pPr>
      <w:r>
        <w:rPr>
          <w:rFonts w:cs="Arial"/>
          <w:lang w:val="en-US"/>
        </w:rPr>
        <w:t>The following summarizes the findings of Schmidt, Schirmer and Drews describing changes of bank business models based on seven key strategic directions in their paper “Digitalization of the Banking Industry”</w:t>
      </w:r>
      <w:r w:rsidR="002D0C6E">
        <w:rPr>
          <w:rFonts w:cs="Arial"/>
          <w:lang w:val="en-US"/>
        </w:rPr>
        <w:t xml:space="preserve"> </w:t>
      </w:r>
      <w:sdt>
        <w:sdtPr>
          <w:rPr>
            <w:rFonts w:cs="Arial"/>
            <w:lang w:val="en-US"/>
          </w:rPr>
          <w:id w:val="6799779"/>
          <w:citation/>
        </w:sdtPr>
        <w:sdtEndPr/>
        <w:sdtContent>
          <w:r w:rsidR="002D0C6E">
            <w:rPr>
              <w:rFonts w:cs="Arial"/>
              <w:lang w:val="en-US"/>
            </w:rPr>
            <w:fldChar w:fldCharType="begin"/>
          </w:r>
          <w:r w:rsidR="00E17C39">
            <w:rPr>
              <w:rFonts w:cs="Arial"/>
              <w:lang w:val="en-US"/>
            </w:rPr>
            <w:instrText xml:space="preserve">CITATION Sch17 \l 3079 </w:instrText>
          </w:r>
          <w:r w:rsidR="002D0C6E">
            <w:rPr>
              <w:rFonts w:cs="Arial"/>
              <w:lang w:val="en-US"/>
            </w:rPr>
            <w:fldChar w:fldCharType="separate"/>
          </w:r>
          <w:r w:rsidR="00E17C39" w:rsidRPr="00E17C39">
            <w:rPr>
              <w:rFonts w:cs="Arial"/>
              <w:noProof/>
              <w:lang w:val="en-US"/>
            </w:rPr>
            <w:t>(Schmidt, Drews, &amp; Schirmer, 2017)</w:t>
          </w:r>
          <w:r w:rsidR="002D0C6E">
            <w:rPr>
              <w:rFonts w:cs="Arial"/>
              <w:lang w:val="en-US"/>
            </w:rPr>
            <w:fldChar w:fldCharType="end"/>
          </w:r>
        </w:sdtContent>
      </w:sdt>
      <w:r>
        <w:rPr>
          <w:rFonts w:cs="Arial"/>
          <w:lang w:val="en-US"/>
        </w:rPr>
        <w:t xml:space="preserve">. </w:t>
      </w:r>
    </w:p>
    <w:p w14:paraId="14CFB048" w14:textId="77777777" w:rsidR="00481202" w:rsidRDefault="00481202" w:rsidP="00481202">
      <w:pPr>
        <w:spacing w:line="360" w:lineRule="auto"/>
        <w:rPr>
          <w:rFonts w:cs="Arial"/>
          <w:lang w:val="en-US"/>
        </w:rPr>
      </w:pPr>
      <w:r>
        <w:rPr>
          <w:rFonts w:cs="Arial"/>
          <w:lang w:val="en-US"/>
        </w:rPr>
        <w:t xml:space="preserve">Arguably the most significant attribute that distinguishes a well-functioning business model is the value proposition. During the digital age product differentiation became more relevant since customers tend to modify their needs more frequently and demand appropriate products. Therefore customer relationships require frequent interaction, although many enterprises react, rather than act in an active way. </w:t>
      </w:r>
    </w:p>
    <w:p w14:paraId="7EAA666F" w14:textId="5C7828E9" w:rsidR="00481202" w:rsidRDefault="00481202" w:rsidP="00481202">
      <w:pPr>
        <w:spacing w:line="360" w:lineRule="auto"/>
        <w:ind w:left="567" w:right="567"/>
        <w:rPr>
          <w:rFonts w:cs="Arial"/>
          <w:lang w:val="en-US"/>
        </w:rPr>
      </w:pPr>
      <w:r w:rsidRPr="004B6E27">
        <w:rPr>
          <w:rFonts w:cs="Arial"/>
          <w:lang w:val="en-US"/>
        </w:rPr>
        <w:t>Further topics such as big data and analytics stress the relevance of tools to create precise user profiles for inventing financial products, which fit to the individual customer</w:t>
      </w:r>
      <w:r>
        <w:rPr>
          <w:rFonts w:cs="Arial"/>
          <w:lang w:val="en-US"/>
        </w:rPr>
        <w:t xml:space="preserve">. </w:t>
      </w:r>
      <w:r w:rsidRPr="004B6E27">
        <w:rPr>
          <w:rFonts w:cs="Arial"/>
          <w:lang w:val="en-US"/>
        </w:rPr>
        <w:t>Customer loyalty can be established by inventing innovative products and outstanding service.</w:t>
      </w:r>
      <w:r>
        <w:rPr>
          <w:rFonts w:cs="Arial"/>
          <w:lang w:val="en-US"/>
        </w:rPr>
        <w:t xml:space="preserve"> </w:t>
      </w:r>
      <w:sdt>
        <w:sdtPr>
          <w:rPr>
            <w:rFonts w:cs="Arial"/>
            <w:lang w:val="en-US"/>
          </w:rPr>
          <w:id w:val="2029219955"/>
          <w:citation/>
        </w:sdtPr>
        <w:sdtEndPr/>
        <w:sdtContent>
          <w:r w:rsidR="00A33AF6">
            <w:rPr>
              <w:rFonts w:cs="Arial"/>
              <w:lang w:val="en-US"/>
            </w:rPr>
            <w:fldChar w:fldCharType="begin"/>
          </w:r>
          <w:r w:rsidR="00E17C39">
            <w:rPr>
              <w:rFonts w:cs="Arial"/>
              <w:lang w:val="en-US"/>
            </w:rPr>
            <w:instrText xml:space="preserve">CITATION Sch17 \l 3079 </w:instrText>
          </w:r>
          <w:r w:rsidR="00A33AF6">
            <w:rPr>
              <w:rFonts w:cs="Arial"/>
              <w:lang w:val="en-US"/>
            </w:rPr>
            <w:fldChar w:fldCharType="separate"/>
          </w:r>
          <w:r w:rsidR="00E17C39" w:rsidRPr="00E17C39">
            <w:rPr>
              <w:rFonts w:cs="Arial"/>
              <w:noProof/>
              <w:lang w:val="en-US"/>
            </w:rPr>
            <w:t>(Schmidt, Drews, &amp; Schirmer, 2017)</w:t>
          </w:r>
          <w:r w:rsidR="00A33AF6">
            <w:rPr>
              <w:rFonts w:cs="Arial"/>
              <w:lang w:val="en-US"/>
            </w:rPr>
            <w:fldChar w:fldCharType="end"/>
          </w:r>
        </w:sdtContent>
      </w:sdt>
    </w:p>
    <w:p w14:paraId="6A28BDF0" w14:textId="7293F401" w:rsidR="00481202" w:rsidRDefault="00481202" w:rsidP="00481202">
      <w:pPr>
        <w:spacing w:line="360" w:lineRule="auto"/>
        <w:rPr>
          <w:rFonts w:cs="Arial"/>
          <w:lang w:val="en-US"/>
        </w:rPr>
      </w:pPr>
      <w:r w:rsidRPr="002D6125">
        <w:rPr>
          <w:rFonts w:cs="Arial"/>
          <w:lang w:val="en-US"/>
        </w:rPr>
        <w:t>Direct banks in particular have to win customer</w:t>
      </w:r>
      <w:r>
        <w:rPr>
          <w:rFonts w:cs="Arial"/>
          <w:lang w:val="en-US"/>
        </w:rPr>
        <w:t>’s</w:t>
      </w:r>
      <w:r w:rsidRPr="002D6125">
        <w:rPr>
          <w:rFonts w:cs="Arial"/>
          <w:lang w:val="en-US"/>
        </w:rPr>
        <w:t xml:space="preserve"> loyalty</w:t>
      </w:r>
      <w:r>
        <w:rPr>
          <w:rFonts w:cs="Arial"/>
          <w:lang w:val="en-US"/>
        </w:rPr>
        <w:t xml:space="preserve"> since the lack of personal interactions often causes falling client retention. To prevent these developments from occurring, channels and customer segments have to improve. For example, banks </w:t>
      </w:r>
      <w:r w:rsidR="004D7D04">
        <w:rPr>
          <w:rFonts w:cs="Arial"/>
          <w:lang w:val="en-US"/>
        </w:rPr>
        <w:t>need to</w:t>
      </w:r>
      <w:r>
        <w:rPr>
          <w:rFonts w:cs="Arial"/>
          <w:lang w:val="en-US"/>
        </w:rPr>
        <w:t xml:space="preserve"> enhance their user’s </w:t>
      </w:r>
      <w:r w:rsidR="00192E6D">
        <w:rPr>
          <w:rFonts w:cs="Arial"/>
          <w:lang w:val="en-US"/>
        </w:rPr>
        <w:t xml:space="preserve">interaction </w:t>
      </w:r>
      <w:r>
        <w:rPr>
          <w:rFonts w:cs="Arial"/>
          <w:lang w:val="en-US"/>
        </w:rPr>
        <w:t xml:space="preserve">experience and diversify their communication channels, whether it comes to personal or impersonal interaction. Regarding key activities, banking institutions’ support of digital channels provokes </w:t>
      </w:r>
      <w:r w:rsidRPr="00E430C0">
        <w:rPr>
          <w:rFonts w:cs="Arial"/>
          <w:lang w:val="en-US"/>
        </w:rPr>
        <w:t>changes of structures and business processes</w:t>
      </w:r>
      <w:r>
        <w:rPr>
          <w:rFonts w:cs="Arial"/>
          <w:lang w:val="en-US"/>
        </w:rPr>
        <w:t xml:space="preserve">. Companies need to improve and harmonize innovative as well as existing procedures simultaneously while optimizing the value chain. These processes require an open-minded organizational culture and often cause the reduction of hierarchies through decentralization. Furthermore the architecture of enterprises must be based on reusable technology, which in turn has to be coordinated. Hence, a new sort of key resource emerges from collecting user data, that has to be optimized and </w:t>
      </w:r>
      <w:r>
        <w:rPr>
          <w:rFonts w:cs="Arial"/>
          <w:lang w:val="en-US"/>
        </w:rPr>
        <w:lastRenderedPageBreak/>
        <w:t xml:space="preserve">provides an innovative way of analyzing customer’s needs </w:t>
      </w:r>
      <w:sdt>
        <w:sdtPr>
          <w:rPr>
            <w:rFonts w:cs="Arial"/>
            <w:lang w:val="en-US"/>
          </w:rPr>
          <w:id w:val="79490636"/>
          <w:citation/>
        </w:sdtPr>
        <w:sdtEndPr/>
        <w:sdtContent>
          <w:r w:rsidR="000C5F7D">
            <w:rPr>
              <w:rFonts w:cs="Arial"/>
              <w:lang w:val="en-US"/>
            </w:rPr>
            <w:fldChar w:fldCharType="begin"/>
          </w:r>
          <w:r w:rsidR="00E17C39">
            <w:rPr>
              <w:rFonts w:cs="Arial"/>
              <w:lang w:val="en-US"/>
            </w:rPr>
            <w:instrText xml:space="preserve">CITATION Sch17 \l 3079 </w:instrText>
          </w:r>
          <w:r w:rsidR="000C5F7D">
            <w:rPr>
              <w:rFonts w:cs="Arial"/>
              <w:lang w:val="en-US"/>
            </w:rPr>
            <w:fldChar w:fldCharType="separate"/>
          </w:r>
          <w:r w:rsidR="00E17C39" w:rsidRPr="00E17C39">
            <w:rPr>
              <w:rFonts w:cs="Arial"/>
              <w:noProof/>
              <w:lang w:val="en-US"/>
            </w:rPr>
            <w:t>(Schmidt, Drews, &amp; Schirmer, 2017)</w:t>
          </w:r>
          <w:r w:rsidR="000C5F7D">
            <w:rPr>
              <w:rFonts w:cs="Arial"/>
              <w:lang w:val="en-US"/>
            </w:rPr>
            <w:fldChar w:fldCharType="end"/>
          </w:r>
        </w:sdtContent>
      </w:sdt>
      <w:r w:rsidR="000C5F7D">
        <w:rPr>
          <w:rFonts w:cs="Arial"/>
          <w:lang w:val="en-US"/>
        </w:rPr>
        <w:t>.</w:t>
      </w:r>
    </w:p>
    <w:p w14:paraId="380B85B7" w14:textId="205CAA58" w:rsidR="00481202" w:rsidRDefault="00481202" w:rsidP="00481202">
      <w:pPr>
        <w:spacing w:line="360" w:lineRule="auto"/>
        <w:rPr>
          <w:rFonts w:cs="Arial"/>
          <w:lang w:val="en-US"/>
        </w:rPr>
      </w:pPr>
      <w:r>
        <w:rPr>
          <w:rFonts w:cs="Arial"/>
          <w:lang w:val="en-US"/>
        </w:rPr>
        <w:t xml:space="preserve">The revenue streams of different sort of banking institutions varies, although a common pattern can be identified. In their paper on banking business models in Europe by </w:t>
      </w:r>
      <w:proofErr w:type="spellStart"/>
      <w:r>
        <w:rPr>
          <w:rFonts w:cs="Arial"/>
          <w:lang w:val="en-US"/>
        </w:rPr>
        <w:t>Ayadi</w:t>
      </w:r>
      <w:proofErr w:type="spellEnd"/>
      <w:r>
        <w:rPr>
          <w:rFonts w:cs="Arial"/>
          <w:lang w:val="en-US"/>
        </w:rPr>
        <w:t xml:space="preserve"> et al. </w:t>
      </w:r>
      <w:sdt>
        <w:sdtPr>
          <w:rPr>
            <w:rFonts w:cs="Arial"/>
            <w:lang w:val="en-US"/>
          </w:rPr>
          <w:id w:val="-819500611"/>
          <w:citation/>
        </w:sdtPr>
        <w:sdtEndPr/>
        <w:sdtContent>
          <w:r w:rsidR="009B3DEC">
            <w:rPr>
              <w:rFonts w:cs="Arial"/>
              <w:lang w:val="en-US"/>
            </w:rPr>
            <w:fldChar w:fldCharType="begin"/>
          </w:r>
          <w:r w:rsidR="009B3DEC" w:rsidRPr="00D75AB6">
            <w:rPr>
              <w:rFonts w:cs="Arial"/>
              <w:lang w:val="en-US"/>
            </w:rPr>
            <w:instrText xml:space="preserve">CITATION Aya16 \n  \t  \l 3079 </w:instrText>
          </w:r>
          <w:r w:rsidR="009B3DEC">
            <w:rPr>
              <w:rFonts w:cs="Arial"/>
              <w:lang w:val="en-US"/>
            </w:rPr>
            <w:fldChar w:fldCharType="separate"/>
          </w:r>
          <w:r w:rsidR="009B3DEC" w:rsidRPr="009B3DEC">
            <w:rPr>
              <w:rFonts w:cs="Arial"/>
              <w:noProof/>
              <w:lang w:val="en-US"/>
            </w:rPr>
            <w:t>(2016)</w:t>
          </w:r>
          <w:r w:rsidR="009B3DEC">
            <w:rPr>
              <w:rFonts w:cs="Arial"/>
              <w:lang w:val="en-US"/>
            </w:rPr>
            <w:fldChar w:fldCharType="end"/>
          </w:r>
        </w:sdtContent>
      </w:sdt>
      <w:r w:rsidR="009B3DEC">
        <w:rPr>
          <w:rFonts w:cs="Arial"/>
          <w:lang w:val="en-US"/>
        </w:rPr>
        <w:t xml:space="preserve"> </w:t>
      </w:r>
      <w:r>
        <w:rPr>
          <w:rFonts w:cs="Arial"/>
          <w:lang w:val="en-US"/>
        </w:rPr>
        <w:t xml:space="preserve">they split income stream in four groups: net interest, commission and fees, trading and other income streams. Regardless of the bank type, net interest income represents the largest source of revenue, always followed by commission and fees. </w:t>
      </w:r>
      <w:r w:rsidRPr="000317A0">
        <w:rPr>
          <w:rFonts w:cs="Arial"/>
          <w:lang w:val="en-US"/>
        </w:rPr>
        <w:t>Furthermore net interest income became more significant since the financial crisis in 2008.</w:t>
      </w:r>
      <w:r>
        <w:rPr>
          <w:rFonts w:cs="Arial"/>
          <w:lang w:val="en-US"/>
        </w:rPr>
        <w:t xml:space="preserve"> However, chapter</w:t>
      </w:r>
      <w:r w:rsidR="008C37E7">
        <w:rPr>
          <w:rFonts w:cs="Arial"/>
          <w:lang w:val="en-US"/>
        </w:rPr>
        <w:t xml:space="preserve"> </w:t>
      </w:r>
      <w:r w:rsidR="008C37E7" w:rsidRPr="008C37E7">
        <w:rPr>
          <w:rFonts w:cs="Arial"/>
          <w:u w:val="single"/>
          <w:lang w:val="en-US"/>
        </w:rPr>
        <w:fldChar w:fldCharType="begin"/>
      </w:r>
      <w:r w:rsidR="008C37E7" w:rsidRPr="008C37E7">
        <w:rPr>
          <w:rFonts w:cs="Arial"/>
          <w:u w:val="single"/>
          <w:lang w:val="en-US"/>
        </w:rPr>
        <w:instrText xml:space="preserve"> REF _Ref40387280 \r \h </w:instrText>
      </w:r>
      <w:r w:rsidR="008C37E7" w:rsidRPr="008C37E7">
        <w:rPr>
          <w:rFonts w:cs="Arial"/>
          <w:u w:val="single"/>
          <w:lang w:val="en-US"/>
        </w:rPr>
      </w:r>
      <w:r w:rsidR="008C37E7" w:rsidRPr="008C37E7">
        <w:rPr>
          <w:rFonts w:cs="Arial"/>
          <w:u w:val="single"/>
          <w:lang w:val="en-US"/>
        </w:rPr>
        <w:fldChar w:fldCharType="separate"/>
      </w:r>
      <w:r w:rsidR="00B75C93">
        <w:rPr>
          <w:rFonts w:cs="Arial"/>
          <w:u w:val="single"/>
          <w:lang w:val="en-US"/>
        </w:rPr>
        <w:t>7</w:t>
      </w:r>
      <w:r w:rsidR="008C37E7" w:rsidRPr="008C37E7">
        <w:rPr>
          <w:rFonts w:cs="Arial"/>
          <w:u w:val="single"/>
          <w:lang w:val="en-US"/>
        </w:rPr>
        <w:fldChar w:fldCharType="end"/>
      </w:r>
      <w:r>
        <w:rPr>
          <w:rFonts w:cs="Arial"/>
          <w:lang w:val="en-US"/>
        </w:rPr>
        <w:t xml:space="preserve"> particularly focuses on the different revenue streams of banking institutions and especially describes the role of fees</w:t>
      </w:r>
      <w:r w:rsidR="009B3DEC">
        <w:rPr>
          <w:rFonts w:cs="Arial"/>
          <w:lang w:val="en-US"/>
        </w:rPr>
        <w:t>.</w:t>
      </w:r>
    </w:p>
    <w:p w14:paraId="2D159C0B" w14:textId="6018BA8D" w:rsidR="00481202" w:rsidRDefault="00481202" w:rsidP="00481202">
      <w:pPr>
        <w:spacing w:line="360" w:lineRule="auto"/>
        <w:rPr>
          <w:rFonts w:cs="Arial"/>
          <w:lang w:val="en-US"/>
        </w:rPr>
      </w:pPr>
      <w:r>
        <w:rPr>
          <w:rFonts w:cs="Arial"/>
          <w:lang w:val="en-US"/>
        </w:rPr>
        <w:t xml:space="preserve">Cost structures radically change due to technological progress. For instance self-service channels may reduce the marginal cost of service interaction significantly. From an entrepreneurial point of view, the variable labor expenses are replaces by </w:t>
      </w:r>
      <w:r w:rsidRPr="00457526">
        <w:rPr>
          <w:rFonts w:cs="Arial"/>
          <w:lang w:val="en-US"/>
        </w:rPr>
        <w:t>relatively fixed-cost technology</w:t>
      </w:r>
      <w:r>
        <w:rPr>
          <w:rFonts w:cs="Arial"/>
          <w:lang w:val="en-US"/>
        </w:rPr>
        <w:t xml:space="preserve"> </w:t>
      </w:r>
      <w:r w:rsidRPr="00457526">
        <w:rPr>
          <w:rFonts w:cs="Arial"/>
          <w:lang w:val="en-US"/>
        </w:rPr>
        <w:t>assets</w:t>
      </w:r>
      <w:r>
        <w:rPr>
          <w:rFonts w:cs="Arial"/>
          <w:lang w:val="en-US"/>
        </w:rPr>
        <w:t>. However, t</w:t>
      </w:r>
      <w:r w:rsidRPr="005B67EC">
        <w:rPr>
          <w:rFonts w:cs="Arial"/>
          <w:lang w:val="en-US"/>
        </w:rPr>
        <w:t xml:space="preserve">he technical infrastructure, the administration of </w:t>
      </w:r>
      <w:r>
        <w:rPr>
          <w:rFonts w:cs="Arial"/>
          <w:lang w:val="en-US"/>
        </w:rPr>
        <w:t xml:space="preserve">electronic </w:t>
      </w:r>
      <w:r w:rsidRPr="005B67EC">
        <w:rPr>
          <w:rFonts w:cs="Arial"/>
          <w:lang w:val="en-US"/>
        </w:rPr>
        <w:t xml:space="preserve">banking systems </w:t>
      </w:r>
      <w:r>
        <w:rPr>
          <w:rFonts w:cs="Arial"/>
          <w:lang w:val="en-US"/>
        </w:rPr>
        <w:t>as well as</w:t>
      </w:r>
      <w:r w:rsidRPr="005B67EC">
        <w:rPr>
          <w:rFonts w:cs="Arial"/>
          <w:lang w:val="en-US"/>
        </w:rPr>
        <w:t xml:space="preserve"> investments in research and development again create new </w:t>
      </w:r>
      <w:r>
        <w:rPr>
          <w:rFonts w:cs="Arial"/>
          <w:lang w:val="en-US"/>
        </w:rPr>
        <w:t xml:space="preserve">sorts of </w:t>
      </w:r>
      <w:r w:rsidRPr="005B67EC">
        <w:rPr>
          <w:rFonts w:cs="Arial"/>
          <w:lang w:val="en-US"/>
        </w:rPr>
        <w:t>costs</w:t>
      </w:r>
      <w:r>
        <w:rPr>
          <w:rFonts w:cs="Arial"/>
          <w:lang w:val="en-US"/>
        </w:rPr>
        <w:t xml:space="preserve">, while traditional expenses, for instance caused by interest on deposits, remain </w:t>
      </w:r>
      <w:sdt>
        <w:sdtPr>
          <w:rPr>
            <w:rFonts w:cs="Arial"/>
            <w:lang w:val="en-US"/>
          </w:rPr>
          <w:id w:val="1539008204"/>
          <w:citation/>
        </w:sdtPr>
        <w:sdtEndPr/>
        <w:sdtContent>
          <w:r w:rsidR="0043219B">
            <w:rPr>
              <w:rFonts w:cs="Arial"/>
              <w:lang w:val="en-US"/>
            </w:rPr>
            <w:fldChar w:fldCharType="begin"/>
          </w:r>
          <w:r w:rsidR="0043219B" w:rsidRPr="0043219B">
            <w:rPr>
              <w:rFonts w:cs="Arial"/>
              <w:lang w:val="en-US"/>
            </w:rPr>
            <w:instrText xml:space="preserve"> CITATION Cam09 \l 3079 </w:instrText>
          </w:r>
          <w:r w:rsidR="0043219B">
            <w:rPr>
              <w:rFonts w:cs="Arial"/>
              <w:lang w:val="en-US"/>
            </w:rPr>
            <w:fldChar w:fldCharType="separate"/>
          </w:r>
          <w:r w:rsidR="0043219B" w:rsidRPr="0043219B">
            <w:rPr>
              <w:rFonts w:cs="Arial"/>
              <w:noProof/>
              <w:lang w:val="en-US"/>
            </w:rPr>
            <w:t>(Campbell &amp; Frei, 2009)</w:t>
          </w:r>
          <w:r w:rsidR="0043219B">
            <w:rPr>
              <w:rFonts w:cs="Arial"/>
              <w:lang w:val="en-US"/>
            </w:rPr>
            <w:fldChar w:fldCharType="end"/>
          </w:r>
        </w:sdtContent>
      </w:sdt>
      <w:r>
        <w:rPr>
          <w:rFonts w:cs="Arial"/>
          <w:lang w:val="en-US"/>
        </w:rPr>
        <w:t>.</w:t>
      </w:r>
    </w:p>
    <w:p w14:paraId="31100E51" w14:textId="77777777" w:rsidR="00481202" w:rsidRDefault="00481202" w:rsidP="009D0C39">
      <w:pPr>
        <w:pStyle w:val="berschrift2"/>
        <w:rPr>
          <w:lang w:val="en-US"/>
        </w:rPr>
      </w:pPr>
      <w:bookmarkStart w:id="34" w:name="_Toc42077749"/>
      <w:r>
        <w:rPr>
          <w:lang w:val="en-US"/>
        </w:rPr>
        <w:t>Automation Of Banking Processes</w:t>
      </w:r>
      <w:bookmarkEnd w:id="34"/>
    </w:p>
    <w:p w14:paraId="5001F55E" w14:textId="63089274" w:rsidR="00481202" w:rsidRDefault="00481202" w:rsidP="00481202">
      <w:pPr>
        <w:spacing w:line="360" w:lineRule="auto"/>
        <w:rPr>
          <w:rFonts w:cs="Arial"/>
          <w:lang w:val="en-US"/>
        </w:rPr>
      </w:pPr>
      <w:r>
        <w:rPr>
          <w:rFonts w:cs="Arial"/>
          <w:lang w:val="en-US"/>
        </w:rPr>
        <w:t>Rapid IT-developments in previous decades generated substantial cost saving possibilities in various industries, including banking. These innovations involve automating multiple business processes, while credit cards, debit cards, e-money purchases, mobile-payments as well as online access channels provide easier and more convenient transaction methods for customers and banks. Business processes</w:t>
      </w:r>
      <w:r w:rsidRPr="00B60EF1">
        <w:rPr>
          <w:rFonts w:cs="Arial"/>
          <w:lang w:val="en-US"/>
        </w:rPr>
        <w:t xml:space="preserve"> </w:t>
      </w:r>
      <w:r>
        <w:rPr>
          <w:rFonts w:cs="Arial"/>
          <w:lang w:val="en-US"/>
        </w:rPr>
        <w:t>for instance are payment transactions and generally can be defined as a collection of activities with shared objectives</w:t>
      </w:r>
      <w:r w:rsidR="00BB7319">
        <w:rPr>
          <w:rFonts w:cs="Arial"/>
          <w:lang w:val="en-US"/>
        </w:rPr>
        <w:t xml:space="preserve"> </w:t>
      </w:r>
      <w:sdt>
        <w:sdtPr>
          <w:rPr>
            <w:rFonts w:cs="Arial"/>
            <w:lang w:val="en-US"/>
          </w:rPr>
          <w:id w:val="-2018608286"/>
          <w:citation/>
        </w:sdtPr>
        <w:sdtEndPr/>
        <w:sdtContent>
          <w:r w:rsidR="00BB7319">
            <w:rPr>
              <w:rFonts w:cs="Arial"/>
              <w:lang w:val="en-US"/>
            </w:rPr>
            <w:fldChar w:fldCharType="begin"/>
          </w:r>
          <w:r w:rsidR="009A4AED">
            <w:rPr>
              <w:rFonts w:cs="Arial"/>
              <w:lang w:val="en-US"/>
            </w:rPr>
            <w:instrText xml:space="preserve">CITATION Nik08 \l 3079 </w:instrText>
          </w:r>
          <w:r w:rsidR="00BB7319">
            <w:rPr>
              <w:rFonts w:cs="Arial"/>
              <w:lang w:val="en-US"/>
            </w:rPr>
            <w:fldChar w:fldCharType="separate"/>
          </w:r>
          <w:r w:rsidR="009A4AED" w:rsidRPr="009A4AED">
            <w:rPr>
              <w:rFonts w:cs="Arial"/>
              <w:noProof/>
              <w:lang w:val="en-US"/>
            </w:rPr>
            <w:t>(Nikolaidou, Anagnostopoulos, &amp; Tsalgatidou, 2008)</w:t>
          </w:r>
          <w:r w:rsidR="00BB7319">
            <w:rPr>
              <w:rFonts w:cs="Arial"/>
              <w:lang w:val="en-US"/>
            </w:rPr>
            <w:fldChar w:fldCharType="end"/>
          </w:r>
        </w:sdtContent>
      </w:sdt>
      <w:r>
        <w:rPr>
          <w:rFonts w:cs="Arial"/>
          <w:lang w:val="en-US"/>
        </w:rPr>
        <w:t xml:space="preserve">. </w:t>
      </w:r>
      <w:r w:rsidRPr="00C838E6">
        <w:rPr>
          <w:rFonts w:cs="Arial"/>
          <w:lang w:val="en-US"/>
        </w:rPr>
        <w:t xml:space="preserve">In their work </w:t>
      </w:r>
      <w:proofErr w:type="spellStart"/>
      <w:r>
        <w:rPr>
          <w:rFonts w:cs="Arial"/>
          <w:lang w:val="en-US"/>
        </w:rPr>
        <w:t>Nikolaidou</w:t>
      </w:r>
      <w:proofErr w:type="spellEnd"/>
      <w:r w:rsidR="004F0DE4">
        <w:rPr>
          <w:rFonts w:cs="Arial"/>
          <w:lang w:val="en-US"/>
        </w:rPr>
        <w:t xml:space="preserve">, </w:t>
      </w:r>
      <w:r>
        <w:rPr>
          <w:rFonts w:cs="Arial"/>
          <w:lang w:val="en-US"/>
        </w:rPr>
        <w:t>Anagnostopoulos</w:t>
      </w:r>
      <w:r w:rsidR="004F0DE4">
        <w:rPr>
          <w:rFonts w:cs="Arial"/>
          <w:lang w:val="en-US"/>
        </w:rPr>
        <w:t xml:space="preserve"> and </w:t>
      </w:r>
      <w:r w:rsidR="004F0DE4" w:rsidRPr="009A4AED">
        <w:rPr>
          <w:rFonts w:cs="Arial"/>
          <w:noProof/>
          <w:lang w:val="en-US"/>
        </w:rPr>
        <w:t>Tsalgatidou</w:t>
      </w:r>
      <w:r w:rsidR="004F0DE4">
        <w:rPr>
          <w:rFonts w:cs="Arial"/>
          <w:noProof/>
          <w:lang w:val="en-US"/>
        </w:rPr>
        <w:t xml:space="preserve"> </w:t>
      </w:r>
      <w:sdt>
        <w:sdtPr>
          <w:rPr>
            <w:rFonts w:cs="Arial"/>
            <w:noProof/>
            <w:lang w:val="en-US"/>
          </w:rPr>
          <w:id w:val="1489744962"/>
          <w:citation/>
        </w:sdtPr>
        <w:sdtEndPr/>
        <w:sdtContent>
          <w:r w:rsidR="004F0DE4">
            <w:rPr>
              <w:rFonts w:cs="Arial"/>
              <w:noProof/>
              <w:lang w:val="en-US"/>
            </w:rPr>
            <w:fldChar w:fldCharType="begin"/>
          </w:r>
          <w:r w:rsidR="004F0DE4">
            <w:rPr>
              <w:rFonts w:cs="Arial"/>
              <w:noProof/>
              <w:lang w:val="en-US"/>
            </w:rPr>
            <w:instrText xml:space="preserve">CITATION Nik08 \n  \t  \l 3079 </w:instrText>
          </w:r>
          <w:r w:rsidR="004F0DE4">
            <w:rPr>
              <w:rFonts w:cs="Arial"/>
              <w:noProof/>
              <w:lang w:val="en-US"/>
            </w:rPr>
            <w:fldChar w:fldCharType="separate"/>
          </w:r>
          <w:r w:rsidR="004F0DE4" w:rsidRPr="004F0DE4">
            <w:rPr>
              <w:rFonts w:cs="Arial"/>
              <w:noProof/>
              <w:lang w:val="en-US"/>
            </w:rPr>
            <w:t>(2008)</w:t>
          </w:r>
          <w:r w:rsidR="004F0DE4">
            <w:rPr>
              <w:rFonts w:cs="Arial"/>
              <w:noProof/>
              <w:lang w:val="en-US"/>
            </w:rPr>
            <w:fldChar w:fldCharType="end"/>
          </w:r>
        </w:sdtContent>
      </w:sdt>
      <w:r>
        <w:rPr>
          <w:rFonts w:cs="Arial"/>
          <w:lang w:val="en-US"/>
        </w:rPr>
        <w:t xml:space="preserve"> </w:t>
      </w:r>
      <w:r w:rsidRPr="00C838E6">
        <w:rPr>
          <w:rFonts w:cs="Arial"/>
          <w:lang w:val="en-US"/>
        </w:rPr>
        <w:t>describe the automation of business processes at a medium-sized</w:t>
      </w:r>
      <w:r>
        <w:rPr>
          <w:rFonts w:cs="Arial"/>
          <w:lang w:val="en-US"/>
        </w:rPr>
        <w:t>, private</w:t>
      </w:r>
      <w:r w:rsidRPr="00C838E6">
        <w:rPr>
          <w:rFonts w:cs="Arial"/>
          <w:lang w:val="en-US"/>
        </w:rPr>
        <w:t xml:space="preserve"> bank in Athens</w:t>
      </w:r>
      <w:r>
        <w:rPr>
          <w:rFonts w:cs="Arial"/>
          <w:lang w:val="en-US"/>
        </w:rPr>
        <w:t xml:space="preserve"> regarding loan monitoring. Further they demonstrate how inefficient and unproductive human-based operation procedures can be compared to the usage of information systems and machine power, especially when it comes to data intensive processes. </w:t>
      </w:r>
    </w:p>
    <w:p w14:paraId="762EFCF9" w14:textId="556B88DE" w:rsidR="00481202" w:rsidRPr="00747010" w:rsidRDefault="00481202" w:rsidP="00481202">
      <w:pPr>
        <w:spacing w:line="360" w:lineRule="auto"/>
        <w:rPr>
          <w:rFonts w:cs="Arial"/>
          <w:lang w:val="en-US"/>
        </w:rPr>
      </w:pPr>
      <w:r>
        <w:rPr>
          <w:rFonts w:cs="Arial"/>
          <w:lang w:val="en-US"/>
        </w:rPr>
        <w:t xml:space="preserve">In addition computers establish themselves as decision makers. Lending evaluation, factoring and creating costumer-specific credit scores are all examples for services, that have been performed by humans but nowadays are realized by computers. In this case quantitative data constitutes the foundation for accurate and fast processes. However, further developments, like blockchain-technology and artificial intelligence, lead to a gradual replacement of human labor by machines in many sectors of banking. According to a benchmarking survey by Forbes and Kofax, </w:t>
      </w:r>
      <w:r w:rsidRPr="004E1F3A">
        <w:rPr>
          <w:rFonts w:cs="Arial"/>
          <w:lang w:val="en-US"/>
        </w:rPr>
        <w:t xml:space="preserve">in which over 300 managing directors worldwide </w:t>
      </w:r>
      <w:r>
        <w:rPr>
          <w:rFonts w:cs="Arial"/>
          <w:lang w:val="en-US"/>
        </w:rPr>
        <w:t xml:space="preserve">participated, more than 50% of all </w:t>
      </w:r>
      <w:r>
        <w:rPr>
          <w:rFonts w:cs="Arial"/>
          <w:lang w:val="en-US"/>
        </w:rPr>
        <w:lastRenderedPageBreak/>
        <w:t>business processes in banks can be automated</w:t>
      </w:r>
      <w:r w:rsidR="009411E6">
        <w:rPr>
          <w:rFonts w:cs="Arial"/>
          <w:lang w:val="en-US"/>
        </w:rPr>
        <w:t xml:space="preserve"> </w:t>
      </w:r>
      <w:sdt>
        <w:sdtPr>
          <w:rPr>
            <w:rFonts w:cs="Arial"/>
            <w:lang w:val="en-US"/>
          </w:rPr>
          <w:id w:val="1443803386"/>
          <w:citation/>
        </w:sdtPr>
        <w:sdtEndPr/>
        <w:sdtContent>
          <w:r w:rsidR="009411E6">
            <w:rPr>
              <w:rFonts w:cs="Arial"/>
              <w:lang w:val="en-US"/>
            </w:rPr>
            <w:fldChar w:fldCharType="begin"/>
          </w:r>
          <w:r w:rsidR="00D00534">
            <w:rPr>
              <w:rFonts w:cs="Arial"/>
              <w:lang w:val="en-US"/>
            </w:rPr>
            <w:instrText xml:space="preserve">CITATION Sch19 \l 3079 </w:instrText>
          </w:r>
          <w:r w:rsidR="009411E6">
            <w:rPr>
              <w:rFonts w:cs="Arial"/>
              <w:lang w:val="en-US"/>
            </w:rPr>
            <w:fldChar w:fldCharType="separate"/>
          </w:r>
          <w:r w:rsidR="00D00534" w:rsidRPr="00D00534">
            <w:rPr>
              <w:rFonts w:cs="Arial"/>
              <w:noProof/>
              <w:lang w:val="en-US"/>
            </w:rPr>
            <w:t>(Maguire, et al., 2019)</w:t>
          </w:r>
          <w:r w:rsidR="009411E6">
            <w:rPr>
              <w:rFonts w:cs="Arial"/>
              <w:lang w:val="en-US"/>
            </w:rPr>
            <w:fldChar w:fldCharType="end"/>
          </w:r>
        </w:sdtContent>
      </w:sdt>
      <w:r w:rsidRPr="00747010">
        <w:rPr>
          <w:rFonts w:cs="Arial"/>
          <w:lang w:val="en-US"/>
        </w:rPr>
        <w:t>.</w:t>
      </w:r>
      <w:r>
        <w:rPr>
          <w:rFonts w:cs="Arial"/>
          <w:lang w:val="en-US"/>
        </w:rPr>
        <w:t xml:space="preserve"> </w:t>
      </w:r>
      <w:r w:rsidRPr="00747010">
        <w:rPr>
          <w:rFonts w:cs="Arial"/>
          <w:lang w:val="en-US"/>
        </w:rPr>
        <w:t>Technologies that have already changed the banking industry in terms of automation are</w:t>
      </w:r>
      <w:r>
        <w:rPr>
          <w:rFonts w:cs="Arial"/>
          <w:lang w:val="en-US"/>
        </w:rPr>
        <w:t>, for example,</w:t>
      </w:r>
      <w:r w:rsidRPr="00747010">
        <w:rPr>
          <w:rFonts w:cs="Arial"/>
          <w:lang w:val="en-US"/>
        </w:rPr>
        <w:t xml:space="preserve"> the ATM</w:t>
      </w:r>
      <w:r>
        <w:rPr>
          <w:rFonts w:cs="Arial"/>
          <w:lang w:val="en-US"/>
        </w:rPr>
        <w:t xml:space="preserve">, several innovative payment methods and internet banking. </w:t>
      </w:r>
      <w:r w:rsidRPr="00C72682">
        <w:rPr>
          <w:rFonts w:cs="Arial"/>
          <w:lang w:val="en-US"/>
        </w:rPr>
        <w:t>The latter is dealt with in detail in the following chapter</w:t>
      </w:r>
      <w:r>
        <w:rPr>
          <w:rFonts w:cs="Arial"/>
          <w:lang w:val="en-US"/>
        </w:rPr>
        <w:t>.</w:t>
      </w:r>
    </w:p>
    <w:p w14:paraId="03ABD6E5" w14:textId="77777777" w:rsidR="00481202" w:rsidRPr="00210177" w:rsidRDefault="00481202" w:rsidP="009D0C39">
      <w:pPr>
        <w:pStyle w:val="berschrift3"/>
        <w:rPr>
          <w:lang w:val="en-US"/>
        </w:rPr>
      </w:pPr>
      <w:r w:rsidRPr="00747010">
        <w:rPr>
          <w:lang w:val="en-US"/>
        </w:rPr>
        <w:tab/>
      </w:r>
      <w:bookmarkStart w:id="35" w:name="_Toc42077750"/>
      <w:r w:rsidRPr="00210177">
        <w:rPr>
          <w:lang w:val="en-US"/>
        </w:rPr>
        <w:t>Internet Banking</w:t>
      </w:r>
      <w:bookmarkEnd w:id="35"/>
    </w:p>
    <w:p w14:paraId="725FBB2C" w14:textId="77777777" w:rsidR="00481202" w:rsidRDefault="00481202" w:rsidP="00481202">
      <w:pPr>
        <w:spacing w:line="360" w:lineRule="auto"/>
        <w:rPr>
          <w:rFonts w:cs="Arial"/>
          <w:lang w:val="en-US"/>
        </w:rPr>
      </w:pPr>
      <w:r>
        <w:rPr>
          <w:rFonts w:cs="Arial"/>
          <w:lang w:val="en-US"/>
        </w:rPr>
        <w:t>Internet banking, respectively online banking, is an example for the ongoing replacement of human-based business processes, although banking branches still provide personal services. Chavan defines the term in his paper as followed.</w:t>
      </w:r>
    </w:p>
    <w:p w14:paraId="5D9C78B9" w14:textId="6EC65E7E" w:rsidR="00481202" w:rsidRPr="00F24528" w:rsidRDefault="00481202" w:rsidP="00481202">
      <w:pPr>
        <w:spacing w:line="360" w:lineRule="auto"/>
        <w:ind w:left="567" w:right="567"/>
        <w:rPr>
          <w:rFonts w:cs="Arial"/>
          <w:lang w:val="en-US"/>
        </w:rPr>
      </w:pPr>
      <w:r w:rsidRPr="002D1F6B">
        <w:rPr>
          <w:rFonts w:cs="Arial"/>
          <w:lang w:val="en-US"/>
        </w:rPr>
        <w:t>Internet banking is defined as the use of the Internet to deliver banking activities such as funds transfer, paying bills, viewing current and savings account balance, paying mortgages and purchasing financial instruments and certificates of deposits</w:t>
      </w:r>
      <w:r>
        <w:rPr>
          <w:rFonts w:cs="Arial"/>
          <w:lang w:val="en-US"/>
        </w:rPr>
        <w:t>.</w:t>
      </w:r>
      <w:r w:rsidR="006C0F11">
        <w:rPr>
          <w:rFonts w:cs="Arial"/>
          <w:lang w:val="en-US"/>
        </w:rPr>
        <w:t xml:space="preserve"> </w:t>
      </w:r>
      <w:sdt>
        <w:sdtPr>
          <w:rPr>
            <w:rFonts w:cs="Arial"/>
            <w:lang w:val="en-US"/>
          </w:rPr>
          <w:id w:val="610865763"/>
          <w:citation/>
        </w:sdtPr>
        <w:sdtEndPr/>
        <w:sdtContent>
          <w:r w:rsidR="006C0F11">
            <w:rPr>
              <w:rFonts w:cs="Arial"/>
              <w:lang w:val="en-US"/>
            </w:rPr>
            <w:fldChar w:fldCharType="begin"/>
          </w:r>
          <w:r w:rsidR="008A52EB" w:rsidRPr="008D04DD">
            <w:rPr>
              <w:rFonts w:cs="Arial"/>
              <w:lang w:val="en-US"/>
            </w:rPr>
            <w:instrText xml:space="preserve">CITATION Cha13 \l 3079 </w:instrText>
          </w:r>
          <w:r w:rsidR="006C0F11">
            <w:rPr>
              <w:rFonts w:cs="Arial"/>
              <w:lang w:val="en-US"/>
            </w:rPr>
            <w:fldChar w:fldCharType="separate"/>
          </w:r>
          <w:r w:rsidR="008A52EB" w:rsidRPr="008D04DD">
            <w:rPr>
              <w:rFonts w:cs="Arial"/>
              <w:noProof/>
              <w:lang w:val="en-US"/>
            </w:rPr>
            <w:t>(Chavan, 2013)</w:t>
          </w:r>
          <w:r w:rsidR="006C0F11">
            <w:rPr>
              <w:rFonts w:cs="Arial"/>
              <w:lang w:val="en-US"/>
            </w:rPr>
            <w:fldChar w:fldCharType="end"/>
          </w:r>
        </w:sdtContent>
      </w:sdt>
      <w:r>
        <w:rPr>
          <w:rFonts w:cs="Arial"/>
          <w:lang w:val="en-US"/>
        </w:rPr>
        <w:t xml:space="preserve"> </w:t>
      </w:r>
    </w:p>
    <w:p w14:paraId="4A4F50EF" w14:textId="42F7AF06" w:rsidR="00EF6471" w:rsidRDefault="00481202" w:rsidP="00481202">
      <w:pPr>
        <w:spacing w:line="360" w:lineRule="auto"/>
        <w:rPr>
          <w:rFonts w:cs="Arial"/>
          <w:lang w:val="en-US"/>
        </w:rPr>
      </w:pPr>
      <w:r>
        <w:rPr>
          <w:rFonts w:cs="Arial"/>
          <w:lang w:val="en-US"/>
        </w:rPr>
        <w:t xml:space="preserve">Online banking can be classified as part of electronic-banking, which involve banking techniques like the ATM and telephone transactions. Internet banking provides numerous benefits for customers as well as for financial institutions and is already widely adopted in Europe. Since banking enterprises save costs by substituting human labor with computers and automating account-keeping processes, fees tend to be lower, while interest rates on deposits rise. However, these </w:t>
      </w:r>
      <w:r w:rsidRPr="008E29AF">
        <w:rPr>
          <w:rFonts w:cs="Arial"/>
          <w:lang w:val="en-US"/>
        </w:rPr>
        <w:t>developments are not always reflected in reality</w:t>
      </w:r>
      <w:r>
        <w:rPr>
          <w:rFonts w:cs="Arial"/>
          <w:lang w:val="en-US"/>
        </w:rPr>
        <w:t xml:space="preserve">, </w:t>
      </w:r>
      <w:r w:rsidR="0010650D">
        <w:rPr>
          <w:rFonts w:cs="Arial"/>
          <w:lang w:val="en-US"/>
        </w:rPr>
        <w:t>which indicates</w:t>
      </w:r>
      <w:r w:rsidR="009515D2">
        <w:rPr>
          <w:rFonts w:cs="Arial"/>
          <w:lang w:val="en-US"/>
        </w:rPr>
        <w:t>, that</w:t>
      </w:r>
      <w:r w:rsidR="00531204">
        <w:rPr>
          <w:rFonts w:cs="Arial"/>
          <w:lang w:val="en-US"/>
        </w:rPr>
        <w:t xml:space="preserve"> the amount </w:t>
      </w:r>
      <w:r w:rsidR="008F04B2">
        <w:rPr>
          <w:rFonts w:cs="Arial"/>
          <w:lang w:val="en-US"/>
        </w:rPr>
        <w:t xml:space="preserve">of </w:t>
      </w:r>
      <w:r w:rsidR="00531204">
        <w:rPr>
          <w:rFonts w:cs="Arial"/>
          <w:lang w:val="en-US"/>
        </w:rPr>
        <w:t xml:space="preserve">banking fees charged </w:t>
      </w:r>
      <w:r w:rsidR="00DF78B3">
        <w:rPr>
          <w:rFonts w:cs="Arial"/>
          <w:lang w:val="en-US"/>
        </w:rPr>
        <w:t>depends on other factors as well</w:t>
      </w:r>
      <w:r>
        <w:rPr>
          <w:rFonts w:cs="Arial"/>
          <w:lang w:val="en-US"/>
        </w:rPr>
        <w:t xml:space="preserve">. </w:t>
      </w:r>
    </w:p>
    <w:p w14:paraId="493DF643" w14:textId="34658821" w:rsidR="00EF6471" w:rsidRDefault="00EF6471" w:rsidP="00481202">
      <w:pPr>
        <w:spacing w:line="360" w:lineRule="auto"/>
        <w:rPr>
          <w:rFonts w:cs="Arial"/>
          <w:lang w:val="en-US"/>
        </w:rPr>
      </w:pPr>
      <w:r>
        <w:rPr>
          <w:rFonts w:cs="Arial"/>
          <w:noProof/>
          <w:lang w:val="en-US"/>
        </w:rPr>
        <w:drawing>
          <wp:inline distT="0" distB="0" distL="0" distR="0" wp14:anchorId="36243ADF" wp14:editId="488B4378">
            <wp:extent cx="5486400" cy="3200400"/>
            <wp:effectExtent l="0" t="0" r="0" b="0"/>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0BC0971" w14:textId="538C3F04" w:rsidR="006C7AA2" w:rsidRPr="00737F4D" w:rsidRDefault="006C7AA2" w:rsidP="006C7AA2">
      <w:pPr>
        <w:pStyle w:val="Beschriftung"/>
        <w:jc w:val="center"/>
        <w:rPr>
          <w:rFonts w:cs="Arial"/>
          <w:color w:val="auto"/>
          <w:lang w:val="en-US"/>
        </w:rPr>
      </w:pPr>
      <w:bookmarkStart w:id="36" w:name="_Ref40387900"/>
      <w:bookmarkStart w:id="37" w:name="_Toc39006159"/>
      <w:bookmarkStart w:id="38" w:name="_Toc42077594"/>
      <w:r w:rsidRPr="00737F4D">
        <w:rPr>
          <w:color w:val="auto"/>
          <w:lang w:val="en-US"/>
        </w:rPr>
        <w:t xml:space="preserve">Figure </w:t>
      </w:r>
      <w:r w:rsidRPr="00737F4D">
        <w:rPr>
          <w:color w:val="auto"/>
        </w:rPr>
        <w:fldChar w:fldCharType="begin"/>
      </w:r>
      <w:r w:rsidRPr="00737F4D">
        <w:rPr>
          <w:color w:val="auto"/>
          <w:lang w:val="en-US"/>
        </w:rPr>
        <w:instrText xml:space="preserve"> SEQ Figure \* ARABIC </w:instrText>
      </w:r>
      <w:r w:rsidRPr="00737F4D">
        <w:rPr>
          <w:color w:val="auto"/>
        </w:rPr>
        <w:fldChar w:fldCharType="separate"/>
      </w:r>
      <w:r w:rsidR="00B75C93">
        <w:rPr>
          <w:noProof/>
          <w:color w:val="auto"/>
          <w:lang w:val="en-US"/>
        </w:rPr>
        <w:t>3</w:t>
      </w:r>
      <w:r w:rsidRPr="00737F4D">
        <w:rPr>
          <w:color w:val="auto"/>
        </w:rPr>
        <w:fldChar w:fldCharType="end"/>
      </w:r>
      <w:bookmarkEnd w:id="36"/>
      <w:r w:rsidRPr="00737F4D">
        <w:rPr>
          <w:color w:val="auto"/>
          <w:lang w:val="en-US"/>
        </w:rPr>
        <w:t xml:space="preserve">: Proportion Of Users Of Online Banking </w:t>
      </w:r>
      <w:sdt>
        <w:sdtPr>
          <w:rPr>
            <w:color w:val="auto"/>
            <w:lang w:val="en-US"/>
          </w:rPr>
          <w:id w:val="-386956367"/>
          <w:citation/>
        </w:sdtPr>
        <w:sdtEndPr/>
        <w:sdtContent>
          <w:r>
            <w:rPr>
              <w:color w:val="auto"/>
              <w:lang w:val="en-US"/>
            </w:rPr>
            <w:fldChar w:fldCharType="begin"/>
          </w:r>
          <w:r w:rsidRPr="00737F4D">
            <w:rPr>
              <w:color w:val="auto"/>
              <w:lang w:val="en-US"/>
            </w:rPr>
            <w:instrText xml:space="preserve"> CITATION Rab20 \l 3079 </w:instrText>
          </w:r>
          <w:r>
            <w:rPr>
              <w:color w:val="auto"/>
              <w:lang w:val="en-US"/>
            </w:rPr>
            <w:fldChar w:fldCharType="separate"/>
          </w:r>
          <w:r w:rsidRPr="00737F4D">
            <w:rPr>
              <w:noProof/>
              <w:color w:val="auto"/>
              <w:lang w:val="en-US"/>
            </w:rPr>
            <w:t>(Rabe, 2020)</w:t>
          </w:r>
          <w:r>
            <w:rPr>
              <w:color w:val="auto"/>
              <w:lang w:val="en-US"/>
            </w:rPr>
            <w:fldChar w:fldCharType="end"/>
          </w:r>
        </w:sdtContent>
      </w:sdt>
      <w:bookmarkEnd w:id="37"/>
      <w:bookmarkEnd w:id="38"/>
    </w:p>
    <w:p w14:paraId="396B3424" w14:textId="77777777" w:rsidR="006C7AA2" w:rsidRDefault="006C7AA2" w:rsidP="00481202">
      <w:pPr>
        <w:spacing w:line="360" w:lineRule="auto"/>
        <w:rPr>
          <w:rFonts w:cs="Arial"/>
          <w:lang w:val="en-US"/>
        </w:rPr>
      </w:pPr>
    </w:p>
    <w:p w14:paraId="2DBC3E6C" w14:textId="76DA8D4A" w:rsidR="001313F4" w:rsidRDefault="00481202" w:rsidP="00481202">
      <w:pPr>
        <w:spacing w:line="360" w:lineRule="auto"/>
        <w:rPr>
          <w:rFonts w:cs="Arial"/>
          <w:lang w:val="en-US"/>
        </w:rPr>
      </w:pPr>
      <w:r>
        <w:rPr>
          <w:rFonts w:cs="Arial"/>
          <w:lang w:val="en-US"/>
        </w:rPr>
        <w:lastRenderedPageBreak/>
        <w:t>Furthermore the customers benefit from innovative services, like standing orders, and the ubiquitous accessibility of several services. Challenges on the other hand may discourage potential clients. The most significant issue banking institutions have to deal with is the guarantee of web security, which affects a customer’s trust behavior significantly</w:t>
      </w:r>
      <w:r w:rsidR="008A52EB">
        <w:rPr>
          <w:rFonts w:cs="Arial"/>
          <w:lang w:val="en-US"/>
        </w:rPr>
        <w:t xml:space="preserve"> </w:t>
      </w:r>
      <w:sdt>
        <w:sdtPr>
          <w:rPr>
            <w:rFonts w:cs="Arial"/>
            <w:lang w:val="en-US"/>
          </w:rPr>
          <w:id w:val="-509225377"/>
          <w:citation/>
        </w:sdtPr>
        <w:sdtEndPr/>
        <w:sdtContent>
          <w:r w:rsidR="008A52EB">
            <w:rPr>
              <w:rFonts w:cs="Arial"/>
              <w:lang w:val="en-US"/>
            </w:rPr>
            <w:fldChar w:fldCharType="begin"/>
          </w:r>
          <w:r w:rsidR="008A52EB" w:rsidRPr="008A52EB">
            <w:rPr>
              <w:rFonts w:cs="Arial"/>
              <w:lang w:val="en-US"/>
            </w:rPr>
            <w:instrText xml:space="preserve"> CITATION WuJ06 \l 3079 </w:instrText>
          </w:r>
          <w:r w:rsidR="008A52EB">
            <w:rPr>
              <w:rFonts w:cs="Arial"/>
              <w:lang w:val="en-US"/>
            </w:rPr>
            <w:fldChar w:fldCharType="separate"/>
          </w:r>
          <w:r w:rsidR="008A52EB" w:rsidRPr="008A52EB">
            <w:rPr>
              <w:rFonts w:cs="Arial"/>
              <w:noProof/>
              <w:lang w:val="en-US"/>
            </w:rPr>
            <w:t>(Wu, Hsia, &amp; Heng, 2006)</w:t>
          </w:r>
          <w:r w:rsidR="008A52EB">
            <w:rPr>
              <w:rFonts w:cs="Arial"/>
              <w:lang w:val="en-US"/>
            </w:rPr>
            <w:fldChar w:fldCharType="end"/>
          </w:r>
        </w:sdtContent>
      </w:sdt>
      <w:r>
        <w:rPr>
          <w:rFonts w:cs="Arial"/>
          <w:lang w:val="en-US"/>
        </w:rPr>
        <w:t xml:space="preserve">. </w:t>
      </w:r>
    </w:p>
    <w:p w14:paraId="1383B88F" w14:textId="381F76FC" w:rsidR="006D6965" w:rsidRDefault="00481202" w:rsidP="00383717">
      <w:pPr>
        <w:spacing w:line="360" w:lineRule="auto"/>
        <w:rPr>
          <w:rFonts w:cs="Arial"/>
          <w:lang w:val="en-US"/>
        </w:rPr>
      </w:pPr>
      <w:r>
        <w:rPr>
          <w:rFonts w:cs="Arial"/>
          <w:lang w:val="en-US"/>
        </w:rPr>
        <w:t xml:space="preserve">Regardless, online banking is widely used in Europe. </w:t>
      </w:r>
      <w:r w:rsidR="000D7F2A" w:rsidRPr="000D7F2A">
        <w:rPr>
          <w:rFonts w:cs="Arial"/>
          <w:u w:val="single"/>
          <w:lang w:val="en-US"/>
        </w:rPr>
        <w:fldChar w:fldCharType="begin"/>
      </w:r>
      <w:r w:rsidR="000D7F2A" w:rsidRPr="000D7F2A">
        <w:rPr>
          <w:rFonts w:cs="Arial"/>
          <w:u w:val="single"/>
          <w:lang w:val="en-US"/>
        </w:rPr>
        <w:instrText xml:space="preserve"> REF _Ref40387900 \h </w:instrText>
      </w:r>
      <w:r w:rsidR="000D7F2A" w:rsidRPr="000D7F2A">
        <w:rPr>
          <w:rFonts w:cs="Arial"/>
          <w:u w:val="single"/>
          <w:lang w:val="en-US"/>
        </w:rPr>
      </w:r>
      <w:r w:rsidR="000D7F2A" w:rsidRPr="000D7F2A">
        <w:rPr>
          <w:rFonts w:cs="Arial"/>
          <w:u w:val="single"/>
          <w:lang w:val="en-US"/>
        </w:rPr>
        <w:fldChar w:fldCharType="separate"/>
      </w:r>
      <w:r w:rsidR="00B75C93" w:rsidRPr="00737F4D">
        <w:rPr>
          <w:lang w:val="en-US"/>
        </w:rPr>
        <w:t xml:space="preserve">Figure </w:t>
      </w:r>
      <w:r w:rsidR="00B75C93">
        <w:rPr>
          <w:noProof/>
          <w:lang w:val="en-US"/>
        </w:rPr>
        <w:t>3</w:t>
      </w:r>
      <w:r w:rsidR="000D7F2A" w:rsidRPr="000D7F2A">
        <w:rPr>
          <w:rFonts w:cs="Arial"/>
          <w:u w:val="single"/>
          <w:lang w:val="en-US"/>
        </w:rPr>
        <w:fldChar w:fldCharType="end"/>
      </w:r>
      <w:r>
        <w:rPr>
          <w:rFonts w:cs="Arial"/>
          <w:lang w:val="en-US"/>
        </w:rPr>
        <w:t xml:space="preserve"> </w:t>
      </w:r>
      <w:r w:rsidRPr="008D5A60">
        <w:rPr>
          <w:rFonts w:cs="Arial"/>
          <w:lang w:val="en-US"/>
        </w:rPr>
        <w:t>shows the proportion of users of online banking in selected countries in Europe in 2019</w:t>
      </w:r>
      <w:r>
        <w:rPr>
          <w:rFonts w:cs="Arial"/>
          <w:lang w:val="en-US"/>
        </w:rPr>
        <w:t>. While Scandinavian and Dutch citizens establish themselves as front-runners, Austria and Germany indicate average values. With around 30%, Italy and Greece are the EU member states, in which online banking is least used.</w:t>
      </w:r>
      <w:r w:rsidR="003C4053">
        <w:rPr>
          <w:rFonts w:cs="Arial"/>
          <w:lang w:val="en-US"/>
        </w:rPr>
        <w:t xml:space="preserve"> </w:t>
      </w:r>
      <w:r w:rsidR="007167A4">
        <w:rPr>
          <w:rFonts w:cs="Arial"/>
          <w:lang w:val="en-US"/>
        </w:rPr>
        <w:t xml:space="preserve">The adoption of new technologies </w:t>
      </w:r>
      <w:r w:rsidR="009E2343">
        <w:rPr>
          <w:rFonts w:cs="Arial"/>
          <w:lang w:val="en-US"/>
        </w:rPr>
        <w:t xml:space="preserve">by the customers </w:t>
      </w:r>
      <w:r w:rsidR="004819BC">
        <w:rPr>
          <w:rFonts w:cs="Arial"/>
          <w:lang w:val="en-US"/>
        </w:rPr>
        <w:t>is considered highly relevant</w:t>
      </w:r>
      <w:r w:rsidR="007B26D5">
        <w:rPr>
          <w:rFonts w:cs="Arial"/>
          <w:lang w:val="en-US"/>
        </w:rPr>
        <w:t xml:space="preserve">, since </w:t>
      </w:r>
      <w:r w:rsidR="0013137C">
        <w:rPr>
          <w:rFonts w:cs="Arial"/>
          <w:lang w:val="en-US"/>
        </w:rPr>
        <w:t xml:space="preserve">banks </w:t>
      </w:r>
      <w:r w:rsidR="00BE0113">
        <w:rPr>
          <w:rFonts w:cs="Arial"/>
          <w:lang w:val="en-US"/>
        </w:rPr>
        <w:t xml:space="preserve">rely on </w:t>
      </w:r>
      <w:r w:rsidR="0038772F">
        <w:rPr>
          <w:rFonts w:cs="Arial"/>
          <w:lang w:val="en-US"/>
        </w:rPr>
        <w:t xml:space="preserve">of clients’ </w:t>
      </w:r>
      <w:r w:rsidR="00700047">
        <w:rPr>
          <w:rFonts w:cs="Arial"/>
          <w:lang w:val="en-US"/>
        </w:rPr>
        <w:t>behavior</w:t>
      </w:r>
      <w:r w:rsidR="0038772F">
        <w:rPr>
          <w:rFonts w:cs="Arial"/>
          <w:lang w:val="en-US"/>
        </w:rPr>
        <w:t>.</w:t>
      </w:r>
      <w:r w:rsidR="009734B9">
        <w:rPr>
          <w:rFonts w:cs="Arial"/>
          <w:lang w:val="en-US"/>
        </w:rPr>
        <w:t xml:space="preserve"> </w:t>
      </w:r>
      <w:r w:rsidR="004C7E5C">
        <w:rPr>
          <w:rFonts w:cs="Arial"/>
          <w:lang w:val="en-US"/>
        </w:rPr>
        <w:t>Therefore</w:t>
      </w:r>
      <w:r w:rsidR="008E0897">
        <w:rPr>
          <w:rFonts w:cs="Arial"/>
          <w:lang w:val="en-US"/>
        </w:rPr>
        <w:t>,</w:t>
      </w:r>
      <w:r w:rsidR="004C7E5C">
        <w:rPr>
          <w:rFonts w:cs="Arial"/>
          <w:lang w:val="en-US"/>
        </w:rPr>
        <w:t xml:space="preserve"> the implementation of cost intensive</w:t>
      </w:r>
      <w:r w:rsidR="005B1B7D">
        <w:rPr>
          <w:rFonts w:cs="Arial"/>
          <w:lang w:val="en-US"/>
        </w:rPr>
        <w:t xml:space="preserve">, modern distribution channels </w:t>
      </w:r>
      <w:r w:rsidR="0006359C">
        <w:rPr>
          <w:rFonts w:cs="Arial"/>
          <w:lang w:val="en-US"/>
        </w:rPr>
        <w:t xml:space="preserve">would </w:t>
      </w:r>
      <w:r w:rsidR="00D117E1">
        <w:rPr>
          <w:rFonts w:cs="Arial"/>
          <w:lang w:val="en-US"/>
        </w:rPr>
        <w:t xml:space="preserve">not </w:t>
      </w:r>
      <w:r w:rsidR="0006359C">
        <w:rPr>
          <w:rFonts w:cs="Arial"/>
          <w:lang w:val="en-US"/>
        </w:rPr>
        <w:t xml:space="preserve">be </w:t>
      </w:r>
      <w:r w:rsidR="00D117E1">
        <w:rPr>
          <w:rFonts w:cs="Arial"/>
          <w:lang w:val="en-US"/>
        </w:rPr>
        <w:t xml:space="preserve">constructive, when </w:t>
      </w:r>
      <w:r w:rsidR="003F3FB8">
        <w:rPr>
          <w:rFonts w:cs="Arial"/>
          <w:lang w:val="en-US"/>
        </w:rPr>
        <w:t xml:space="preserve">the consumers are not willing to </w:t>
      </w:r>
      <w:r w:rsidR="00D84B94">
        <w:rPr>
          <w:rFonts w:cs="Arial"/>
          <w:lang w:val="en-US"/>
        </w:rPr>
        <w:t xml:space="preserve">use them once they are available. </w:t>
      </w:r>
    </w:p>
    <w:p w14:paraId="6805501D" w14:textId="68FA3BEB" w:rsidR="00737F4D" w:rsidRDefault="00A44176" w:rsidP="00383717">
      <w:pPr>
        <w:spacing w:line="360" w:lineRule="auto"/>
        <w:rPr>
          <w:rFonts w:cs="Arial"/>
          <w:lang w:val="en-US"/>
        </w:rPr>
      </w:pPr>
      <w:r>
        <w:rPr>
          <w:rFonts w:cs="Arial"/>
          <w:lang w:val="en-US"/>
        </w:rPr>
        <w:t xml:space="preserve">According to </w:t>
      </w:r>
      <w:r w:rsidR="002E3788">
        <w:rPr>
          <w:rFonts w:cs="Arial"/>
          <w:lang w:val="en-US"/>
        </w:rPr>
        <w:t>Campbell and Frei</w:t>
      </w:r>
      <w:r w:rsidR="00277F6B">
        <w:rPr>
          <w:rFonts w:cs="Arial"/>
          <w:lang w:val="en-US"/>
        </w:rPr>
        <w:t xml:space="preserve"> </w:t>
      </w:r>
      <w:sdt>
        <w:sdtPr>
          <w:rPr>
            <w:rFonts w:cs="Arial"/>
            <w:lang w:val="en-US"/>
          </w:rPr>
          <w:id w:val="1837881483"/>
          <w:citation/>
        </w:sdtPr>
        <w:sdtEndPr/>
        <w:sdtContent>
          <w:r w:rsidR="00277F6B">
            <w:rPr>
              <w:rFonts w:cs="Arial"/>
              <w:lang w:val="en-US"/>
            </w:rPr>
            <w:fldChar w:fldCharType="begin"/>
          </w:r>
          <w:r w:rsidR="00277F6B">
            <w:rPr>
              <w:rFonts w:cs="Arial"/>
              <w:lang w:val="en-US"/>
            </w:rPr>
            <w:instrText xml:space="preserve">CITATION Cam09 \n  \t  \l 3079 </w:instrText>
          </w:r>
          <w:r w:rsidR="00277F6B">
            <w:rPr>
              <w:rFonts w:cs="Arial"/>
              <w:lang w:val="en-US"/>
            </w:rPr>
            <w:fldChar w:fldCharType="separate"/>
          </w:r>
          <w:r w:rsidR="00277F6B" w:rsidRPr="00277F6B">
            <w:rPr>
              <w:rFonts w:cs="Arial"/>
              <w:noProof/>
              <w:lang w:val="en-US"/>
            </w:rPr>
            <w:t>(2009)</w:t>
          </w:r>
          <w:r w:rsidR="00277F6B">
            <w:rPr>
              <w:rFonts w:cs="Arial"/>
              <w:lang w:val="en-US"/>
            </w:rPr>
            <w:fldChar w:fldCharType="end"/>
          </w:r>
        </w:sdtContent>
      </w:sdt>
      <w:r w:rsidR="002E3788">
        <w:rPr>
          <w:rFonts w:cs="Arial"/>
          <w:lang w:val="en-US"/>
        </w:rPr>
        <w:t xml:space="preserve"> </w:t>
      </w:r>
      <w:r w:rsidR="00CB3554">
        <w:rPr>
          <w:rFonts w:cs="Arial"/>
          <w:lang w:val="en-US"/>
        </w:rPr>
        <w:t xml:space="preserve">the adoption and use of online banking </w:t>
      </w:r>
      <w:r w:rsidR="00694DA1">
        <w:rPr>
          <w:rFonts w:cs="Arial"/>
          <w:lang w:val="en-US"/>
        </w:rPr>
        <w:t xml:space="preserve">is </w:t>
      </w:r>
      <w:r w:rsidR="00CB3554">
        <w:rPr>
          <w:rFonts w:cs="Arial"/>
          <w:lang w:val="en-US"/>
        </w:rPr>
        <w:t>associated with various factors</w:t>
      </w:r>
      <w:r w:rsidR="00FF2E4B">
        <w:rPr>
          <w:rFonts w:cs="Arial"/>
          <w:lang w:val="en-US"/>
        </w:rPr>
        <w:t>. For instance</w:t>
      </w:r>
      <w:r w:rsidR="00071FB0">
        <w:rPr>
          <w:rFonts w:cs="Arial"/>
          <w:lang w:val="en-US"/>
        </w:rPr>
        <w:t xml:space="preserve">, </w:t>
      </w:r>
      <w:r w:rsidR="00F8184F">
        <w:rPr>
          <w:rFonts w:cs="Arial"/>
          <w:lang w:val="en-US"/>
        </w:rPr>
        <w:t xml:space="preserve">the rise of the </w:t>
      </w:r>
      <w:r w:rsidR="00F8184F" w:rsidRPr="0021627B">
        <w:rPr>
          <w:lang w:val="en-US"/>
        </w:rPr>
        <w:t>estimated average cost to serve</w:t>
      </w:r>
      <w:r w:rsidR="00C22359">
        <w:rPr>
          <w:lang w:val="en-US"/>
        </w:rPr>
        <w:t xml:space="preserve"> due to </w:t>
      </w:r>
      <w:r w:rsidR="00E13755">
        <w:rPr>
          <w:lang w:val="en-US"/>
        </w:rPr>
        <w:t xml:space="preserve">an significant increase of </w:t>
      </w:r>
      <w:r w:rsidR="00D34920">
        <w:rPr>
          <w:rFonts w:cs="Arial"/>
          <w:lang w:val="en-US"/>
        </w:rPr>
        <w:t xml:space="preserve">the total transaction volume </w:t>
      </w:r>
      <w:r w:rsidR="00594AFA">
        <w:rPr>
          <w:rFonts w:cs="Arial"/>
          <w:lang w:val="en-US"/>
        </w:rPr>
        <w:t xml:space="preserve">and other </w:t>
      </w:r>
      <w:r w:rsidR="004C77A2">
        <w:rPr>
          <w:rFonts w:cs="Arial"/>
          <w:lang w:val="en-US"/>
        </w:rPr>
        <w:t>aspects</w:t>
      </w:r>
      <w:r w:rsidR="00594AFA">
        <w:rPr>
          <w:rFonts w:cs="Arial"/>
          <w:lang w:val="en-US"/>
        </w:rPr>
        <w:t>.</w:t>
      </w:r>
      <w:r w:rsidR="006E3737">
        <w:rPr>
          <w:rFonts w:cs="Arial"/>
          <w:lang w:val="en-US"/>
        </w:rPr>
        <w:t xml:space="preserve"> Although declining customer profitability in the short-term can be observed as well</w:t>
      </w:r>
      <w:r w:rsidR="00672FD1">
        <w:rPr>
          <w:rFonts w:cs="Arial"/>
          <w:lang w:val="en-US"/>
        </w:rPr>
        <w:t>,</w:t>
      </w:r>
      <w:r w:rsidR="00475561">
        <w:rPr>
          <w:rFonts w:cs="Arial"/>
          <w:lang w:val="en-US"/>
        </w:rPr>
        <w:t xml:space="preserve"> </w:t>
      </w:r>
      <w:r w:rsidR="00475561" w:rsidRPr="0021627B">
        <w:rPr>
          <w:lang w:val="en-US"/>
        </w:rPr>
        <w:t>the use of online banking is associated with higher customer retention rates</w:t>
      </w:r>
      <w:r w:rsidR="001F22DE">
        <w:rPr>
          <w:lang w:val="en-US"/>
        </w:rPr>
        <w:t>.</w:t>
      </w:r>
    </w:p>
    <w:p w14:paraId="0CD93F14" w14:textId="1A3E129B" w:rsidR="00481202" w:rsidRDefault="00481202" w:rsidP="009D0C39">
      <w:pPr>
        <w:pStyle w:val="berschrift3"/>
        <w:rPr>
          <w:lang w:val="en-US"/>
        </w:rPr>
      </w:pPr>
      <w:bookmarkStart w:id="39" w:name="_Toc42077751"/>
      <w:r>
        <w:rPr>
          <w:lang w:val="en-US"/>
        </w:rPr>
        <w:t>Self-Service Models</w:t>
      </w:r>
      <w:bookmarkEnd w:id="39"/>
    </w:p>
    <w:p w14:paraId="05559A3E" w14:textId="03C3D275" w:rsidR="00481202" w:rsidRPr="00F24528" w:rsidRDefault="00481202" w:rsidP="00481202">
      <w:pPr>
        <w:spacing w:line="360" w:lineRule="auto"/>
        <w:rPr>
          <w:rFonts w:cs="Arial"/>
          <w:lang w:val="en-US"/>
        </w:rPr>
      </w:pPr>
      <w:r>
        <w:rPr>
          <w:rFonts w:cs="Arial"/>
          <w:lang w:val="en-US"/>
        </w:rPr>
        <w:t xml:space="preserve">Self-service models are considered extensions of the automation of business processes. Technological progress enables constantly enhanced self-service distribution channels in numerous industries, including banking. According to </w:t>
      </w:r>
      <w:proofErr w:type="spellStart"/>
      <w:r w:rsidR="007B5E28">
        <w:rPr>
          <w:rFonts w:cs="Arial"/>
          <w:lang w:val="en-US"/>
        </w:rPr>
        <w:t>Sann</w:t>
      </w:r>
      <w:r w:rsidR="00027D0F">
        <w:rPr>
          <w:rFonts w:cs="Arial"/>
          <w:lang w:val="en-US"/>
        </w:rPr>
        <w:t>e</w:t>
      </w:r>
      <w:r w:rsidR="007B5E28">
        <w:rPr>
          <w:rFonts w:cs="Arial"/>
          <w:lang w:val="en-US"/>
        </w:rPr>
        <w:t>s</w:t>
      </w:r>
      <w:proofErr w:type="spellEnd"/>
      <w:r>
        <w:rPr>
          <w:rFonts w:cs="Arial"/>
          <w:lang w:val="en-US"/>
        </w:rPr>
        <w:t xml:space="preserve"> </w:t>
      </w:r>
      <w:sdt>
        <w:sdtPr>
          <w:rPr>
            <w:rFonts w:cs="Arial"/>
            <w:lang w:val="en-US"/>
          </w:rPr>
          <w:id w:val="-1575506450"/>
          <w:citation/>
        </w:sdtPr>
        <w:sdtEndPr/>
        <w:sdtContent>
          <w:r w:rsidR="00722157">
            <w:rPr>
              <w:rFonts w:cs="Arial"/>
              <w:lang w:val="en-US"/>
            </w:rPr>
            <w:fldChar w:fldCharType="begin"/>
          </w:r>
          <w:r w:rsidR="00364C4F">
            <w:rPr>
              <w:rFonts w:cs="Arial"/>
              <w:lang w:val="en-US"/>
            </w:rPr>
            <w:instrText xml:space="preserve">CITATION San01 \n  \t  \l 3079 </w:instrText>
          </w:r>
          <w:r w:rsidR="00722157">
            <w:rPr>
              <w:rFonts w:cs="Arial"/>
              <w:lang w:val="en-US"/>
            </w:rPr>
            <w:fldChar w:fldCharType="separate"/>
          </w:r>
          <w:r w:rsidR="00364C4F" w:rsidRPr="00364C4F">
            <w:rPr>
              <w:rFonts w:cs="Arial"/>
              <w:noProof/>
              <w:lang w:val="en-US"/>
            </w:rPr>
            <w:t>(2001)</w:t>
          </w:r>
          <w:r w:rsidR="00722157">
            <w:rPr>
              <w:rFonts w:cs="Arial"/>
              <w:lang w:val="en-US"/>
            </w:rPr>
            <w:fldChar w:fldCharType="end"/>
          </w:r>
        </w:sdtContent>
      </w:sdt>
      <w:r>
        <w:rPr>
          <w:rFonts w:cs="Arial"/>
          <w:lang w:val="en-US"/>
        </w:rPr>
        <w:t xml:space="preserve">, self-service technologies can be defined as </w:t>
      </w:r>
      <w:r w:rsidRPr="00394620">
        <w:rPr>
          <w:rFonts w:cs="Arial"/>
          <w:lang w:val="en-US"/>
        </w:rPr>
        <w:t>technological interfaces</w:t>
      </w:r>
      <w:r w:rsidR="00B2762F">
        <w:rPr>
          <w:rFonts w:cs="Arial"/>
          <w:lang w:val="en-US"/>
        </w:rPr>
        <w:t>,</w:t>
      </w:r>
      <w:r w:rsidRPr="00394620">
        <w:rPr>
          <w:rFonts w:cs="Arial"/>
          <w:lang w:val="en-US"/>
        </w:rPr>
        <w:t xml:space="preserve"> that</w:t>
      </w:r>
      <w:r>
        <w:rPr>
          <w:rFonts w:cs="Arial"/>
          <w:lang w:val="en-US"/>
        </w:rPr>
        <w:t xml:space="preserve"> </w:t>
      </w:r>
      <w:r w:rsidRPr="00394620">
        <w:rPr>
          <w:rFonts w:cs="Arial"/>
          <w:lang w:val="en-US"/>
        </w:rPr>
        <w:t>enable customers to produce a service independent of direct service employee involvement</w:t>
      </w:r>
      <w:r>
        <w:rPr>
          <w:rFonts w:cs="Arial"/>
          <w:lang w:val="en-US"/>
        </w:rPr>
        <w:t xml:space="preserve">. Self-service models, like the ATM or online banking, possibly reduce the marginal costs per interaction for enterprises as well as for customers. However, this may not apply on certain circumstances. For instance, the number of self-service channel users significantly affects the profitability from the bank’s point of view. On the one hand the consumption of service resources per service interaction may decrease, on the other hand it may affect customers’ demand for service, so that </w:t>
      </w:r>
      <w:r w:rsidR="00E60F7E">
        <w:rPr>
          <w:rFonts w:cs="Arial"/>
          <w:lang w:val="en-US"/>
        </w:rPr>
        <w:t xml:space="preserve">the </w:t>
      </w:r>
      <w:r>
        <w:rPr>
          <w:rFonts w:cs="Arial"/>
          <w:lang w:val="en-US"/>
        </w:rPr>
        <w:t>overall demand for service resources increase</w:t>
      </w:r>
      <w:r w:rsidR="00BD1E54">
        <w:rPr>
          <w:rFonts w:cs="Arial"/>
          <w:lang w:val="en-US"/>
        </w:rPr>
        <w:t>s</w:t>
      </w:r>
      <w:r>
        <w:rPr>
          <w:rFonts w:cs="Arial"/>
          <w:lang w:val="en-US"/>
        </w:rPr>
        <w:t>. This trade-off decides whether financial institutions benefit from a specific self-service technology</w:t>
      </w:r>
      <w:r w:rsidR="0061679C">
        <w:rPr>
          <w:rFonts w:cs="Arial"/>
          <w:lang w:val="en-US"/>
        </w:rPr>
        <w:t xml:space="preserve"> </w:t>
      </w:r>
      <w:sdt>
        <w:sdtPr>
          <w:rPr>
            <w:rFonts w:cs="Arial"/>
            <w:lang w:val="en-US"/>
          </w:rPr>
          <w:id w:val="-1016528690"/>
          <w:citation/>
        </w:sdtPr>
        <w:sdtEndPr/>
        <w:sdtContent>
          <w:r w:rsidR="0061679C">
            <w:rPr>
              <w:rFonts w:cs="Arial"/>
              <w:lang w:val="en-US"/>
            </w:rPr>
            <w:fldChar w:fldCharType="begin"/>
          </w:r>
          <w:r w:rsidR="0061679C" w:rsidRPr="0061679C">
            <w:rPr>
              <w:rFonts w:cs="Arial"/>
              <w:lang w:val="en-US"/>
            </w:rPr>
            <w:instrText xml:space="preserve"> CITATION Cam09 \l 3079 </w:instrText>
          </w:r>
          <w:r w:rsidR="0061679C">
            <w:rPr>
              <w:rFonts w:cs="Arial"/>
              <w:lang w:val="en-US"/>
            </w:rPr>
            <w:fldChar w:fldCharType="separate"/>
          </w:r>
          <w:r w:rsidR="0061679C" w:rsidRPr="0061679C">
            <w:rPr>
              <w:rFonts w:cs="Arial"/>
              <w:noProof/>
              <w:lang w:val="en-US"/>
            </w:rPr>
            <w:t>(Campbell &amp; Frei, 2009)</w:t>
          </w:r>
          <w:r w:rsidR="0061679C">
            <w:rPr>
              <w:rFonts w:cs="Arial"/>
              <w:lang w:val="en-US"/>
            </w:rPr>
            <w:fldChar w:fldCharType="end"/>
          </w:r>
        </w:sdtContent>
      </w:sdt>
      <w:r w:rsidR="0061679C">
        <w:rPr>
          <w:rFonts w:cs="Arial"/>
          <w:lang w:val="en-US"/>
        </w:rPr>
        <w:t>.</w:t>
      </w:r>
      <w:r w:rsidR="001D329C">
        <w:rPr>
          <w:rFonts w:cs="Arial"/>
          <w:lang w:val="en-US"/>
        </w:rPr>
        <w:t xml:space="preserve"> </w:t>
      </w:r>
      <w:r w:rsidR="00751C55">
        <w:rPr>
          <w:rFonts w:cs="Arial"/>
          <w:lang w:val="en-US"/>
        </w:rPr>
        <w:t>R</w:t>
      </w:r>
      <w:r w:rsidR="009C608A">
        <w:rPr>
          <w:rFonts w:cs="Arial"/>
          <w:lang w:val="en-US"/>
        </w:rPr>
        <w:t xml:space="preserve">ising banking fees </w:t>
      </w:r>
      <w:r w:rsidR="000E1531">
        <w:rPr>
          <w:rFonts w:cs="Arial"/>
          <w:lang w:val="en-US"/>
        </w:rPr>
        <w:t xml:space="preserve">may seem </w:t>
      </w:r>
      <w:r w:rsidR="00565D53">
        <w:rPr>
          <w:rFonts w:cs="Arial"/>
          <w:lang w:val="en-US"/>
        </w:rPr>
        <w:t>unfair to the customer</w:t>
      </w:r>
      <w:r w:rsidR="00A10A5B">
        <w:rPr>
          <w:rFonts w:cs="Arial"/>
          <w:lang w:val="en-US"/>
        </w:rPr>
        <w:t>s</w:t>
      </w:r>
      <w:r w:rsidR="00565D53">
        <w:rPr>
          <w:rFonts w:cs="Arial"/>
          <w:lang w:val="en-US"/>
        </w:rPr>
        <w:t xml:space="preserve">, </w:t>
      </w:r>
      <w:r w:rsidR="00E54E79">
        <w:rPr>
          <w:rFonts w:cs="Arial"/>
          <w:lang w:val="en-US"/>
        </w:rPr>
        <w:t xml:space="preserve">while </w:t>
      </w:r>
      <w:r w:rsidR="00040C75">
        <w:rPr>
          <w:rFonts w:cs="Arial"/>
          <w:lang w:val="en-US"/>
        </w:rPr>
        <w:t>the number of areas, where self-service models are applied</w:t>
      </w:r>
      <w:r w:rsidR="00452B1C">
        <w:rPr>
          <w:rFonts w:cs="Arial"/>
          <w:lang w:val="en-US"/>
        </w:rPr>
        <w:t>,</w:t>
      </w:r>
      <w:r w:rsidR="00040C75">
        <w:rPr>
          <w:rFonts w:cs="Arial"/>
          <w:lang w:val="en-US"/>
        </w:rPr>
        <w:t xml:space="preserve"> </w:t>
      </w:r>
      <w:r w:rsidR="00902DB7">
        <w:rPr>
          <w:rFonts w:cs="Arial"/>
          <w:lang w:val="en-US"/>
        </w:rPr>
        <w:t xml:space="preserve">increases as well. </w:t>
      </w:r>
      <w:r w:rsidR="009B6444">
        <w:rPr>
          <w:rFonts w:cs="Arial"/>
          <w:lang w:val="en-US"/>
        </w:rPr>
        <w:t xml:space="preserve">However, </w:t>
      </w:r>
      <w:r w:rsidR="00FF3857">
        <w:rPr>
          <w:rFonts w:cs="Arial"/>
          <w:lang w:val="en-US"/>
        </w:rPr>
        <w:t xml:space="preserve">the </w:t>
      </w:r>
      <w:r w:rsidR="005A5D5A">
        <w:rPr>
          <w:rFonts w:cs="Arial"/>
          <w:lang w:val="en-US"/>
        </w:rPr>
        <w:t xml:space="preserve">effective profitability of </w:t>
      </w:r>
      <w:r w:rsidR="009413BF">
        <w:rPr>
          <w:rFonts w:cs="Arial"/>
          <w:lang w:val="en-US"/>
        </w:rPr>
        <w:t xml:space="preserve">these </w:t>
      </w:r>
      <w:r w:rsidR="00A311D4">
        <w:rPr>
          <w:rFonts w:cs="Arial"/>
          <w:lang w:val="en-US"/>
        </w:rPr>
        <w:t xml:space="preserve">innovations </w:t>
      </w:r>
      <w:r w:rsidR="002812EF">
        <w:rPr>
          <w:rFonts w:cs="Arial"/>
          <w:lang w:val="en-US"/>
        </w:rPr>
        <w:t xml:space="preserve">varies with </w:t>
      </w:r>
      <w:r w:rsidR="00DE5322">
        <w:rPr>
          <w:rFonts w:cs="Arial"/>
          <w:lang w:val="en-US"/>
        </w:rPr>
        <w:t xml:space="preserve">the </w:t>
      </w:r>
      <w:r w:rsidR="005D7B2C">
        <w:rPr>
          <w:rFonts w:cs="Arial"/>
          <w:lang w:val="en-US"/>
        </w:rPr>
        <w:t xml:space="preserve">corresponding factors </w:t>
      </w:r>
      <w:r w:rsidR="006054AF">
        <w:rPr>
          <w:rFonts w:cs="Arial"/>
          <w:lang w:val="en-US"/>
        </w:rPr>
        <w:t>mentioned above.</w:t>
      </w:r>
    </w:p>
    <w:p w14:paraId="138B5936" w14:textId="77777777" w:rsidR="00481202" w:rsidRPr="00BE676C" w:rsidRDefault="00481202" w:rsidP="00F7772D">
      <w:pPr>
        <w:pStyle w:val="berschrift1"/>
        <w:rPr>
          <w:lang w:val="en-US"/>
        </w:rPr>
      </w:pPr>
      <w:bookmarkStart w:id="40" w:name="_Ref40387280"/>
      <w:bookmarkStart w:id="41" w:name="_Ref40387851"/>
      <w:bookmarkStart w:id="42" w:name="_Toc42077752"/>
      <w:r w:rsidRPr="00BE676C">
        <w:rPr>
          <w:lang w:val="en-US"/>
        </w:rPr>
        <w:lastRenderedPageBreak/>
        <w:t>Development Of Banking Charges In Europe</w:t>
      </w:r>
      <w:bookmarkEnd w:id="40"/>
      <w:bookmarkEnd w:id="41"/>
      <w:bookmarkEnd w:id="42"/>
    </w:p>
    <w:p w14:paraId="63EA275C" w14:textId="277739ED" w:rsidR="00481202" w:rsidRDefault="00481202" w:rsidP="00481202">
      <w:pPr>
        <w:spacing w:line="360" w:lineRule="auto"/>
        <w:rPr>
          <w:rFonts w:cs="Arial"/>
          <w:lang w:val="en-US"/>
        </w:rPr>
      </w:pPr>
      <w:r>
        <w:rPr>
          <w:rFonts w:cs="Arial"/>
          <w:lang w:val="en-US"/>
        </w:rPr>
        <w:t xml:space="preserve">Originally, banking institutions generated a major part of their revenues by issuing loans and hence, charged interest rates based on the current market situation. However, the share of noninterest income in total revenue has increased significantly over time, in particular since the financial crisis in 2008 </w:t>
      </w:r>
      <w:sdt>
        <w:sdtPr>
          <w:rPr>
            <w:rFonts w:cs="Arial"/>
            <w:lang w:val="en-US"/>
          </w:rPr>
          <w:id w:val="1215390605"/>
          <w:citation/>
        </w:sdtPr>
        <w:sdtEndPr/>
        <w:sdtContent>
          <w:r w:rsidR="002337D3">
            <w:rPr>
              <w:rFonts w:cs="Arial"/>
              <w:lang w:val="en-US"/>
            </w:rPr>
            <w:fldChar w:fldCharType="begin"/>
          </w:r>
          <w:r w:rsidR="002337D3" w:rsidRPr="002337D3">
            <w:rPr>
              <w:rFonts w:cs="Arial"/>
              <w:lang w:val="en-US"/>
            </w:rPr>
            <w:instrText xml:space="preserve"> CITATION Hau19 \l 3079 </w:instrText>
          </w:r>
          <w:r w:rsidR="002337D3">
            <w:rPr>
              <w:rFonts w:cs="Arial"/>
              <w:lang w:val="en-US"/>
            </w:rPr>
            <w:fldChar w:fldCharType="separate"/>
          </w:r>
          <w:r w:rsidR="002337D3" w:rsidRPr="002337D3">
            <w:rPr>
              <w:rFonts w:cs="Arial"/>
              <w:noProof/>
              <w:lang w:val="en-US"/>
            </w:rPr>
            <w:t>(Haubrich &amp; Young, 2019)</w:t>
          </w:r>
          <w:r w:rsidR="002337D3">
            <w:rPr>
              <w:rFonts w:cs="Arial"/>
              <w:lang w:val="en-US"/>
            </w:rPr>
            <w:fldChar w:fldCharType="end"/>
          </w:r>
        </w:sdtContent>
      </w:sdt>
      <w:r>
        <w:rPr>
          <w:rFonts w:cs="Arial"/>
          <w:lang w:val="en-US"/>
        </w:rPr>
        <w:t xml:space="preserve">. </w:t>
      </w:r>
      <w:r w:rsidRPr="00EC5F3C">
        <w:rPr>
          <w:rFonts w:cs="Arial"/>
          <w:lang w:val="en-US"/>
        </w:rPr>
        <w:t xml:space="preserve">Although the data on the percentage of noninterest-based income varies </w:t>
      </w:r>
      <w:r>
        <w:rPr>
          <w:rFonts w:cs="Arial"/>
          <w:lang w:val="en-US"/>
        </w:rPr>
        <w:t xml:space="preserve">across European states, holistic developments can be observed. In Austria, Italy, France and Germany the share of noninterest revenue grew by at least ten percentage points between 2008 and 2017. In Portugal the numbers even rose from 32% in 2008 to 54% in 2017 </w:t>
      </w:r>
      <w:sdt>
        <w:sdtPr>
          <w:rPr>
            <w:rFonts w:cs="Arial"/>
            <w:lang w:val="en-US"/>
          </w:rPr>
          <w:id w:val="-2065936145"/>
          <w:citation/>
        </w:sdtPr>
        <w:sdtEndPr/>
        <w:sdtContent>
          <w:r w:rsidR="00D309DD">
            <w:rPr>
              <w:rFonts w:cs="Arial"/>
              <w:lang w:val="en-US"/>
            </w:rPr>
            <w:fldChar w:fldCharType="begin"/>
          </w:r>
          <w:r w:rsidR="00D309DD" w:rsidRPr="00D309DD">
            <w:rPr>
              <w:rFonts w:cs="Arial"/>
              <w:lang w:val="en-US"/>
            </w:rPr>
            <w:instrText xml:space="preserve"> CITATION The20 \l 3079 </w:instrText>
          </w:r>
          <w:r w:rsidR="00D309DD">
            <w:rPr>
              <w:rFonts w:cs="Arial"/>
              <w:lang w:val="en-US"/>
            </w:rPr>
            <w:fldChar w:fldCharType="separate"/>
          </w:r>
          <w:r w:rsidR="00D309DD" w:rsidRPr="00D309DD">
            <w:rPr>
              <w:rFonts w:cs="Arial"/>
              <w:noProof/>
              <w:lang w:val="en-US"/>
            </w:rPr>
            <w:t>(The Global Economy, 2020)</w:t>
          </w:r>
          <w:r w:rsidR="00D309DD">
            <w:rPr>
              <w:rFonts w:cs="Arial"/>
              <w:lang w:val="en-US"/>
            </w:rPr>
            <w:fldChar w:fldCharType="end"/>
          </w:r>
        </w:sdtContent>
      </w:sdt>
      <w:r w:rsidR="00D309DD">
        <w:rPr>
          <w:rFonts w:cs="Arial"/>
          <w:lang w:val="en-US"/>
        </w:rPr>
        <w:t>.</w:t>
      </w:r>
      <w:r>
        <w:rPr>
          <w:rFonts w:cs="Arial"/>
          <w:lang w:val="en-US"/>
        </w:rPr>
        <w:t xml:space="preserve"> </w:t>
      </w:r>
    </w:p>
    <w:p w14:paraId="28F4DDD9" w14:textId="021FF6F7" w:rsidR="00481202" w:rsidRDefault="00481202" w:rsidP="00481202">
      <w:pPr>
        <w:spacing w:line="360" w:lineRule="auto"/>
        <w:rPr>
          <w:rFonts w:cs="Arial"/>
          <w:lang w:val="en-US"/>
        </w:rPr>
      </w:pPr>
      <w:r>
        <w:rPr>
          <w:rFonts w:cs="Arial"/>
          <w:lang w:val="en-US"/>
        </w:rPr>
        <w:t xml:space="preserve">Nevertheless, potential reasons for the mentioned developments are complex and versatile. Since banking institutions essentially rely on income, based on interest payments, it seems obvious, that developments regarding loan conditions affect banks’ financial structures fundamentally </w:t>
      </w:r>
      <w:sdt>
        <w:sdtPr>
          <w:rPr>
            <w:rFonts w:cs="Arial"/>
            <w:lang w:val="en-US"/>
          </w:rPr>
          <w:id w:val="98072832"/>
          <w:citation/>
        </w:sdtPr>
        <w:sdtEndPr/>
        <w:sdtContent>
          <w:r w:rsidR="00B00E55">
            <w:rPr>
              <w:rFonts w:cs="Arial"/>
              <w:lang w:val="en-US"/>
            </w:rPr>
            <w:fldChar w:fldCharType="begin"/>
          </w:r>
          <w:r w:rsidR="00B00E55" w:rsidRPr="00B00E55">
            <w:rPr>
              <w:rFonts w:cs="Arial"/>
              <w:lang w:val="en-US"/>
            </w:rPr>
            <w:instrText xml:space="preserve"> CITATION Hau19 \l 3079 </w:instrText>
          </w:r>
          <w:r w:rsidR="00B00E55">
            <w:rPr>
              <w:rFonts w:cs="Arial"/>
              <w:lang w:val="en-US"/>
            </w:rPr>
            <w:fldChar w:fldCharType="separate"/>
          </w:r>
          <w:r w:rsidR="00B00E55" w:rsidRPr="00B00E55">
            <w:rPr>
              <w:rFonts w:cs="Arial"/>
              <w:noProof/>
              <w:lang w:val="en-US"/>
            </w:rPr>
            <w:t>(Haubrich &amp; Young, 2019)</w:t>
          </w:r>
          <w:r w:rsidR="00B00E55">
            <w:rPr>
              <w:rFonts w:cs="Arial"/>
              <w:lang w:val="en-US"/>
            </w:rPr>
            <w:fldChar w:fldCharType="end"/>
          </w:r>
        </w:sdtContent>
      </w:sdt>
      <w:r>
        <w:rPr>
          <w:rFonts w:cs="Arial"/>
          <w:lang w:val="en-US"/>
        </w:rPr>
        <w:t>. Therefore the European key interest rate’s impact on banks operating within the eurozone is rather immense. While the share of noninterest income in total revenue has increased, the EURIBOR index recently dropped below zero percent, which suggests a mutual dependency between those numbers. In comparison, back in 2008 the European key interest rate added up to 5%. Due to the financial crisis the index decreased constantly and has not grown notably since</w:t>
      </w:r>
      <w:r w:rsidR="00DB4DCE">
        <w:rPr>
          <w:rFonts w:cs="Arial"/>
          <w:lang w:val="en-US"/>
        </w:rPr>
        <w:t xml:space="preserve"> </w:t>
      </w:r>
      <w:sdt>
        <w:sdtPr>
          <w:rPr>
            <w:rFonts w:cs="Arial"/>
            <w:lang w:val="en-US"/>
          </w:rPr>
          <w:id w:val="-2067101130"/>
          <w:citation/>
        </w:sdtPr>
        <w:sdtEndPr/>
        <w:sdtContent>
          <w:r w:rsidR="00DB4DCE">
            <w:rPr>
              <w:rFonts w:cs="Arial"/>
              <w:lang w:val="en-US"/>
            </w:rPr>
            <w:fldChar w:fldCharType="begin"/>
          </w:r>
          <w:r w:rsidR="00DB4DCE" w:rsidRPr="00DB4DCE">
            <w:rPr>
              <w:rFonts w:cs="Arial"/>
              <w:lang w:val="en-US"/>
            </w:rPr>
            <w:instrText xml:space="preserve"> CITATION EUR20 \l 3079 </w:instrText>
          </w:r>
          <w:r w:rsidR="00DB4DCE">
            <w:rPr>
              <w:rFonts w:cs="Arial"/>
              <w:lang w:val="en-US"/>
            </w:rPr>
            <w:fldChar w:fldCharType="separate"/>
          </w:r>
          <w:r w:rsidR="00DB4DCE" w:rsidRPr="00DB4DCE">
            <w:rPr>
              <w:rFonts w:cs="Arial"/>
              <w:noProof/>
              <w:lang w:val="en-US"/>
            </w:rPr>
            <w:t>(EURIBOR-Rates, 2020)</w:t>
          </w:r>
          <w:r w:rsidR="00DB4DCE">
            <w:rPr>
              <w:rFonts w:cs="Arial"/>
              <w:lang w:val="en-US"/>
            </w:rPr>
            <w:fldChar w:fldCharType="end"/>
          </w:r>
        </w:sdtContent>
      </w:sdt>
      <w:r>
        <w:rPr>
          <w:rFonts w:cs="Arial"/>
          <w:lang w:val="en-US"/>
        </w:rPr>
        <w:t>.</w:t>
      </w:r>
      <w:r w:rsidR="00A43AB1">
        <w:rPr>
          <w:rFonts w:cs="Arial"/>
          <w:lang w:val="en-US"/>
        </w:rPr>
        <w:t xml:space="preserve"> However, </w:t>
      </w:r>
      <w:r w:rsidR="00D64B86">
        <w:rPr>
          <w:rFonts w:cs="Arial"/>
          <w:lang w:val="en-US"/>
        </w:rPr>
        <w:t xml:space="preserve">it is inevitable to keep in mind, that </w:t>
      </w:r>
      <w:r w:rsidR="0007141A">
        <w:rPr>
          <w:rFonts w:cs="Arial"/>
          <w:lang w:val="en-US"/>
        </w:rPr>
        <w:t xml:space="preserve">the number </w:t>
      </w:r>
      <w:r w:rsidR="004608CD">
        <w:rPr>
          <w:rFonts w:cs="Arial"/>
          <w:lang w:val="en-US"/>
        </w:rPr>
        <w:t xml:space="preserve">of </w:t>
      </w:r>
      <w:r w:rsidR="004F3B8D">
        <w:rPr>
          <w:rFonts w:cs="Arial"/>
          <w:lang w:val="en-US"/>
        </w:rPr>
        <w:t xml:space="preserve">loans taken out </w:t>
      </w:r>
      <w:r w:rsidR="008E36C8">
        <w:rPr>
          <w:rFonts w:cs="Arial"/>
          <w:lang w:val="en-US"/>
        </w:rPr>
        <w:t xml:space="preserve">in the specified time period </w:t>
      </w:r>
      <w:r w:rsidR="00AF5F52">
        <w:rPr>
          <w:rFonts w:cs="Arial"/>
          <w:lang w:val="en-US"/>
        </w:rPr>
        <w:t xml:space="preserve">plays a vital role in this context. </w:t>
      </w:r>
      <w:r w:rsidR="006105AA">
        <w:rPr>
          <w:rFonts w:cs="Arial"/>
          <w:lang w:val="en-US"/>
        </w:rPr>
        <w:t xml:space="preserve">Considering the </w:t>
      </w:r>
      <w:r w:rsidR="007B5BAB">
        <w:rPr>
          <w:rFonts w:cs="Arial"/>
          <w:lang w:val="en-US"/>
        </w:rPr>
        <w:t>German</w:t>
      </w:r>
      <w:r w:rsidR="006105AA">
        <w:rPr>
          <w:rFonts w:cs="Arial"/>
          <w:lang w:val="en-US"/>
        </w:rPr>
        <w:t xml:space="preserve"> market</w:t>
      </w:r>
      <w:r w:rsidR="009D77DC">
        <w:rPr>
          <w:rFonts w:cs="Arial"/>
          <w:lang w:val="en-US"/>
        </w:rPr>
        <w:t xml:space="preserve">, </w:t>
      </w:r>
      <w:r w:rsidR="00D34938">
        <w:rPr>
          <w:rFonts w:cs="Arial"/>
          <w:lang w:val="en-US"/>
        </w:rPr>
        <w:t xml:space="preserve">besides a drop in </w:t>
      </w:r>
      <w:r w:rsidR="00B545B5">
        <w:rPr>
          <w:rFonts w:cs="Arial"/>
          <w:lang w:val="en-US"/>
        </w:rPr>
        <w:t>2013</w:t>
      </w:r>
      <w:r w:rsidR="003E360A">
        <w:rPr>
          <w:rFonts w:cs="Arial"/>
          <w:lang w:val="en-US"/>
        </w:rPr>
        <w:t xml:space="preserve">, </w:t>
      </w:r>
      <w:r w:rsidR="006E2CF3">
        <w:rPr>
          <w:rFonts w:cs="Arial"/>
          <w:lang w:val="en-US"/>
        </w:rPr>
        <w:t>an</w:t>
      </w:r>
      <w:r w:rsidR="00A1222E">
        <w:rPr>
          <w:rFonts w:cs="Arial"/>
          <w:lang w:val="en-US"/>
        </w:rPr>
        <w:t xml:space="preserve"> </w:t>
      </w:r>
      <w:r w:rsidR="006E2CF3">
        <w:rPr>
          <w:rFonts w:cs="Arial"/>
          <w:lang w:val="en-US"/>
        </w:rPr>
        <w:t xml:space="preserve">almost </w:t>
      </w:r>
      <w:r w:rsidR="00D0554F">
        <w:rPr>
          <w:rFonts w:cs="Arial"/>
          <w:lang w:val="en-US"/>
        </w:rPr>
        <w:t xml:space="preserve">consistent </w:t>
      </w:r>
      <w:r w:rsidR="007B0A96">
        <w:rPr>
          <w:rFonts w:cs="Arial"/>
          <w:lang w:val="en-US"/>
        </w:rPr>
        <w:t xml:space="preserve">rise </w:t>
      </w:r>
      <w:r w:rsidR="00CC37E1">
        <w:rPr>
          <w:rFonts w:cs="Arial"/>
          <w:lang w:val="en-US"/>
        </w:rPr>
        <w:t xml:space="preserve">of </w:t>
      </w:r>
      <w:r w:rsidR="005E7706">
        <w:rPr>
          <w:rFonts w:cs="Arial"/>
          <w:lang w:val="en-US"/>
        </w:rPr>
        <w:t>amount</w:t>
      </w:r>
      <w:r w:rsidR="00AD1419">
        <w:rPr>
          <w:rFonts w:cs="Arial"/>
          <w:lang w:val="en-US"/>
        </w:rPr>
        <w:t xml:space="preserve">s </w:t>
      </w:r>
      <w:r w:rsidR="00B46D11">
        <w:rPr>
          <w:rFonts w:cs="Arial"/>
          <w:lang w:val="en-US"/>
        </w:rPr>
        <w:t>of credit</w:t>
      </w:r>
      <w:r w:rsidR="008D1C66">
        <w:rPr>
          <w:rFonts w:cs="Arial"/>
          <w:lang w:val="en-US"/>
        </w:rPr>
        <w:t xml:space="preserve">s issued by </w:t>
      </w:r>
      <w:r w:rsidR="00855EB0">
        <w:rPr>
          <w:rFonts w:cs="Arial"/>
          <w:lang w:val="en-US"/>
        </w:rPr>
        <w:t>German banks</w:t>
      </w:r>
      <w:r w:rsidR="00301538">
        <w:rPr>
          <w:rFonts w:cs="Arial"/>
          <w:lang w:val="en-US"/>
        </w:rPr>
        <w:t xml:space="preserve"> between 2001 and 2019</w:t>
      </w:r>
      <w:r w:rsidR="00855EB0">
        <w:rPr>
          <w:rFonts w:cs="Arial"/>
          <w:lang w:val="en-US"/>
        </w:rPr>
        <w:t xml:space="preserve">, </w:t>
      </w:r>
      <w:r w:rsidR="00594A89">
        <w:rPr>
          <w:rFonts w:cs="Arial"/>
          <w:lang w:val="en-US"/>
        </w:rPr>
        <w:t xml:space="preserve">taken out by </w:t>
      </w:r>
      <w:r w:rsidR="004E1C2F">
        <w:rPr>
          <w:rFonts w:cs="Arial"/>
          <w:lang w:val="en-US"/>
        </w:rPr>
        <w:t xml:space="preserve">German companies or </w:t>
      </w:r>
      <w:r w:rsidR="00EF3E2A">
        <w:rPr>
          <w:rFonts w:cs="Arial"/>
          <w:lang w:val="en-US"/>
        </w:rPr>
        <w:t>individuals</w:t>
      </w:r>
      <w:r w:rsidR="00160E6E">
        <w:rPr>
          <w:rFonts w:cs="Arial"/>
          <w:lang w:val="en-US"/>
        </w:rPr>
        <w:t>, can be observed</w:t>
      </w:r>
      <w:r w:rsidR="009B5227">
        <w:rPr>
          <w:rFonts w:cs="Arial"/>
          <w:lang w:val="en-US"/>
        </w:rPr>
        <w:t xml:space="preserve"> </w:t>
      </w:r>
      <w:sdt>
        <w:sdtPr>
          <w:rPr>
            <w:rFonts w:cs="Arial"/>
            <w:lang w:val="en-US"/>
          </w:rPr>
          <w:id w:val="-1225145085"/>
          <w:citation/>
        </w:sdtPr>
        <w:sdtEndPr/>
        <w:sdtContent>
          <w:r w:rsidR="007307CC">
            <w:rPr>
              <w:rFonts w:cs="Arial"/>
              <w:lang w:val="en-US"/>
            </w:rPr>
            <w:fldChar w:fldCharType="begin"/>
          </w:r>
          <w:r w:rsidR="007307CC" w:rsidRPr="007307CC">
            <w:rPr>
              <w:rFonts w:cs="Arial"/>
              <w:lang w:val="en-US"/>
            </w:rPr>
            <w:instrText xml:space="preserve"> CITATION Sta20 \l 3079 </w:instrText>
          </w:r>
          <w:r w:rsidR="007307CC">
            <w:rPr>
              <w:rFonts w:cs="Arial"/>
              <w:lang w:val="en-US"/>
            </w:rPr>
            <w:fldChar w:fldCharType="separate"/>
          </w:r>
          <w:r w:rsidR="007307CC" w:rsidRPr="007307CC">
            <w:rPr>
              <w:rFonts w:cs="Arial"/>
              <w:noProof/>
              <w:lang w:val="en-US"/>
            </w:rPr>
            <w:t>(Statista Research Department, 2020)</w:t>
          </w:r>
          <w:r w:rsidR="007307CC">
            <w:rPr>
              <w:rFonts w:cs="Arial"/>
              <w:lang w:val="en-US"/>
            </w:rPr>
            <w:fldChar w:fldCharType="end"/>
          </w:r>
        </w:sdtContent>
      </w:sdt>
      <w:r w:rsidR="009B5227">
        <w:rPr>
          <w:rFonts w:cs="Arial"/>
          <w:lang w:val="en-US"/>
        </w:rPr>
        <w:t>.</w:t>
      </w:r>
    </w:p>
    <w:p w14:paraId="54EF971C" w14:textId="2EDCD543" w:rsidR="00481202" w:rsidRPr="00780993" w:rsidRDefault="00FC72B1" w:rsidP="00481202">
      <w:pPr>
        <w:spacing w:line="360" w:lineRule="auto"/>
        <w:rPr>
          <w:rFonts w:cs="Arial"/>
          <w:lang w:val="en-US"/>
        </w:rPr>
      </w:pPr>
      <w:r w:rsidRPr="00FC72B1">
        <w:rPr>
          <w:rFonts w:cs="Arial"/>
          <w:u w:val="single"/>
          <w:lang w:val="en-US"/>
        </w:rPr>
        <w:fldChar w:fldCharType="begin"/>
      </w:r>
      <w:r w:rsidRPr="00FC72B1">
        <w:rPr>
          <w:rFonts w:cs="Arial"/>
          <w:u w:val="single"/>
          <w:lang w:val="en-US"/>
        </w:rPr>
        <w:instrText xml:space="preserve"> REF _Ref40387929 \h </w:instrText>
      </w:r>
      <w:r w:rsidRPr="00FC72B1">
        <w:rPr>
          <w:rFonts w:cs="Arial"/>
          <w:u w:val="single"/>
          <w:lang w:val="en-US"/>
        </w:rPr>
      </w:r>
      <w:r w:rsidRPr="00FC72B1">
        <w:rPr>
          <w:rFonts w:cs="Arial"/>
          <w:u w:val="single"/>
          <w:lang w:val="en-US"/>
        </w:rPr>
        <w:fldChar w:fldCharType="separate"/>
      </w:r>
      <w:r w:rsidR="00B75C93" w:rsidRPr="00751016">
        <w:rPr>
          <w:lang w:val="en-US"/>
        </w:rPr>
        <w:t xml:space="preserve">Figure </w:t>
      </w:r>
      <w:r w:rsidR="00B75C93">
        <w:rPr>
          <w:noProof/>
          <w:lang w:val="en-US"/>
        </w:rPr>
        <w:t>4</w:t>
      </w:r>
      <w:r w:rsidRPr="00FC72B1">
        <w:rPr>
          <w:rFonts w:cs="Arial"/>
          <w:u w:val="single"/>
          <w:lang w:val="en-US"/>
        </w:rPr>
        <w:fldChar w:fldCharType="end"/>
      </w:r>
      <w:r>
        <w:rPr>
          <w:rFonts w:cs="Arial"/>
          <w:lang w:val="en-US"/>
        </w:rPr>
        <w:t xml:space="preserve"> </w:t>
      </w:r>
      <w:r w:rsidR="00481202" w:rsidRPr="00780993">
        <w:rPr>
          <w:rFonts w:cs="Arial"/>
          <w:lang w:val="en-US"/>
        </w:rPr>
        <w:t xml:space="preserve">shows </w:t>
      </w:r>
      <w:r w:rsidR="00481202">
        <w:rPr>
          <w:rFonts w:cs="Arial"/>
          <w:lang w:val="en-US"/>
        </w:rPr>
        <w:t xml:space="preserve">the </w:t>
      </w:r>
      <w:r w:rsidR="00481202" w:rsidRPr="00780993">
        <w:rPr>
          <w:rFonts w:cs="Arial"/>
          <w:lang w:val="en-US"/>
        </w:rPr>
        <w:t>relation b</w:t>
      </w:r>
      <w:r w:rsidR="00481202">
        <w:rPr>
          <w:rFonts w:cs="Arial"/>
          <w:lang w:val="en-US"/>
        </w:rPr>
        <w:t xml:space="preserve">etween the EURIBOR and the share of noninterest income of banks in Austria, Germany, Italy and Netherlands. These countries will be analyzed regarding their banking fees in more detail in chapter </w:t>
      </w:r>
      <w:r w:rsidR="00814EA0" w:rsidRPr="00814EA0">
        <w:rPr>
          <w:rFonts w:cs="Arial"/>
          <w:u w:val="single"/>
          <w:lang w:val="en-US"/>
        </w:rPr>
        <w:fldChar w:fldCharType="begin"/>
      </w:r>
      <w:r w:rsidR="00814EA0" w:rsidRPr="00814EA0">
        <w:rPr>
          <w:rFonts w:cs="Arial"/>
          <w:u w:val="single"/>
          <w:lang w:val="en-US"/>
        </w:rPr>
        <w:instrText xml:space="preserve"> REF _Ref40387323 \r \h </w:instrText>
      </w:r>
      <w:r w:rsidR="00814EA0" w:rsidRPr="00814EA0">
        <w:rPr>
          <w:rFonts w:cs="Arial"/>
          <w:u w:val="single"/>
          <w:lang w:val="en-US"/>
        </w:rPr>
      </w:r>
      <w:r w:rsidR="00814EA0" w:rsidRPr="00814EA0">
        <w:rPr>
          <w:rFonts w:cs="Arial"/>
          <w:u w:val="single"/>
          <w:lang w:val="en-US"/>
        </w:rPr>
        <w:fldChar w:fldCharType="separate"/>
      </w:r>
      <w:r w:rsidR="00B75C93">
        <w:rPr>
          <w:rFonts w:cs="Arial"/>
          <w:u w:val="single"/>
          <w:lang w:val="en-US"/>
        </w:rPr>
        <w:t>7.3</w:t>
      </w:r>
      <w:r w:rsidR="00814EA0" w:rsidRPr="00814EA0">
        <w:rPr>
          <w:rFonts w:cs="Arial"/>
          <w:u w:val="single"/>
          <w:lang w:val="en-US"/>
        </w:rPr>
        <w:fldChar w:fldCharType="end"/>
      </w:r>
      <w:r w:rsidR="00481202">
        <w:rPr>
          <w:rFonts w:cs="Arial"/>
          <w:lang w:val="en-US"/>
        </w:rPr>
        <w:t>. The graph indicates that the share of bank revenues based on noninterest income has increased in the selected European states since 2000. Furthermore it also demonstrates, that high key interest rates can come along with low banking fees, like in 2008 in Austria, Germany and Italy. Though, the numbers regarding the Dutch financial institutions illustrate, that this is not always the case. Therefore key interest rates may affect the share of noninterest income, however there are numerous other factors, that are considered influential.</w:t>
      </w:r>
    </w:p>
    <w:p w14:paraId="0D4CAD27" w14:textId="77777777" w:rsidR="00751016" w:rsidRDefault="00481202" w:rsidP="00751016">
      <w:pPr>
        <w:keepNext/>
        <w:spacing w:line="360" w:lineRule="auto"/>
      </w:pPr>
      <w:r>
        <w:rPr>
          <w:rFonts w:cs="Arial"/>
          <w:noProof/>
        </w:rPr>
        <w:lastRenderedPageBreak/>
        <w:drawing>
          <wp:inline distT="0" distB="0" distL="0" distR="0" wp14:anchorId="252651A4" wp14:editId="01C231CC">
            <wp:extent cx="5486400" cy="3200400"/>
            <wp:effectExtent l="0" t="0" r="0" b="0"/>
            <wp:docPr id="4" name="Diagram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684FFBE" w14:textId="144AC97D" w:rsidR="00481202" w:rsidRPr="00751016" w:rsidRDefault="00751016" w:rsidP="00751016">
      <w:pPr>
        <w:pStyle w:val="Beschriftung"/>
        <w:jc w:val="center"/>
        <w:rPr>
          <w:rFonts w:cs="Arial"/>
          <w:color w:val="auto"/>
          <w:lang w:val="en-US"/>
        </w:rPr>
      </w:pPr>
      <w:bookmarkStart w:id="43" w:name="_Ref40387929"/>
      <w:bookmarkStart w:id="44" w:name="_Toc39006160"/>
      <w:bookmarkStart w:id="45" w:name="_Toc42077595"/>
      <w:r w:rsidRPr="00751016">
        <w:rPr>
          <w:color w:val="auto"/>
          <w:lang w:val="en-US"/>
        </w:rPr>
        <w:t xml:space="preserve">Figure </w:t>
      </w:r>
      <w:r w:rsidRPr="00751016">
        <w:rPr>
          <w:color w:val="auto"/>
        </w:rPr>
        <w:fldChar w:fldCharType="begin"/>
      </w:r>
      <w:r w:rsidRPr="00751016">
        <w:rPr>
          <w:color w:val="auto"/>
          <w:lang w:val="en-US"/>
        </w:rPr>
        <w:instrText xml:space="preserve"> SEQ Figure \* ARABIC </w:instrText>
      </w:r>
      <w:r w:rsidRPr="00751016">
        <w:rPr>
          <w:color w:val="auto"/>
        </w:rPr>
        <w:fldChar w:fldCharType="separate"/>
      </w:r>
      <w:r w:rsidR="00B75C93">
        <w:rPr>
          <w:noProof/>
          <w:color w:val="auto"/>
          <w:lang w:val="en-US"/>
        </w:rPr>
        <w:t>4</w:t>
      </w:r>
      <w:r w:rsidRPr="00751016">
        <w:rPr>
          <w:color w:val="auto"/>
        </w:rPr>
        <w:fldChar w:fldCharType="end"/>
      </w:r>
      <w:bookmarkEnd w:id="43"/>
      <w:r w:rsidRPr="00751016">
        <w:rPr>
          <w:color w:val="auto"/>
          <w:lang w:val="en-US"/>
        </w:rPr>
        <w:t xml:space="preserve">: Development Of The EURIBOR </w:t>
      </w:r>
      <w:sdt>
        <w:sdtPr>
          <w:rPr>
            <w:color w:val="auto"/>
            <w:lang w:val="en-US"/>
          </w:rPr>
          <w:id w:val="-1646740747"/>
          <w:citation/>
        </w:sdtPr>
        <w:sdtEndPr/>
        <w:sdtContent>
          <w:r w:rsidRPr="00751016">
            <w:rPr>
              <w:color w:val="auto"/>
              <w:lang w:val="en-US"/>
            </w:rPr>
            <w:fldChar w:fldCharType="begin"/>
          </w:r>
          <w:r w:rsidRPr="00751016">
            <w:rPr>
              <w:color w:val="auto"/>
              <w:lang w:val="en-US"/>
            </w:rPr>
            <w:instrText xml:space="preserve"> CITATION EUR20 \l 3079 </w:instrText>
          </w:r>
          <w:r w:rsidRPr="00751016">
            <w:rPr>
              <w:color w:val="auto"/>
              <w:lang w:val="en-US"/>
            </w:rPr>
            <w:fldChar w:fldCharType="separate"/>
          </w:r>
          <w:r w:rsidRPr="00751016">
            <w:rPr>
              <w:noProof/>
              <w:color w:val="auto"/>
              <w:lang w:val="en-US"/>
            </w:rPr>
            <w:t>(EURIBOR-Rates, 2020)</w:t>
          </w:r>
          <w:r w:rsidRPr="00751016">
            <w:rPr>
              <w:color w:val="auto"/>
              <w:lang w:val="en-US"/>
            </w:rPr>
            <w:fldChar w:fldCharType="end"/>
          </w:r>
        </w:sdtContent>
      </w:sdt>
      <w:r w:rsidRPr="00751016">
        <w:rPr>
          <w:color w:val="auto"/>
          <w:lang w:val="en-US"/>
        </w:rPr>
        <w:t xml:space="preserve"> Compared With Annual Banking Fees By European Countries </w:t>
      </w:r>
      <w:sdt>
        <w:sdtPr>
          <w:rPr>
            <w:color w:val="auto"/>
            <w:lang w:val="en-US"/>
          </w:rPr>
          <w:id w:val="-1304075047"/>
          <w:citation/>
        </w:sdtPr>
        <w:sdtEndPr/>
        <w:sdtContent>
          <w:r w:rsidRPr="00751016">
            <w:rPr>
              <w:color w:val="auto"/>
              <w:lang w:val="en-US"/>
            </w:rPr>
            <w:fldChar w:fldCharType="begin"/>
          </w:r>
          <w:r w:rsidRPr="00751016">
            <w:rPr>
              <w:color w:val="auto"/>
              <w:lang w:val="en-US"/>
            </w:rPr>
            <w:instrText xml:space="preserve"> CITATION The20 \l 3079 </w:instrText>
          </w:r>
          <w:r w:rsidRPr="00751016">
            <w:rPr>
              <w:color w:val="auto"/>
              <w:lang w:val="en-US"/>
            </w:rPr>
            <w:fldChar w:fldCharType="separate"/>
          </w:r>
          <w:r w:rsidRPr="00751016">
            <w:rPr>
              <w:noProof/>
              <w:color w:val="auto"/>
              <w:lang w:val="en-US"/>
            </w:rPr>
            <w:t>(The Global Economy, 2020)</w:t>
          </w:r>
          <w:r w:rsidRPr="00751016">
            <w:rPr>
              <w:color w:val="auto"/>
              <w:lang w:val="en-US"/>
            </w:rPr>
            <w:fldChar w:fldCharType="end"/>
          </w:r>
        </w:sdtContent>
      </w:sdt>
      <w:bookmarkEnd w:id="44"/>
      <w:bookmarkEnd w:id="45"/>
    </w:p>
    <w:p w14:paraId="3753C516" w14:textId="20D6248C" w:rsidR="00481202" w:rsidRDefault="00481202" w:rsidP="00481202">
      <w:pPr>
        <w:spacing w:line="360" w:lineRule="auto"/>
        <w:rPr>
          <w:rFonts w:cs="Arial"/>
          <w:lang w:val="en-US"/>
        </w:rPr>
      </w:pPr>
      <w:r>
        <w:rPr>
          <w:rFonts w:cs="Arial"/>
          <w:lang w:val="en-US"/>
        </w:rPr>
        <w:t>Nevertheless</w:t>
      </w:r>
      <w:r w:rsidRPr="005A3F94">
        <w:rPr>
          <w:rFonts w:cs="Arial"/>
          <w:lang w:val="en-US"/>
        </w:rPr>
        <w:t>, noninterest income cannot be equated with fee</w:t>
      </w:r>
      <w:r>
        <w:rPr>
          <w:rFonts w:cs="Arial"/>
          <w:lang w:val="en-US"/>
        </w:rPr>
        <w:t>-based</w:t>
      </w:r>
      <w:r w:rsidRPr="005A3F94">
        <w:rPr>
          <w:rFonts w:cs="Arial"/>
          <w:lang w:val="en-US"/>
        </w:rPr>
        <w:t xml:space="preserve"> revenues. </w:t>
      </w:r>
      <w:r>
        <w:rPr>
          <w:rFonts w:cs="Arial"/>
          <w:lang w:val="en-US"/>
        </w:rPr>
        <w:t xml:space="preserve">As already mentioned in chapter </w:t>
      </w:r>
      <w:r w:rsidR="00F87E37" w:rsidRPr="00F87E37">
        <w:rPr>
          <w:rFonts w:cs="Arial"/>
          <w:u w:val="single"/>
          <w:lang w:val="en-US"/>
        </w:rPr>
        <w:fldChar w:fldCharType="begin"/>
      </w:r>
      <w:r w:rsidR="00F87E37" w:rsidRPr="00F87E37">
        <w:rPr>
          <w:rFonts w:cs="Arial"/>
          <w:u w:val="single"/>
          <w:lang w:val="en-US"/>
        </w:rPr>
        <w:instrText xml:space="preserve"> REF _Ref40387566 \r \h </w:instrText>
      </w:r>
      <w:r w:rsidR="00F87E37" w:rsidRPr="00F87E37">
        <w:rPr>
          <w:rFonts w:cs="Arial"/>
          <w:u w:val="single"/>
          <w:lang w:val="en-US"/>
        </w:rPr>
      </w:r>
      <w:r w:rsidR="00F87E37" w:rsidRPr="00F87E37">
        <w:rPr>
          <w:rFonts w:cs="Arial"/>
          <w:u w:val="single"/>
          <w:lang w:val="en-US"/>
        </w:rPr>
        <w:fldChar w:fldCharType="separate"/>
      </w:r>
      <w:r w:rsidR="00B75C93">
        <w:rPr>
          <w:rFonts w:cs="Arial"/>
          <w:u w:val="single"/>
          <w:lang w:val="en-US"/>
        </w:rPr>
        <w:t>6.2</w:t>
      </w:r>
      <w:r w:rsidR="00F87E37" w:rsidRPr="00F87E37">
        <w:rPr>
          <w:rFonts w:cs="Arial"/>
          <w:u w:val="single"/>
          <w:lang w:val="en-US"/>
        </w:rPr>
        <w:fldChar w:fldCharType="end"/>
      </w:r>
      <w:r>
        <w:rPr>
          <w:rFonts w:cs="Arial"/>
          <w:lang w:val="en-US"/>
        </w:rPr>
        <w:t xml:space="preserve"> noninterest income can be partitioned in two main revenue streams: fee-based and trading-based income. </w:t>
      </w:r>
      <w:proofErr w:type="spellStart"/>
      <w:r>
        <w:rPr>
          <w:rFonts w:cs="Arial"/>
          <w:lang w:val="en-US"/>
        </w:rPr>
        <w:t>Ayadi</w:t>
      </w:r>
      <w:proofErr w:type="spellEnd"/>
      <w:r>
        <w:rPr>
          <w:rFonts w:cs="Arial"/>
          <w:lang w:val="en-US"/>
        </w:rPr>
        <w:t xml:space="preserve"> et al. </w:t>
      </w:r>
      <w:sdt>
        <w:sdtPr>
          <w:rPr>
            <w:rFonts w:cs="Arial"/>
            <w:lang w:val="en-US"/>
          </w:rPr>
          <w:id w:val="489289129"/>
          <w:citation/>
        </w:sdtPr>
        <w:sdtEndPr/>
        <w:sdtContent>
          <w:r w:rsidR="00F6026A">
            <w:rPr>
              <w:rFonts w:cs="Arial"/>
              <w:lang w:val="en-US"/>
            </w:rPr>
            <w:fldChar w:fldCharType="begin"/>
          </w:r>
          <w:r w:rsidR="00B929B0" w:rsidRPr="008D04DD">
            <w:rPr>
              <w:rFonts w:cs="Arial"/>
              <w:lang w:val="en-US"/>
            </w:rPr>
            <w:instrText xml:space="preserve">CITATION Aya16 \n  \t  \l 3079 </w:instrText>
          </w:r>
          <w:r w:rsidR="00F6026A">
            <w:rPr>
              <w:rFonts w:cs="Arial"/>
              <w:lang w:val="en-US"/>
            </w:rPr>
            <w:fldChar w:fldCharType="separate"/>
          </w:r>
          <w:r w:rsidR="00B929B0" w:rsidRPr="00B929B0">
            <w:rPr>
              <w:rFonts w:cs="Arial"/>
              <w:noProof/>
              <w:lang w:val="en-US"/>
            </w:rPr>
            <w:t>(2016)</w:t>
          </w:r>
          <w:r w:rsidR="00F6026A">
            <w:rPr>
              <w:rFonts w:cs="Arial"/>
              <w:lang w:val="en-US"/>
            </w:rPr>
            <w:fldChar w:fldCharType="end"/>
          </w:r>
        </w:sdtContent>
      </w:sdt>
      <w:r>
        <w:rPr>
          <w:rFonts w:cs="Arial"/>
          <w:lang w:val="en-US"/>
        </w:rPr>
        <w:t xml:space="preserve"> as well as Köhler </w:t>
      </w:r>
      <w:sdt>
        <w:sdtPr>
          <w:rPr>
            <w:rFonts w:cs="Arial"/>
            <w:lang w:val="en-US"/>
          </w:rPr>
          <w:id w:val="428087905"/>
          <w:citation/>
        </w:sdtPr>
        <w:sdtEndPr/>
        <w:sdtContent>
          <w:r w:rsidR="00E10452">
            <w:rPr>
              <w:rFonts w:cs="Arial"/>
              <w:lang w:val="en-US"/>
            </w:rPr>
            <w:fldChar w:fldCharType="begin"/>
          </w:r>
          <w:r w:rsidR="00E10452" w:rsidRPr="00E10452">
            <w:rPr>
              <w:rFonts w:cs="Arial"/>
              <w:lang w:val="en-US"/>
            </w:rPr>
            <w:instrText xml:space="preserve"> CITATION Koe13 \l 3079 </w:instrText>
          </w:r>
          <w:r w:rsidR="00E10452">
            <w:rPr>
              <w:rFonts w:cs="Arial"/>
              <w:lang w:val="en-US"/>
            </w:rPr>
            <w:fldChar w:fldCharType="separate"/>
          </w:r>
          <w:r w:rsidR="00E10452" w:rsidRPr="00E10452">
            <w:rPr>
              <w:rFonts w:cs="Arial"/>
              <w:noProof/>
              <w:lang w:val="en-US"/>
            </w:rPr>
            <w:t>(Koehler, 2013)</w:t>
          </w:r>
          <w:r w:rsidR="00E10452">
            <w:rPr>
              <w:rFonts w:cs="Arial"/>
              <w:lang w:val="en-US"/>
            </w:rPr>
            <w:fldChar w:fldCharType="end"/>
          </w:r>
        </w:sdtContent>
      </w:sdt>
      <w:r>
        <w:rPr>
          <w:rFonts w:cs="Arial"/>
          <w:lang w:val="en-US"/>
        </w:rPr>
        <w:t xml:space="preserve"> confirm</w:t>
      </w:r>
      <w:r w:rsidR="00044E63">
        <w:rPr>
          <w:rFonts w:cs="Arial"/>
          <w:lang w:val="en-US"/>
        </w:rPr>
        <w:t>ed</w:t>
      </w:r>
      <w:r>
        <w:rPr>
          <w:rFonts w:cs="Arial"/>
          <w:lang w:val="en-US"/>
        </w:rPr>
        <w:t xml:space="preserve"> that fee-based income</w:t>
      </w:r>
      <w:r w:rsidR="00B579B7">
        <w:rPr>
          <w:rFonts w:cs="Arial"/>
          <w:lang w:val="en-US"/>
        </w:rPr>
        <w:t xml:space="preserve"> traditionally</w:t>
      </w:r>
      <w:r>
        <w:rPr>
          <w:rFonts w:cs="Arial"/>
          <w:lang w:val="en-US"/>
        </w:rPr>
        <w:t xml:space="preserve"> represents the largest part of noninterest earnings of the European banking institutions. </w:t>
      </w:r>
      <w:r w:rsidR="008D3456">
        <w:rPr>
          <w:rFonts w:cs="Arial"/>
          <w:lang w:val="en-US"/>
        </w:rPr>
        <w:t>Effectively, fee and commission</w:t>
      </w:r>
      <w:r w:rsidR="005972E3">
        <w:rPr>
          <w:rFonts w:cs="Arial"/>
          <w:lang w:val="en-US"/>
        </w:rPr>
        <w:t>s</w:t>
      </w:r>
      <w:r w:rsidR="008D3456">
        <w:rPr>
          <w:rFonts w:cs="Arial"/>
          <w:lang w:val="en-US"/>
        </w:rPr>
        <w:t xml:space="preserve"> on average comprises two thirds of banks’ total noninterest income</w:t>
      </w:r>
      <w:r w:rsidR="00356313">
        <w:rPr>
          <w:rFonts w:cs="Arial"/>
          <w:lang w:val="en-US"/>
        </w:rPr>
        <w:t xml:space="preserve"> within the euro area and </w:t>
      </w:r>
      <w:r w:rsidR="00621CAB">
        <w:rPr>
          <w:rFonts w:cs="Arial"/>
          <w:lang w:val="en-US"/>
        </w:rPr>
        <w:t>between 22% and 30% of euro banks’ total net revenue</w:t>
      </w:r>
      <w:r>
        <w:rPr>
          <w:rFonts w:cs="Arial"/>
          <w:lang w:val="en-US"/>
        </w:rPr>
        <w:t xml:space="preserve"> </w:t>
      </w:r>
      <w:sdt>
        <w:sdtPr>
          <w:rPr>
            <w:rFonts w:cs="Arial"/>
            <w:lang w:val="en-US"/>
          </w:rPr>
          <w:id w:val="-1256354471"/>
          <w:citation/>
        </w:sdtPr>
        <w:sdtEndPr/>
        <w:sdtContent>
          <w:r w:rsidR="00F733E5">
            <w:rPr>
              <w:rFonts w:cs="Arial"/>
              <w:lang w:val="en-US"/>
            </w:rPr>
            <w:fldChar w:fldCharType="begin"/>
          </w:r>
          <w:r w:rsidR="00F733E5" w:rsidRPr="00FE10A6">
            <w:rPr>
              <w:rFonts w:cs="Arial"/>
              <w:lang w:val="en-US"/>
            </w:rPr>
            <w:instrText xml:space="preserve"> CITATION Kok17 \l 3079 </w:instrText>
          </w:r>
          <w:r w:rsidR="00F733E5">
            <w:rPr>
              <w:rFonts w:cs="Arial"/>
              <w:lang w:val="en-US"/>
            </w:rPr>
            <w:fldChar w:fldCharType="separate"/>
          </w:r>
          <w:r w:rsidR="00F733E5" w:rsidRPr="00FE10A6">
            <w:rPr>
              <w:rFonts w:cs="Arial"/>
              <w:noProof/>
              <w:lang w:val="en-US"/>
            </w:rPr>
            <w:t>(Kok, Mirza, &amp; Pancaro, 2017)</w:t>
          </w:r>
          <w:r w:rsidR="00F733E5">
            <w:rPr>
              <w:rFonts w:cs="Arial"/>
              <w:lang w:val="en-US"/>
            </w:rPr>
            <w:fldChar w:fldCharType="end"/>
          </w:r>
        </w:sdtContent>
      </w:sdt>
      <w:r w:rsidR="00AC2111">
        <w:rPr>
          <w:rFonts w:cs="Arial"/>
          <w:lang w:val="en-US"/>
        </w:rPr>
        <w:t>.</w:t>
      </w:r>
    </w:p>
    <w:p w14:paraId="23BCA526" w14:textId="2C4AB956" w:rsidR="00481202" w:rsidRDefault="00481202" w:rsidP="00481202">
      <w:pPr>
        <w:spacing w:line="360" w:lineRule="auto"/>
        <w:rPr>
          <w:rFonts w:cs="Arial"/>
          <w:lang w:val="en-US"/>
        </w:rPr>
      </w:pPr>
      <w:r>
        <w:rPr>
          <w:rFonts w:cs="Arial"/>
          <w:lang w:val="en-US"/>
        </w:rPr>
        <w:t xml:space="preserve">Since charging fees can be almost defined by banks themselves, fee and commission income is considered much more stable and flexible, while trading and interest income is significantly more volatile </w:t>
      </w:r>
      <w:sdt>
        <w:sdtPr>
          <w:rPr>
            <w:rFonts w:cs="Arial"/>
            <w:lang w:val="en-US"/>
          </w:rPr>
          <w:id w:val="-1902513694"/>
          <w:citation/>
        </w:sdtPr>
        <w:sdtEndPr/>
        <w:sdtContent>
          <w:r w:rsidR="00E10452">
            <w:rPr>
              <w:rFonts w:cs="Arial"/>
              <w:lang w:val="en-US"/>
            </w:rPr>
            <w:fldChar w:fldCharType="begin"/>
          </w:r>
          <w:r w:rsidR="00E10452" w:rsidRPr="00E10452">
            <w:rPr>
              <w:rFonts w:cs="Arial"/>
              <w:lang w:val="en-US"/>
            </w:rPr>
            <w:instrText xml:space="preserve"> CITATION Koe13 \l 3079 </w:instrText>
          </w:r>
          <w:r w:rsidR="00E10452">
            <w:rPr>
              <w:rFonts w:cs="Arial"/>
              <w:lang w:val="en-US"/>
            </w:rPr>
            <w:fldChar w:fldCharType="separate"/>
          </w:r>
          <w:r w:rsidR="00E10452" w:rsidRPr="00E10452">
            <w:rPr>
              <w:rFonts w:cs="Arial"/>
              <w:noProof/>
              <w:lang w:val="en-US"/>
            </w:rPr>
            <w:t>(Koehler, 2013)</w:t>
          </w:r>
          <w:r w:rsidR="00E10452">
            <w:rPr>
              <w:rFonts w:cs="Arial"/>
              <w:lang w:val="en-US"/>
            </w:rPr>
            <w:fldChar w:fldCharType="end"/>
          </w:r>
        </w:sdtContent>
      </w:sdt>
      <w:r>
        <w:rPr>
          <w:rFonts w:cs="Arial"/>
          <w:lang w:val="en-US"/>
        </w:rPr>
        <w:t>. Therefore banking institutions tend to raise banking fees, due to revenue-inhibiting developments, like the drop of the European key interest rate, which led to damages regarding interest earnings.</w:t>
      </w:r>
    </w:p>
    <w:p w14:paraId="17187993" w14:textId="69B4F9AF" w:rsidR="00481202" w:rsidRDefault="00481202" w:rsidP="00481202">
      <w:pPr>
        <w:spacing w:line="360" w:lineRule="auto"/>
        <w:rPr>
          <w:rFonts w:cs="Arial"/>
          <w:lang w:val="en-US"/>
        </w:rPr>
      </w:pPr>
      <w:r>
        <w:rPr>
          <w:rFonts w:cs="Arial"/>
          <w:lang w:val="en-US"/>
        </w:rPr>
        <w:t xml:space="preserve">In addition to the EURIBOR, there are other factors, that provoke increasing banking fees. These factors base on differences across European member states. For instance, market </w:t>
      </w:r>
      <w:r w:rsidRPr="00032EBA">
        <w:rPr>
          <w:rFonts w:cs="Arial"/>
          <w:lang w:val="en-US"/>
        </w:rPr>
        <w:t>competitiveness</w:t>
      </w:r>
      <w:r>
        <w:rPr>
          <w:rFonts w:cs="Arial"/>
          <w:lang w:val="en-US"/>
        </w:rPr>
        <w:t xml:space="preserve"> and industry concentration affect developments regarding banking charges. In this context </w:t>
      </w:r>
      <w:proofErr w:type="spellStart"/>
      <w:r>
        <w:rPr>
          <w:rFonts w:cs="Arial"/>
          <w:lang w:val="en-US"/>
        </w:rPr>
        <w:t>Dvor</w:t>
      </w:r>
      <w:r w:rsidR="00FE10A6">
        <w:rPr>
          <w:rFonts w:cs="Arial"/>
          <w:lang w:val="en-US"/>
        </w:rPr>
        <w:t>á</w:t>
      </w:r>
      <w:r>
        <w:rPr>
          <w:rFonts w:cs="Arial"/>
          <w:lang w:val="en-US"/>
        </w:rPr>
        <w:t>k</w:t>
      </w:r>
      <w:proofErr w:type="spellEnd"/>
      <w:r>
        <w:rPr>
          <w:rFonts w:cs="Arial"/>
          <w:lang w:val="en-US"/>
        </w:rPr>
        <w:t xml:space="preserve"> and </w:t>
      </w:r>
      <w:proofErr w:type="spellStart"/>
      <w:r>
        <w:rPr>
          <w:rFonts w:cs="Arial"/>
          <w:lang w:val="en-US"/>
        </w:rPr>
        <w:t>Hanousek</w:t>
      </w:r>
      <w:proofErr w:type="spellEnd"/>
      <w:r>
        <w:rPr>
          <w:rFonts w:cs="Arial"/>
          <w:lang w:val="en-US"/>
        </w:rPr>
        <w:t xml:space="preserve"> specify relevant aspects and differentiate between supply-side and demand-side circumstances:</w:t>
      </w:r>
    </w:p>
    <w:p w14:paraId="20FCBCEB" w14:textId="5FEDD9FB" w:rsidR="00481202" w:rsidRDefault="00481202" w:rsidP="00481202">
      <w:pPr>
        <w:spacing w:line="360" w:lineRule="auto"/>
        <w:ind w:left="567" w:right="567"/>
        <w:rPr>
          <w:rFonts w:cs="Arial"/>
          <w:lang w:val="en-US"/>
        </w:rPr>
      </w:pPr>
      <w:r w:rsidRPr="00032EBA">
        <w:rPr>
          <w:rFonts w:cs="Arial"/>
          <w:lang w:val="en-US"/>
        </w:rPr>
        <w:t xml:space="preserve">The existing literature implies that among the most likely supply-side factors affecting the vast differences in bank fees from country to country are bank costs, market competitiveness, and the extent and form of banking industry regulation. Among demand-side factors, cross-subsidization between different bank products is a </w:t>
      </w:r>
      <w:r w:rsidRPr="00032EBA">
        <w:rPr>
          <w:rFonts w:cs="Arial"/>
          <w:lang w:val="en-US"/>
        </w:rPr>
        <w:lastRenderedPageBreak/>
        <w:t>possibility as banks try to maximize the benefits from a pool of clients with given demand characteristics.</w:t>
      </w:r>
      <w:r>
        <w:rPr>
          <w:rFonts w:cs="Arial"/>
          <w:lang w:val="en-US"/>
        </w:rPr>
        <w:t xml:space="preserve"> </w:t>
      </w:r>
      <w:sdt>
        <w:sdtPr>
          <w:rPr>
            <w:rFonts w:cs="Arial"/>
            <w:lang w:val="en-US"/>
          </w:rPr>
          <w:id w:val="-1405137982"/>
          <w:citation/>
        </w:sdtPr>
        <w:sdtEndPr/>
        <w:sdtContent>
          <w:r w:rsidR="00FE10A6">
            <w:rPr>
              <w:rFonts w:cs="Arial"/>
              <w:lang w:val="en-US"/>
            </w:rPr>
            <w:fldChar w:fldCharType="begin"/>
          </w:r>
          <w:r w:rsidR="00FE10A6" w:rsidRPr="008D04DD">
            <w:rPr>
              <w:rFonts w:cs="Arial"/>
              <w:lang w:val="en-US"/>
            </w:rPr>
            <w:instrText xml:space="preserve"> CITATION Dvo09 \l 3079 </w:instrText>
          </w:r>
          <w:r w:rsidR="00FE10A6">
            <w:rPr>
              <w:rFonts w:cs="Arial"/>
              <w:lang w:val="en-US"/>
            </w:rPr>
            <w:fldChar w:fldCharType="separate"/>
          </w:r>
          <w:r w:rsidR="00FE10A6" w:rsidRPr="008D04DD">
            <w:rPr>
              <w:rFonts w:cs="Arial"/>
              <w:noProof/>
              <w:lang w:val="en-US"/>
            </w:rPr>
            <w:t>(Dvorák &amp; Hanousek, 2009)</w:t>
          </w:r>
          <w:r w:rsidR="00FE10A6">
            <w:rPr>
              <w:rFonts w:cs="Arial"/>
              <w:lang w:val="en-US"/>
            </w:rPr>
            <w:fldChar w:fldCharType="end"/>
          </w:r>
        </w:sdtContent>
      </w:sdt>
    </w:p>
    <w:p w14:paraId="1AE845E9" w14:textId="3A26BBB2" w:rsidR="00481202" w:rsidRPr="00C060AD" w:rsidRDefault="00481202" w:rsidP="00481202">
      <w:pPr>
        <w:spacing w:line="360" w:lineRule="auto"/>
        <w:rPr>
          <w:rFonts w:cs="Arial"/>
          <w:lang w:val="en-US"/>
        </w:rPr>
      </w:pPr>
      <w:r w:rsidRPr="00C060AD">
        <w:rPr>
          <w:rFonts w:cs="Arial"/>
          <w:lang w:val="en-US"/>
        </w:rPr>
        <w:t xml:space="preserve">According to a paper by </w:t>
      </w:r>
      <w:proofErr w:type="spellStart"/>
      <w:r w:rsidRPr="00C060AD">
        <w:rPr>
          <w:rFonts w:cs="Arial"/>
          <w:lang w:val="en-US"/>
        </w:rPr>
        <w:t>Kok</w:t>
      </w:r>
      <w:proofErr w:type="spellEnd"/>
      <w:r w:rsidR="00E35BD1">
        <w:rPr>
          <w:rFonts w:cs="Arial"/>
          <w:lang w:val="en-US"/>
        </w:rPr>
        <w:t xml:space="preserve">, Mirza and </w:t>
      </w:r>
      <w:proofErr w:type="spellStart"/>
      <w:r w:rsidR="00E35BD1">
        <w:rPr>
          <w:rFonts w:cs="Arial"/>
          <w:lang w:val="en-US"/>
        </w:rPr>
        <w:t>Pancaro</w:t>
      </w:r>
      <w:proofErr w:type="spellEnd"/>
      <w:r w:rsidR="00F733E5">
        <w:rPr>
          <w:rFonts w:cs="Arial"/>
          <w:lang w:val="en-US"/>
        </w:rPr>
        <w:t xml:space="preserve"> </w:t>
      </w:r>
      <w:sdt>
        <w:sdtPr>
          <w:rPr>
            <w:rFonts w:cs="Arial"/>
            <w:lang w:val="en-US"/>
          </w:rPr>
          <w:id w:val="2116488246"/>
          <w:citation/>
        </w:sdtPr>
        <w:sdtEndPr/>
        <w:sdtContent>
          <w:r w:rsidR="000D0D15">
            <w:rPr>
              <w:rFonts w:cs="Arial"/>
              <w:lang w:val="en-US"/>
            </w:rPr>
            <w:fldChar w:fldCharType="begin"/>
          </w:r>
          <w:r w:rsidR="000D0D15" w:rsidRPr="00C55438">
            <w:rPr>
              <w:rFonts w:cs="Arial"/>
              <w:lang w:val="en-US"/>
            </w:rPr>
            <w:instrText xml:space="preserve">CITATION Kok17 \n  \t  \l 3079 </w:instrText>
          </w:r>
          <w:r w:rsidR="000D0D15">
            <w:rPr>
              <w:rFonts w:cs="Arial"/>
              <w:lang w:val="en-US"/>
            </w:rPr>
            <w:fldChar w:fldCharType="separate"/>
          </w:r>
          <w:r w:rsidR="000D0D15" w:rsidRPr="000D0D15">
            <w:rPr>
              <w:rFonts w:cs="Arial"/>
              <w:noProof/>
              <w:lang w:val="en-US"/>
            </w:rPr>
            <w:t>(2017)</w:t>
          </w:r>
          <w:r w:rsidR="000D0D15">
            <w:rPr>
              <w:rFonts w:cs="Arial"/>
              <w:lang w:val="en-US"/>
            </w:rPr>
            <w:fldChar w:fldCharType="end"/>
          </w:r>
        </w:sdtContent>
      </w:sdt>
      <w:r>
        <w:rPr>
          <w:rFonts w:cs="Arial"/>
          <w:lang w:val="en-US"/>
        </w:rPr>
        <w:t xml:space="preserve">, where the authors analyzed the development of European banking fees in the macroeconomic context, </w:t>
      </w:r>
      <w:r w:rsidRPr="00E222FA">
        <w:rPr>
          <w:rFonts w:cs="Arial"/>
          <w:lang w:val="en-US"/>
        </w:rPr>
        <w:t xml:space="preserve">fee and commission income ratio is </w:t>
      </w:r>
      <w:r>
        <w:rPr>
          <w:rFonts w:cs="Arial"/>
          <w:lang w:val="en-US"/>
        </w:rPr>
        <w:t xml:space="preserve">particularly </w:t>
      </w:r>
      <w:r w:rsidRPr="00E222FA">
        <w:rPr>
          <w:rFonts w:cs="Arial"/>
          <w:lang w:val="en-US"/>
        </w:rPr>
        <w:t xml:space="preserve">varying with changes in its own lag, the interest rate, stock market returns and </w:t>
      </w:r>
      <w:r>
        <w:rPr>
          <w:rFonts w:cs="Arial"/>
          <w:lang w:val="en-US"/>
        </w:rPr>
        <w:t xml:space="preserve">the economic as well as the financial cycle, respectively the </w:t>
      </w:r>
      <w:r w:rsidRPr="00E222FA">
        <w:rPr>
          <w:rFonts w:cs="Arial"/>
          <w:lang w:val="en-US"/>
        </w:rPr>
        <w:t>real GDP growth.</w:t>
      </w:r>
      <w:r>
        <w:rPr>
          <w:rFonts w:cs="Arial"/>
          <w:lang w:val="en-US"/>
        </w:rPr>
        <w:t xml:space="preserve"> All figures mentioned seem quite reasonable, since internal factors, like the revenues based on charges in the past and stock market returns, as well as the externalities, like interest rates and the economic activity, directly affect the income structure of banking institutions. </w:t>
      </w:r>
      <w:r w:rsidRPr="005806CB">
        <w:rPr>
          <w:rFonts w:cs="Arial"/>
          <w:lang w:val="en-US"/>
        </w:rPr>
        <w:t xml:space="preserve">If </w:t>
      </w:r>
      <w:r>
        <w:rPr>
          <w:rFonts w:cs="Arial"/>
          <w:lang w:val="en-US"/>
        </w:rPr>
        <w:t>one</w:t>
      </w:r>
      <w:r w:rsidRPr="005806CB">
        <w:rPr>
          <w:rFonts w:cs="Arial"/>
          <w:lang w:val="en-US"/>
        </w:rPr>
        <w:t xml:space="preserve"> income stream </w:t>
      </w:r>
      <w:r>
        <w:rPr>
          <w:rFonts w:cs="Arial"/>
          <w:lang w:val="en-US"/>
        </w:rPr>
        <w:t>drops</w:t>
      </w:r>
      <w:r w:rsidRPr="005806CB">
        <w:rPr>
          <w:rFonts w:cs="Arial"/>
          <w:lang w:val="en-US"/>
        </w:rPr>
        <w:t xml:space="preserve">, </w:t>
      </w:r>
      <w:r>
        <w:rPr>
          <w:rFonts w:cs="Arial"/>
          <w:lang w:val="en-US"/>
        </w:rPr>
        <w:t>the elevation of the banking fees appears to be the obvious solution, due to their flexible and rapid yielding characteristics</w:t>
      </w:r>
      <w:r w:rsidR="00F733E5">
        <w:rPr>
          <w:rFonts w:cs="Arial"/>
          <w:lang w:val="en-US"/>
        </w:rPr>
        <w:t xml:space="preserve"> </w:t>
      </w:r>
      <w:sdt>
        <w:sdtPr>
          <w:rPr>
            <w:rFonts w:cs="Arial"/>
            <w:lang w:val="en-US"/>
          </w:rPr>
          <w:id w:val="173308055"/>
          <w:citation/>
        </w:sdtPr>
        <w:sdtEndPr/>
        <w:sdtContent>
          <w:r w:rsidR="00F733E5">
            <w:rPr>
              <w:rFonts w:cs="Arial"/>
              <w:lang w:val="en-US"/>
            </w:rPr>
            <w:fldChar w:fldCharType="begin"/>
          </w:r>
          <w:r w:rsidR="00F733E5" w:rsidRPr="00F733E5">
            <w:rPr>
              <w:rFonts w:cs="Arial"/>
              <w:lang w:val="en-US"/>
            </w:rPr>
            <w:instrText xml:space="preserve"> CITATION Kok17 \l 3079 </w:instrText>
          </w:r>
          <w:r w:rsidR="00F733E5">
            <w:rPr>
              <w:rFonts w:cs="Arial"/>
              <w:lang w:val="en-US"/>
            </w:rPr>
            <w:fldChar w:fldCharType="separate"/>
          </w:r>
          <w:r w:rsidR="00F733E5" w:rsidRPr="00F733E5">
            <w:rPr>
              <w:rFonts w:cs="Arial"/>
              <w:noProof/>
              <w:lang w:val="en-US"/>
            </w:rPr>
            <w:t>(Kok, Mirza, &amp; Pancaro, 2017)</w:t>
          </w:r>
          <w:r w:rsidR="00F733E5">
            <w:rPr>
              <w:rFonts w:cs="Arial"/>
              <w:lang w:val="en-US"/>
            </w:rPr>
            <w:fldChar w:fldCharType="end"/>
          </w:r>
        </w:sdtContent>
      </w:sdt>
      <w:r>
        <w:rPr>
          <w:rFonts w:cs="Arial"/>
          <w:lang w:val="en-US"/>
        </w:rPr>
        <w:t>.</w:t>
      </w:r>
    </w:p>
    <w:p w14:paraId="5BCEBA82" w14:textId="1E2A04AB" w:rsidR="00481202" w:rsidRDefault="00481202" w:rsidP="00481202">
      <w:pPr>
        <w:spacing w:line="360" w:lineRule="auto"/>
        <w:rPr>
          <w:rFonts w:cs="Arial"/>
          <w:lang w:val="en-US"/>
        </w:rPr>
      </w:pPr>
      <w:r>
        <w:rPr>
          <w:rFonts w:cs="Arial"/>
          <w:lang w:val="en-US"/>
        </w:rPr>
        <w:t>Regarding the European area, banking institutions are typically not affected by that many differing, national</w:t>
      </w:r>
      <w:r w:rsidRPr="00A3013B">
        <w:rPr>
          <w:rFonts w:cs="Arial"/>
          <w:lang w:val="en-US"/>
        </w:rPr>
        <w:t xml:space="preserve"> regulatory procedures</w:t>
      </w:r>
      <w:r>
        <w:rPr>
          <w:rFonts w:cs="Arial"/>
          <w:lang w:val="en-US"/>
        </w:rPr>
        <w:t xml:space="preserve">, since the European Union operates as a supranational regulatory authority and determines a common scope. However, this topic will be covered in chapter </w:t>
      </w:r>
      <w:r w:rsidR="00D2724A" w:rsidRPr="00D2724A">
        <w:rPr>
          <w:rFonts w:cs="Arial"/>
          <w:u w:val="single"/>
          <w:lang w:val="en-US"/>
        </w:rPr>
        <w:fldChar w:fldCharType="begin"/>
      </w:r>
      <w:r w:rsidR="00D2724A" w:rsidRPr="00D2724A">
        <w:rPr>
          <w:rFonts w:cs="Arial"/>
          <w:u w:val="single"/>
          <w:lang w:val="en-US"/>
        </w:rPr>
        <w:instrText xml:space="preserve"> REF _Ref40387598 \r \h </w:instrText>
      </w:r>
      <w:r w:rsidR="00D2724A" w:rsidRPr="00D2724A">
        <w:rPr>
          <w:rFonts w:cs="Arial"/>
          <w:u w:val="single"/>
          <w:lang w:val="en-US"/>
        </w:rPr>
      </w:r>
      <w:r w:rsidR="00D2724A" w:rsidRPr="00D2724A">
        <w:rPr>
          <w:rFonts w:cs="Arial"/>
          <w:u w:val="single"/>
          <w:lang w:val="en-US"/>
        </w:rPr>
        <w:fldChar w:fldCharType="separate"/>
      </w:r>
      <w:r w:rsidR="00B75C93">
        <w:rPr>
          <w:rFonts w:cs="Arial"/>
          <w:u w:val="single"/>
          <w:lang w:val="en-US"/>
        </w:rPr>
        <w:t>7.2</w:t>
      </w:r>
      <w:r w:rsidR="00D2724A" w:rsidRPr="00D2724A">
        <w:rPr>
          <w:rFonts w:cs="Arial"/>
          <w:u w:val="single"/>
          <w:lang w:val="en-US"/>
        </w:rPr>
        <w:fldChar w:fldCharType="end"/>
      </w:r>
      <w:r>
        <w:rPr>
          <w:rFonts w:cs="Arial"/>
          <w:lang w:val="en-US"/>
        </w:rPr>
        <w:t>.</w:t>
      </w:r>
    </w:p>
    <w:p w14:paraId="24D5F647" w14:textId="75B58D6D" w:rsidR="00481202" w:rsidRDefault="00481202" w:rsidP="00481202">
      <w:pPr>
        <w:spacing w:line="360" w:lineRule="auto"/>
        <w:rPr>
          <w:rFonts w:cs="Arial"/>
          <w:lang w:val="en-US"/>
        </w:rPr>
      </w:pPr>
      <w:r>
        <w:rPr>
          <w:rFonts w:cs="Arial"/>
          <w:lang w:val="en-US"/>
        </w:rPr>
        <w:t xml:space="preserve">Other differences can be observed based on the specific type of bank. For instance, retail banks in particular rely on net interest income, which amounts to 71% of their income in total, while investment banks’ income consists of less than 50% of net interest earnings. Therefore the share of fee and commission income of investment banks is relatively high and adds up to 31%. </w:t>
      </w:r>
      <w:r w:rsidRPr="00451A93">
        <w:rPr>
          <w:rFonts w:cs="Arial"/>
          <w:lang w:val="en-US"/>
        </w:rPr>
        <w:t>For the commercial banks, commission and fee income are significantly more important than for other ownership structures. The trading income and other income are significantly lower for cooperative and savings banks</w:t>
      </w:r>
      <w:bookmarkStart w:id="46" w:name="_Hlk37003725"/>
      <w:r>
        <w:rPr>
          <w:rFonts w:cs="Arial"/>
          <w:lang w:val="en-US"/>
        </w:rPr>
        <w:t xml:space="preserve"> </w:t>
      </w:r>
      <w:sdt>
        <w:sdtPr>
          <w:rPr>
            <w:rFonts w:cs="Arial"/>
            <w:lang w:val="en-US"/>
          </w:rPr>
          <w:id w:val="373975512"/>
          <w:citation/>
        </w:sdtPr>
        <w:sdtEndPr/>
        <w:sdtContent>
          <w:r w:rsidR="007A14D1">
            <w:rPr>
              <w:rFonts w:cs="Arial"/>
              <w:lang w:val="en-US"/>
            </w:rPr>
            <w:fldChar w:fldCharType="begin"/>
          </w:r>
          <w:r w:rsidR="007A14D1" w:rsidRPr="007A14D1">
            <w:rPr>
              <w:rFonts w:cs="Arial"/>
              <w:lang w:val="en-US"/>
            </w:rPr>
            <w:instrText xml:space="preserve"> CITATION Aya16 \l 3079 </w:instrText>
          </w:r>
          <w:r w:rsidR="007A14D1">
            <w:rPr>
              <w:rFonts w:cs="Arial"/>
              <w:lang w:val="en-US"/>
            </w:rPr>
            <w:fldChar w:fldCharType="separate"/>
          </w:r>
          <w:r w:rsidR="007A14D1" w:rsidRPr="007A14D1">
            <w:rPr>
              <w:rFonts w:cs="Arial"/>
              <w:noProof/>
              <w:lang w:val="en-US"/>
            </w:rPr>
            <w:t>(Ayadi, et al., 2016)</w:t>
          </w:r>
          <w:r w:rsidR="007A14D1">
            <w:rPr>
              <w:rFonts w:cs="Arial"/>
              <w:lang w:val="en-US"/>
            </w:rPr>
            <w:fldChar w:fldCharType="end"/>
          </w:r>
        </w:sdtContent>
      </w:sdt>
      <w:r>
        <w:rPr>
          <w:rFonts w:cs="Arial"/>
          <w:lang w:val="en-US"/>
        </w:rPr>
        <w:t>.</w:t>
      </w:r>
      <w:bookmarkEnd w:id="46"/>
    </w:p>
    <w:p w14:paraId="3F55CE98" w14:textId="4F456D29" w:rsidR="00481202" w:rsidRDefault="00481202" w:rsidP="00F7772D">
      <w:pPr>
        <w:pStyle w:val="berschrift2"/>
        <w:rPr>
          <w:lang w:val="en-US"/>
        </w:rPr>
      </w:pPr>
      <w:bookmarkStart w:id="47" w:name="_Toc42077753"/>
      <w:r w:rsidRPr="00857E88">
        <w:rPr>
          <w:lang w:val="en-US"/>
        </w:rPr>
        <w:t>Banking Fee Models</w:t>
      </w:r>
      <w:bookmarkEnd w:id="47"/>
    </w:p>
    <w:p w14:paraId="59E37E06" w14:textId="77777777" w:rsidR="00481202" w:rsidRDefault="00481202" w:rsidP="00481202">
      <w:pPr>
        <w:spacing w:line="360" w:lineRule="auto"/>
        <w:rPr>
          <w:rFonts w:cs="Arial"/>
          <w:bCs/>
          <w:lang w:val="en-US"/>
        </w:rPr>
      </w:pPr>
      <w:r>
        <w:rPr>
          <w:rFonts w:cs="Arial"/>
          <w:bCs/>
          <w:lang w:val="en-US"/>
        </w:rPr>
        <w:t xml:space="preserve">Although a vast range of banking fee models exist, the financial institutions themselves decide, in compliance with the regulations, which one they apply and to what extent. Therefore this chapter aims to mention the most common types and describe them briefly. </w:t>
      </w:r>
    </w:p>
    <w:p w14:paraId="0766A019" w14:textId="0094D934" w:rsidR="00481202" w:rsidRDefault="00481202" w:rsidP="00481202">
      <w:pPr>
        <w:spacing w:line="360" w:lineRule="auto"/>
        <w:rPr>
          <w:rFonts w:cs="Arial"/>
          <w:bCs/>
          <w:lang w:val="en-US"/>
        </w:rPr>
      </w:pPr>
      <w:r>
        <w:rPr>
          <w:rFonts w:cs="Arial"/>
          <w:bCs/>
          <w:lang w:val="en-US"/>
        </w:rPr>
        <w:t xml:space="preserve">Maintenance fees are charged for maintaining a bank account, usually </w:t>
      </w:r>
      <w:proofErr w:type="spellStart"/>
      <w:r>
        <w:rPr>
          <w:rFonts w:cs="Arial"/>
          <w:bCs/>
          <w:lang w:val="en-US"/>
        </w:rPr>
        <w:t>giro</w:t>
      </w:r>
      <w:proofErr w:type="spellEnd"/>
      <w:r>
        <w:rPr>
          <w:rFonts w:cs="Arial"/>
          <w:bCs/>
          <w:lang w:val="en-US"/>
        </w:rPr>
        <w:t xml:space="preserve"> accounts, and providing additional services, like personal counseling. Direct banks tend to waive these charges. However, in return maintenance fees sometimes offer benefits to the customer, like free ATM withdrawals. ATM fees are usually charged for using the service of an independent or third party bank’s ATM. Nevertheless amount and application methods vary across countries. While in Austria, independent ATMs impose 1.95 EUR, cash withdrawals for Dutch debit card owners are usually free </w:t>
      </w:r>
      <w:sdt>
        <w:sdtPr>
          <w:rPr>
            <w:rFonts w:cs="Arial"/>
            <w:bCs/>
            <w:lang w:val="en-US"/>
          </w:rPr>
          <w:id w:val="-955330671"/>
          <w:citation/>
        </w:sdtPr>
        <w:sdtEndPr/>
        <w:sdtContent>
          <w:r w:rsidR="007C0089">
            <w:rPr>
              <w:rFonts w:cs="Arial"/>
              <w:bCs/>
              <w:lang w:val="en-US"/>
            </w:rPr>
            <w:fldChar w:fldCharType="begin"/>
          </w:r>
          <w:r w:rsidR="005C720C">
            <w:rPr>
              <w:rFonts w:cs="Arial"/>
              <w:bCs/>
              <w:lang w:val="en-US"/>
            </w:rPr>
            <w:instrText xml:space="preserve">CITATION ATM20 \l 3079 </w:instrText>
          </w:r>
          <w:r w:rsidR="007C0089">
            <w:rPr>
              <w:rFonts w:cs="Arial"/>
              <w:bCs/>
              <w:lang w:val="en-US"/>
            </w:rPr>
            <w:fldChar w:fldCharType="separate"/>
          </w:r>
          <w:r w:rsidR="005C720C" w:rsidRPr="005C720C">
            <w:rPr>
              <w:rFonts w:cs="Arial"/>
              <w:noProof/>
              <w:lang w:val="en-US"/>
            </w:rPr>
            <w:t>(Wikipedia Contributors, 2020)</w:t>
          </w:r>
          <w:r w:rsidR="007C0089">
            <w:rPr>
              <w:rFonts w:cs="Arial"/>
              <w:bCs/>
              <w:lang w:val="en-US"/>
            </w:rPr>
            <w:fldChar w:fldCharType="end"/>
          </w:r>
        </w:sdtContent>
      </w:sdt>
      <w:r>
        <w:rPr>
          <w:rFonts w:cs="Arial"/>
          <w:bCs/>
          <w:lang w:val="en-US"/>
        </w:rPr>
        <w:t xml:space="preserve">. </w:t>
      </w:r>
    </w:p>
    <w:p w14:paraId="0718927D" w14:textId="2144E336" w:rsidR="00481202" w:rsidRPr="008415EC" w:rsidRDefault="00481202" w:rsidP="00481202">
      <w:pPr>
        <w:spacing w:line="360" w:lineRule="auto"/>
        <w:rPr>
          <w:rFonts w:cs="Arial"/>
          <w:bCs/>
          <w:lang w:val="en-US"/>
        </w:rPr>
      </w:pPr>
      <w:r>
        <w:rPr>
          <w:rFonts w:cs="Arial"/>
          <w:bCs/>
          <w:lang w:val="en-US"/>
        </w:rPr>
        <w:t xml:space="preserve">Wire transfer fees are charged for electronic transfer transactions between bank accounts. Potentially </w:t>
      </w:r>
      <w:r w:rsidRPr="00045291">
        <w:rPr>
          <w:rFonts w:cs="Arial"/>
          <w:bCs/>
          <w:lang w:val="en-US"/>
        </w:rPr>
        <w:t>European banks</w:t>
      </w:r>
      <w:r>
        <w:rPr>
          <w:rFonts w:cs="Arial"/>
          <w:bCs/>
          <w:lang w:val="en-US"/>
        </w:rPr>
        <w:t xml:space="preserve"> can apply that kind of fee model, though it is not very common </w:t>
      </w:r>
      <w:r>
        <w:rPr>
          <w:rFonts w:cs="Arial"/>
          <w:bCs/>
          <w:lang w:val="en-US"/>
        </w:rPr>
        <w:lastRenderedPageBreak/>
        <w:t>within the European Union. Basically</w:t>
      </w:r>
      <w:r w:rsidR="00414168">
        <w:rPr>
          <w:rFonts w:cs="Arial"/>
          <w:bCs/>
          <w:lang w:val="en-US"/>
        </w:rPr>
        <w:t>,</w:t>
      </w:r>
      <w:r>
        <w:rPr>
          <w:rFonts w:cs="Arial"/>
          <w:bCs/>
          <w:lang w:val="en-US"/>
        </w:rPr>
        <w:t xml:space="preserve"> EU banking institutions are obligated to </w:t>
      </w:r>
      <w:r w:rsidRPr="003F5F27">
        <w:rPr>
          <w:rFonts w:cs="Arial"/>
          <w:bCs/>
          <w:lang w:val="en-US"/>
        </w:rPr>
        <w:t>charge the same rate for payments in euro across the EU as it does for equivalent national transactions.</w:t>
      </w:r>
      <w:r>
        <w:rPr>
          <w:rFonts w:cs="Arial"/>
          <w:bCs/>
          <w:lang w:val="en-US"/>
        </w:rPr>
        <w:t xml:space="preserve"> This includes any transfers </w:t>
      </w:r>
      <w:r w:rsidRPr="003F5F27">
        <w:rPr>
          <w:rFonts w:cs="Arial"/>
          <w:bCs/>
          <w:lang w:val="en-US"/>
        </w:rPr>
        <w:t>between bank accounts in different EU countries</w:t>
      </w:r>
      <w:r>
        <w:rPr>
          <w:rFonts w:cs="Arial"/>
          <w:bCs/>
          <w:lang w:val="en-US"/>
        </w:rPr>
        <w:t xml:space="preserve"> as well as </w:t>
      </w:r>
      <w:r w:rsidRPr="008415EC">
        <w:rPr>
          <w:rFonts w:cs="Arial"/>
          <w:bCs/>
          <w:lang w:val="en-US"/>
        </w:rPr>
        <w:t>direct debit transactions</w:t>
      </w:r>
      <w:r>
        <w:rPr>
          <w:rFonts w:cs="Arial"/>
          <w:bCs/>
          <w:lang w:val="en-US"/>
        </w:rPr>
        <w:t xml:space="preserve"> </w:t>
      </w:r>
      <w:sdt>
        <w:sdtPr>
          <w:rPr>
            <w:rFonts w:cs="Arial"/>
            <w:bCs/>
            <w:lang w:val="en-US"/>
          </w:rPr>
          <w:id w:val="332730142"/>
          <w:citation/>
        </w:sdtPr>
        <w:sdtEndPr/>
        <w:sdtContent>
          <w:r w:rsidR="00FA17D7">
            <w:rPr>
              <w:rFonts w:cs="Arial"/>
              <w:bCs/>
              <w:lang w:val="en-US"/>
            </w:rPr>
            <w:fldChar w:fldCharType="begin"/>
          </w:r>
          <w:r w:rsidR="00823728">
            <w:rPr>
              <w:rFonts w:cs="Arial"/>
              <w:bCs/>
              <w:lang w:val="en-US"/>
            </w:rPr>
            <w:instrText xml:space="preserve">CITATION Eur201 \l 3079 </w:instrText>
          </w:r>
          <w:r w:rsidR="00FA17D7">
            <w:rPr>
              <w:rFonts w:cs="Arial"/>
              <w:bCs/>
              <w:lang w:val="en-US"/>
            </w:rPr>
            <w:fldChar w:fldCharType="separate"/>
          </w:r>
          <w:r w:rsidR="00823728" w:rsidRPr="00823728">
            <w:rPr>
              <w:rFonts w:cs="Arial"/>
              <w:noProof/>
              <w:lang w:val="en-US"/>
            </w:rPr>
            <w:t>(European Union, 2020)</w:t>
          </w:r>
          <w:r w:rsidR="00FA17D7">
            <w:rPr>
              <w:rFonts w:cs="Arial"/>
              <w:bCs/>
              <w:lang w:val="en-US"/>
            </w:rPr>
            <w:fldChar w:fldCharType="end"/>
          </w:r>
        </w:sdtContent>
      </w:sdt>
      <w:r>
        <w:rPr>
          <w:rFonts w:cs="Arial"/>
          <w:bCs/>
          <w:lang w:val="en-US"/>
        </w:rPr>
        <w:t>. Indeed, this topic will be covered in detail in the following chapter.</w:t>
      </w:r>
    </w:p>
    <w:p w14:paraId="54B869C0" w14:textId="6B09B33B" w:rsidR="00481202" w:rsidRDefault="00481202" w:rsidP="00481202">
      <w:pPr>
        <w:spacing w:line="360" w:lineRule="auto"/>
        <w:rPr>
          <w:rFonts w:cs="Arial"/>
          <w:bCs/>
          <w:lang w:val="en-US"/>
        </w:rPr>
      </w:pPr>
      <w:r>
        <w:rPr>
          <w:rFonts w:cs="Arial"/>
          <w:bCs/>
          <w:lang w:val="en-US"/>
        </w:rPr>
        <w:t xml:space="preserve">Some banking institutions offer overdraft protection, which can be described as a loan, provided to costumers, who’s bank account reaches zero. It enables to continue performing payment transactions and therefore the client has to pay interest on the loan as well as a flat fee. However, in case the overdraft has not been arranged priorly, the bank may also charge an additional penalty fee, which happens to be </w:t>
      </w:r>
      <w:r w:rsidRPr="001210C9">
        <w:rPr>
          <w:rFonts w:cs="Arial"/>
          <w:bCs/>
          <w:lang w:val="en-US"/>
        </w:rPr>
        <w:t>substantially higher</w:t>
      </w:r>
      <w:r>
        <w:rPr>
          <w:rFonts w:cs="Arial"/>
          <w:bCs/>
          <w:lang w:val="en-US"/>
        </w:rPr>
        <w:t xml:space="preserve"> </w:t>
      </w:r>
      <w:sdt>
        <w:sdtPr>
          <w:rPr>
            <w:rFonts w:cs="Arial"/>
            <w:bCs/>
            <w:lang w:val="en-US"/>
          </w:rPr>
          <w:id w:val="1312751611"/>
          <w:citation/>
        </w:sdtPr>
        <w:sdtEndPr/>
        <w:sdtContent>
          <w:r w:rsidR="00017B6D">
            <w:rPr>
              <w:rFonts w:cs="Arial"/>
              <w:bCs/>
              <w:lang w:val="en-US"/>
            </w:rPr>
            <w:fldChar w:fldCharType="begin"/>
          </w:r>
          <w:r w:rsidR="00017B6D" w:rsidRPr="00017B6D">
            <w:rPr>
              <w:rFonts w:cs="Arial"/>
              <w:bCs/>
              <w:lang w:val="en-US"/>
            </w:rPr>
            <w:instrText xml:space="preserve"> CITATION N2619 \l 3079 </w:instrText>
          </w:r>
          <w:r w:rsidR="00017B6D">
            <w:rPr>
              <w:rFonts w:cs="Arial"/>
              <w:bCs/>
              <w:lang w:val="en-US"/>
            </w:rPr>
            <w:fldChar w:fldCharType="separate"/>
          </w:r>
          <w:r w:rsidR="00017B6D" w:rsidRPr="00017B6D">
            <w:rPr>
              <w:rFonts w:cs="Arial"/>
              <w:noProof/>
              <w:lang w:val="en-US"/>
            </w:rPr>
            <w:t>(N26, 2019)</w:t>
          </w:r>
          <w:r w:rsidR="00017B6D">
            <w:rPr>
              <w:rFonts w:cs="Arial"/>
              <w:bCs/>
              <w:lang w:val="en-US"/>
            </w:rPr>
            <w:fldChar w:fldCharType="end"/>
          </w:r>
        </w:sdtContent>
      </w:sdt>
      <w:r>
        <w:rPr>
          <w:rFonts w:cs="Arial"/>
          <w:bCs/>
          <w:lang w:val="en-US"/>
        </w:rPr>
        <w:t>.</w:t>
      </w:r>
    </w:p>
    <w:p w14:paraId="41BDC843" w14:textId="731B9780" w:rsidR="00481202" w:rsidRDefault="00481202" w:rsidP="00481202">
      <w:pPr>
        <w:spacing w:line="360" w:lineRule="auto"/>
        <w:rPr>
          <w:rFonts w:cs="Arial"/>
          <w:bCs/>
          <w:lang w:val="en-US"/>
        </w:rPr>
      </w:pPr>
      <w:r>
        <w:rPr>
          <w:rFonts w:cs="Arial"/>
          <w:bCs/>
          <w:lang w:val="en-US"/>
        </w:rPr>
        <w:t>Debit or credit card fees affect individuals as well as merchants. While merchants usually have to pay basic fees, that imply the r</w:t>
      </w:r>
      <w:r w:rsidRPr="005021EA">
        <w:rPr>
          <w:rFonts w:cs="Arial"/>
          <w:bCs/>
          <w:lang w:val="en-US"/>
        </w:rPr>
        <w:t>ent for card terminal</w:t>
      </w:r>
      <w:r>
        <w:rPr>
          <w:rFonts w:cs="Arial"/>
          <w:bCs/>
          <w:lang w:val="en-US"/>
        </w:rPr>
        <w:t>s</w:t>
      </w:r>
      <w:r w:rsidRPr="005021EA">
        <w:rPr>
          <w:rFonts w:cs="Arial"/>
          <w:bCs/>
          <w:lang w:val="en-US"/>
        </w:rPr>
        <w:t xml:space="preserve"> </w:t>
      </w:r>
      <w:r>
        <w:rPr>
          <w:rFonts w:cs="Arial"/>
          <w:bCs/>
          <w:lang w:val="en-US"/>
        </w:rPr>
        <w:t>and</w:t>
      </w:r>
      <w:r w:rsidRPr="005021EA">
        <w:rPr>
          <w:rFonts w:cs="Arial"/>
          <w:bCs/>
          <w:lang w:val="en-US"/>
        </w:rPr>
        <w:t xml:space="preserve"> a fixed </w:t>
      </w:r>
      <w:r>
        <w:rPr>
          <w:rFonts w:cs="Arial"/>
          <w:bCs/>
          <w:lang w:val="en-US"/>
        </w:rPr>
        <w:t>contingent</w:t>
      </w:r>
      <w:r w:rsidRPr="005021EA">
        <w:rPr>
          <w:rFonts w:cs="Arial"/>
          <w:bCs/>
          <w:lang w:val="en-US"/>
        </w:rPr>
        <w:t xml:space="preserve"> of free transactions</w:t>
      </w:r>
      <w:r>
        <w:rPr>
          <w:rFonts w:cs="Arial"/>
          <w:bCs/>
          <w:lang w:val="en-US"/>
        </w:rPr>
        <w:t>, m</w:t>
      </w:r>
      <w:r w:rsidRPr="00F53B5B">
        <w:rPr>
          <w:rFonts w:cs="Arial"/>
          <w:bCs/>
          <w:lang w:val="en-US"/>
        </w:rPr>
        <w:t xml:space="preserve">any </w:t>
      </w:r>
      <w:r>
        <w:rPr>
          <w:rFonts w:cs="Arial"/>
          <w:bCs/>
          <w:lang w:val="en-US"/>
        </w:rPr>
        <w:t>financial institutions</w:t>
      </w:r>
      <w:r w:rsidRPr="00F53B5B">
        <w:rPr>
          <w:rFonts w:cs="Arial"/>
          <w:bCs/>
          <w:lang w:val="en-US"/>
        </w:rPr>
        <w:t xml:space="preserve"> issue credit cards to their customers </w:t>
      </w:r>
      <w:r>
        <w:rPr>
          <w:rFonts w:cs="Arial"/>
          <w:bCs/>
          <w:lang w:val="en-US"/>
        </w:rPr>
        <w:t xml:space="preserve">for </w:t>
      </w:r>
      <w:r w:rsidRPr="00F53B5B">
        <w:rPr>
          <w:rFonts w:cs="Arial"/>
          <w:bCs/>
          <w:lang w:val="en-US"/>
        </w:rPr>
        <w:t>free</w:t>
      </w:r>
      <w:r>
        <w:rPr>
          <w:rFonts w:cs="Arial"/>
          <w:bCs/>
          <w:lang w:val="en-US"/>
        </w:rPr>
        <w:t>, though</w:t>
      </w:r>
      <w:r w:rsidRPr="00F53B5B">
        <w:rPr>
          <w:rFonts w:cs="Arial"/>
          <w:bCs/>
          <w:lang w:val="en-US"/>
        </w:rPr>
        <w:t xml:space="preserve"> </w:t>
      </w:r>
      <w:r>
        <w:rPr>
          <w:rFonts w:cs="Arial"/>
          <w:bCs/>
          <w:lang w:val="en-US"/>
        </w:rPr>
        <w:t>s</w:t>
      </w:r>
      <w:r w:rsidRPr="00F53B5B">
        <w:rPr>
          <w:rFonts w:cs="Arial"/>
          <w:bCs/>
          <w:lang w:val="en-US"/>
        </w:rPr>
        <w:t xml:space="preserve">ome require a certain amount of </w:t>
      </w:r>
      <w:r>
        <w:rPr>
          <w:rFonts w:cs="Arial"/>
          <w:bCs/>
          <w:lang w:val="en-US"/>
        </w:rPr>
        <w:t>revenue</w:t>
      </w:r>
      <w:r w:rsidRPr="00F53B5B">
        <w:rPr>
          <w:rFonts w:cs="Arial"/>
          <w:bCs/>
          <w:lang w:val="en-US"/>
        </w:rPr>
        <w:t xml:space="preserve"> on the credit card </w:t>
      </w:r>
      <w:r>
        <w:rPr>
          <w:rFonts w:cs="Arial"/>
          <w:bCs/>
          <w:lang w:val="en-US"/>
        </w:rPr>
        <w:t xml:space="preserve">in return. </w:t>
      </w:r>
      <w:r w:rsidRPr="00F53B5B">
        <w:rPr>
          <w:rFonts w:cs="Arial"/>
          <w:bCs/>
          <w:lang w:val="en-US"/>
        </w:rPr>
        <w:t>Others charge an annual fee.</w:t>
      </w:r>
      <w:r>
        <w:rPr>
          <w:rFonts w:cs="Arial"/>
          <w:bCs/>
          <w:lang w:val="en-US"/>
        </w:rPr>
        <w:t xml:space="preserve"> However, s</w:t>
      </w:r>
      <w:r w:rsidRPr="002B3C45">
        <w:rPr>
          <w:rFonts w:cs="Arial"/>
          <w:bCs/>
          <w:lang w:val="en-US"/>
        </w:rPr>
        <w:t xml:space="preserve">pecial regulations apply </w:t>
      </w:r>
      <w:r>
        <w:rPr>
          <w:rFonts w:cs="Arial"/>
          <w:bCs/>
          <w:lang w:val="en-US"/>
        </w:rPr>
        <w:t>within the</w:t>
      </w:r>
      <w:r w:rsidRPr="002B3C45">
        <w:rPr>
          <w:rFonts w:cs="Arial"/>
          <w:bCs/>
          <w:lang w:val="en-US"/>
        </w:rPr>
        <w:t xml:space="preserve"> Europe</w:t>
      </w:r>
      <w:r>
        <w:rPr>
          <w:rFonts w:cs="Arial"/>
          <w:bCs/>
          <w:lang w:val="en-US"/>
        </w:rPr>
        <w:t>an Union. For instance traders and banks in general are not allowed to charge an extra fee, just for paying with a particular card. Indeed, c</w:t>
      </w:r>
      <w:r w:rsidRPr="00BA54C4">
        <w:rPr>
          <w:rFonts w:cs="Arial"/>
          <w:bCs/>
          <w:lang w:val="en-US"/>
        </w:rPr>
        <w:t xml:space="preserve">redit and debit cards issued by three party schemes, and business or corporate credit cards, where </w:t>
      </w:r>
      <w:r>
        <w:rPr>
          <w:rFonts w:cs="Arial"/>
          <w:bCs/>
          <w:lang w:val="en-US"/>
        </w:rPr>
        <w:t>the</w:t>
      </w:r>
      <w:r w:rsidRPr="00BA54C4">
        <w:rPr>
          <w:rFonts w:cs="Arial"/>
          <w:bCs/>
          <w:lang w:val="en-US"/>
        </w:rPr>
        <w:t xml:space="preserve"> employer is billed, are not covered by EU rules on payment services</w:t>
      </w:r>
      <w:r>
        <w:rPr>
          <w:rFonts w:cs="Arial"/>
          <w:bCs/>
          <w:lang w:val="en-US"/>
        </w:rPr>
        <w:t>. Furthermore financial institutions can legitimately charge currency conversion fees for payments using other EU currencies than euros</w:t>
      </w:r>
      <w:r w:rsidR="008A6E00">
        <w:rPr>
          <w:rFonts w:cs="Arial"/>
          <w:bCs/>
          <w:lang w:val="en-US"/>
        </w:rPr>
        <w:t xml:space="preserve"> </w:t>
      </w:r>
      <w:sdt>
        <w:sdtPr>
          <w:rPr>
            <w:rFonts w:cs="Arial"/>
            <w:bCs/>
            <w:lang w:val="en-US"/>
          </w:rPr>
          <w:id w:val="431709754"/>
          <w:citation/>
        </w:sdtPr>
        <w:sdtEndPr/>
        <w:sdtContent>
          <w:r w:rsidR="008A6E00">
            <w:rPr>
              <w:rFonts w:cs="Arial"/>
              <w:bCs/>
              <w:lang w:val="en-US"/>
            </w:rPr>
            <w:fldChar w:fldCharType="begin"/>
          </w:r>
          <w:r w:rsidR="00823728">
            <w:rPr>
              <w:rFonts w:cs="Arial"/>
              <w:bCs/>
              <w:lang w:val="en-US"/>
            </w:rPr>
            <w:instrText xml:space="preserve">CITATION Eur201 \l 3079 </w:instrText>
          </w:r>
          <w:r w:rsidR="008A6E00">
            <w:rPr>
              <w:rFonts w:cs="Arial"/>
              <w:bCs/>
              <w:lang w:val="en-US"/>
            </w:rPr>
            <w:fldChar w:fldCharType="separate"/>
          </w:r>
          <w:r w:rsidR="00823728" w:rsidRPr="00823728">
            <w:rPr>
              <w:rFonts w:cs="Arial"/>
              <w:noProof/>
              <w:lang w:val="en-US"/>
            </w:rPr>
            <w:t>(European Union, 2020)</w:t>
          </w:r>
          <w:r w:rsidR="008A6E00">
            <w:rPr>
              <w:rFonts w:cs="Arial"/>
              <w:bCs/>
              <w:lang w:val="en-US"/>
            </w:rPr>
            <w:fldChar w:fldCharType="end"/>
          </w:r>
        </w:sdtContent>
      </w:sdt>
      <w:r>
        <w:rPr>
          <w:rFonts w:cs="Arial"/>
          <w:bCs/>
          <w:lang w:val="en-US"/>
        </w:rPr>
        <w:t>.</w:t>
      </w:r>
    </w:p>
    <w:p w14:paraId="28B88031" w14:textId="060509EE" w:rsidR="00481202" w:rsidRPr="00EE14E8" w:rsidRDefault="00481202" w:rsidP="004C175D">
      <w:pPr>
        <w:pStyle w:val="berschrift2"/>
        <w:rPr>
          <w:lang w:val="en-US"/>
        </w:rPr>
      </w:pPr>
      <w:bookmarkStart w:id="48" w:name="_Ref40387598"/>
      <w:bookmarkStart w:id="49" w:name="_Toc42077754"/>
      <w:r w:rsidRPr="00EE14E8">
        <w:rPr>
          <w:lang w:val="en-US"/>
        </w:rPr>
        <w:t>European Law Restrictions</w:t>
      </w:r>
      <w:bookmarkEnd w:id="48"/>
      <w:bookmarkEnd w:id="49"/>
    </w:p>
    <w:p w14:paraId="491AA713" w14:textId="78F46D79" w:rsidR="00481202" w:rsidRDefault="00481202" w:rsidP="00481202">
      <w:pPr>
        <w:spacing w:line="360" w:lineRule="auto"/>
        <w:rPr>
          <w:rFonts w:cs="Arial"/>
          <w:bCs/>
          <w:lang w:val="en-US"/>
        </w:rPr>
      </w:pPr>
      <w:r>
        <w:rPr>
          <w:rFonts w:cs="Arial"/>
          <w:bCs/>
          <w:lang w:val="en-US"/>
        </w:rPr>
        <w:t xml:space="preserve">After </w:t>
      </w:r>
      <w:r>
        <w:rPr>
          <w:rFonts w:cs="Arial"/>
          <w:lang w:val="en-US"/>
        </w:rPr>
        <w:t xml:space="preserve">the European dept crisis in 2009, which affected several countries, </w:t>
      </w:r>
      <w:r w:rsidR="005E6488">
        <w:rPr>
          <w:rFonts w:cs="Arial"/>
          <w:lang w:val="en-US"/>
        </w:rPr>
        <w:t>that</w:t>
      </w:r>
      <w:r>
        <w:rPr>
          <w:rFonts w:cs="Arial"/>
          <w:lang w:val="en-US"/>
        </w:rPr>
        <w:t xml:space="preserve"> were part of the eurozone</w:t>
      </w:r>
      <w:r>
        <w:rPr>
          <w:rFonts w:cs="Arial"/>
          <w:bCs/>
          <w:lang w:val="en-US"/>
        </w:rPr>
        <w:t xml:space="preserve">, the EU decided to establish the European Banking Union in 2014. Its purpose was to transfer national </w:t>
      </w:r>
      <w:r w:rsidRPr="00015297">
        <w:rPr>
          <w:rFonts w:cs="Arial"/>
          <w:bCs/>
          <w:lang w:val="en-US"/>
        </w:rPr>
        <w:t>competencies to central institutions</w:t>
      </w:r>
      <w:r>
        <w:rPr>
          <w:rFonts w:cs="Arial"/>
          <w:bCs/>
          <w:lang w:val="en-US"/>
        </w:rPr>
        <w:t xml:space="preserve"> as well as the introduction of </w:t>
      </w:r>
      <w:r w:rsidRPr="00015297">
        <w:rPr>
          <w:rFonts w:cs="Arial"/>
          <w:bCs/>
          <w:lang w:val="en-US"/>
        </w:rPr>
        <w:t>common guidelines</w:t>
      </w:r>
      <w:r>
        <w:rPr>
          <w:rFonts w:cs="Arial"/>
          <w:bCs/>
          <w:lang w:val="en-US"/>
        </w:rPr>
        <w:t xml:space="preserve"> across all Euro states</w:t>
      </w:r>
      <w:r w:rsidR="002D4D3E">
        <w:rPr>
          <w:rFonts w:cs="Arial"/>
          <w:bCs/>
          <w:lang w:val="en-US"/>
        </w:rPr>
        <w:t xml:space="preserve"> </w:t>
      </w:r>
      <w:sdt>
        <w:sdtPr>
          <w:rPr>
            <w:rFonts w:cs="Arial"/>
            <w:bCs/>
            <w:lang w:val="en-US"/>
          </w:rPr>
          <w:id w:val="1304896205"/>
          <w:citation/>
        </w:sdtPr>
        <w:sdtEndPr/>
        <w:sdtContent>
          <w:r w:rsidR="002D4D3E">
            <w:rPr>
              <w:rFonts w:cs="Arial"/>
              <w:bCs/>
              <w:lang w:val="en-US"/>
            </w:rPr>
            <w:fldChar w:fldCharType="begin"/>
          </w:r>
          <w:r w:rsidR="002D4D3E" w:rsidRPr="002D4D3E">
            <w:rPr>
              <w:rFonts w:cs="Arial"/>
              <w:bCs/>
              <w:lang w:val="en-US"/>
            </w:rPr>
            <w:instrText xml:space="preserve"> CITATION Dem14 \l 3079 </w:instrText>
          </w:r>
          <w:r w:rsidR="002D4D3E">
            <w:rPr>
              <w:rFonts w:cs="Arial"/>
              <w:bCs/>
              <w:lang w:val="en-US"/>
            </w:rPr>
            <w:fldChar w:fldCharType="separate"/>
          </w:r>
          <w:r w:rsidR="002D4D3E" w:rsidRPr="002D4D3E">
            <w:rPr>
              <w:rFonts w:cs="Arial"/>
              <w:noProof/>
              <w:lang w:val="en-US"/>
            </w:rPr>
            <w:t>(Demary &amp; Bauer, 2014)</w:t>
          </w:r>
          <w:r w:rsidR="002D4D3E">
            <w:rPr>
              <w:rFonts w:cs="Arial"/>
              <w:bCs/>
              <w:lang w:val="en-US"/>
            </w:rPr>
            <w:fldChar w:fldCharType="end"/>
          </w:r>
        </w:sdtContent>
      </w:sdt>
      <w:r w:rsidR="002D4D3E">
        <w:rPr>
          <w:rFonts w:cs="Arial"/>
          <w:bCs/>
          <w:lang w:val="en-US"/>
        </w:rPr>
        <w:t>.</w:t>
      </w:r>
    </w:p>
    <w:p w14:paraId="1E88647D" w14:textId="77777777" w:rsidR="00481202" w:rsidRDefault="00481202" w:rsidP="00481202">
      <w:pPr>
        <w:spacing w:line="360" w:lineRule="auto"/>
        <w:rPr>
          <w:rFonts w:cs="Arial"/>
          <w:bCs/>
          <w:lang w:val="en-US"/>
        </w:rPr>
      </w:pPr>
      <w:r>
        <w:rPr>
          <w:rFonts w:cs="Arial"/>
          <w:bCs/>
          <w:lang w:val="en-US"/>
        </w:rPr>
        <w:t>Numerous new regulations followed, including several guidelines, respectively directives, regarding banking fee adjustments. The following deals with these directives and describes the impact of the introduction of the Single-Euro-Payments-Area (SEPA) on banking fees.</w:t>
      </w:r>
    </w:p>
    <w:p w14:paraId="7183C80E" w14:textId="0A5A9215" w:rsidR="00481202" w:rsidRDefault="00481202" w:rsidP="004C175D">
      <w:pPr>
        <w:pStyle w:val="berschrift3"/>
        <w:rPr>
          <w:lang w:val="en-US"/>
        </w:rPr>
      </w:pPr>
      <w:bookmarkStart w:id="50" w:name="_Toc42077755"/>
      <w:r>
        <w:rPr>
          <w:lang w:val="en-US"/>
        </w:rPr>
        <w:t>EU Directives</w:t>
      </w:r>
      <w:bookmarkEnd w:id="50"/>
    </w:p>
    <w:p w14:paraId="679EA736" w14:textId="1EC63157" w:rsidR="00481202" w:rsidRDefault="00481202" w:rsidP="00481202">
      <w:pPr>
        <w:spacing w:line="360" w:lineRule="auto"/>
        <w:rPr>
          <w:rFonts w:cs="Arial"/>
          <w:bCs/>
          <w:lang w:val="en-US"/>
        </w:rPr>
      </w:pPr>
      <w:r>
        <w:rPr>
          <w:rFonts w:cs="Arial"/>
          <w:bCs/>
          <w:lang w:val="en-US"/>
        </w:rPr>
        <w:t xml:space="preserve">Since the European Union operates as a supranational regulating authority, usually the European Commission specifies directives, which, in contrast to regulations, do not apply directly. Hence, they have to be converted into national law by the EU member states, </w:t>
      </w:r>
      <w:r w:rsidRPr="00676F06">
        <w:rPr>
          <w:rFonts w:cs="Arial"/>
          <w:bCs/>
          <w:lang w:val="en-US"/>
        </w:rPr>
        <w:t>which leaves a certain amount of leeway</w:t>
      </w:r>
      <w:r>
        <w:rPr>
          <w:rFonts w:cs="Arial"/>
          <w:bCs/>
          <w:lang w:val="en-US"/>
        </w:rPr>
        <w:t xml:space="preserve">. Therefore the exact implementation of these regulations varies across countries, even if the main specifications are the same. </w:t>
      </w:r>
    </w:p>
    <w:p w14:paraId="4C81B2A2" w14:textId="0B84A993" w:rsidR="00481202" w:rsidRDefault="00481202" w:rsidP="00481202">
      <w:pPr>
        <w:spacing w:line="360" w:lineRule="auto"/>
        <w:rPr>
          <w:rFonts w:cs="Arial"/>
          <w:bCs/>
          <w:lang w:val="en-US"/>
        </w:rPr>
      </w:pPr>
      <w:r w:rsidRPr="004F75A3">
        <w:rPr>
          <w:rFonts w:cs="Arial"/>
          <w:bCs/>
          <w:lang w:val="en-US"/>
        </w:rPr>
        <w:lastRenderedPageBreak/>
        <w:t xml:space="preserve">Directive 2014/92/EU </w:t>
      </w:r>
      <w:r>
        <w:rPr>
          <w:rFonts w:cs="Arial"/>
          <w:bCs/>
          <w:lang w:val="en-US"/>
        </w:rPr>
        <w:t xml:space="preserve">of 2014 </w:t>
      </w:r>
      <w:r w:rsidRPr="004F75A3">
        <w:rPr>
          <w:rFonts w:cs="Arial"/>
          <w:bCs/>
          <w:lang w:val="en-US"/>
        </w:rPr>
        <w:t>represents a significant guideline regarding banking fe</w:t>
      </w:r>
      <w:r>
        <w:rPr>
          <w:rFonts w:cs="Arial"/>
          <w:bCs/>
          <w:lang w:val="en-US"/>
        </w:rPr>
        <w:t>es and applies to all states within the European Economic Area. In addition to other consumer protection policies, this directive aims to ensure transparency in dealing with banking fees regarding payment accounts. Financial institutions</w:t>
      </w:r>
      <w:r w:rsidRPr="007F1B49">
        <w:rPr>
          <w:rFonts w:cs="Arial"/>
          <w:bCs/>
          <w:lang w:val="en-US"/>
        </w:rPr>
        <w:t xml:space="preserve"> </w:t>
      </w:r>
      <w:r>
        <w:rPr>
          <w:rFonts w:cs="Arial"/>
          <w:bCs/>
          <w:lang w:val="en-US"/>
        </w:rPr>
        <w:t>are</w:t>
      </w:r>
      <w:r w:rsidRPr="007F1B49">
        <w:rPr>
          <w:rFonts w:cs="Arial"/>
          <w:bCs/>
          <w:lang w:val="en-US"/>
        </w:rPr>
        <w:t xml:space="preserve"> no longer </w:t>
      </w:r>
      <w:r>
        <w:rPr>
          <w:rFonts w:cs="Arial"/>
          <w:bCs/>
          <w:lang w:val="en-US"/>
        </w:rPr>
        <w:t>allowed</w:t>
      </w:r>
      <w:r w:rsidRPr="007F1B49">
        <w:rPr>
          <w:rFonts w:cs="Arial"/>
          <w:bCs/>
          <w:lang w:val="en-US"/>
        </w:rPr>
        <w:t xml:space="preserve"> to charge hidden fees when calculating account costs</w:t>
      </w:r>
      <w:r>
        <w:rPr>
          <w:rFonts w:cs="Arial"/>
          <w:bCs/>
          <w:lang w:val="en-US"/>
        </w:rPr>
        <w:t xml:space="preserve"> and</w:t>
      </w:r>
      <w:r w:rsidRPr="007F1B49">
        <w:rPr>
          <w:rFonts w:cs="Arial"/>
          <w:bCs/>
          <w:lang w:val="en-US"/>
        </w:rPr>
        <w:t xml:space="preserve"> </w:t>
      </w:r>
      <w:r>
        <w:rPr>
          <w:rFonts w:cs="Arial"/>
          <w:bCs/>
          <w:lang w:val="en-US"/>
        </w:rPr>
        <w:t>have to</w:t>
      </w:r>
      <w:r w:rsidRPr="007F1B49">
        <w:rPr>
          <w:rFonts w:cs="Arial"/>
          <w:bCs/>
          <w:lang w:val="en-US"/>
        </w:rPr>
        <w:t xml:space="preserve"> disclose all fees, costs and commissions that </w:t>
      </w:r>
      <w:r>
        <w:rPr>
          <w:rFonts w:cs="Arial"/>
          <w:bCs/>
          <w:lang w:val="en-US"/>
        </w:rPr>
        <w:t>incur</w:t>
      </w:r>
      <w:r w:rsidRPr="007F1B49">
        <w:rPr>
          <w:rFonts w:cs="Arial"/>
          <w:bCs/>
          <w:lang w:val="en-US"/>
        </w:rPr>
        <w:t xml:space="preserve"> for opening, maintaining or closing an account. </w:t>
      </w:r>
      <w:r>
        <w:rPr>
          <w:rFonts w:cs="Arial"/>
          <w:bCs/>
          <w:lang w:val="en-US"/>
        </w:rPr>
        <w:t xml:space="preserve">Furthermore a limit on fees regarding credit card payments was established in 2016, </w:t>
      </w:r>
      <w:r w:rsidRPr="007C4B8C">
        <w:rPr>
          <w:rFonts w:cs="Arial"/>
          <w:bCs/>
          <w:lang w:val="en-US"/>
        </w:rPr>
        <w:t xml:space="preserve">which </w:t>
      </w:r>
      <w:r>
        <w:rPr>
          <w:rFonts w:cs="Arial"/>
          <w:bCs/>
          <w:lang w:val="en-US"/>
        </w:rPr>
        <w:t>was</w:t>
      </w:r>
      <w:r w:rsidRPr="007C4B8C">
        <w:rPr>
          <w:rFonts w:cs="Arial"/>
          <w:bCs/>
          <w:lang w:val="en-US"/>
        </w:rPr>
        <w:t xml:space="preserve"> based on the purchase value</w:t>
      </w:r>
      <w:r>
        <w:rPr>
          <w:rFonts w:cs="Arial"/>
          <w:bCs/>
          <w:lang w:val="en-US"/>
        </w:rPr>
        <w:t xml:space="preserve">. Since 2017 extra charges for credit or electronic cash payments are prohibited. As already mentioned, </w:t>
      </w:r>
      <w:r w:rsidRPr="007C4B8C">
        <w:rPr>
          <w:rFonts w:cs="Arial"/>
          <w:bCs/>
          <w:lang w:val="en-US"/>
        </w:rPr>
        <w:t>traders and banks in general are not allowed to charge an extra fee, just for paying with a particular card</w:t>
      </w:r>
      <w:r>
        <w:rPr>
          <w:rFonts w:cs="Arial"/>
          <w:bCs/>
          <w:lang w:val="en-US"/>
        </w:rPr>
        <w:t xml:space="preserve"> </w:t>
      </w:r>
      <w:sdt>
        <w:sdtPr>
          <w:rPr>
            <w:rFonts w:cs="Arial"/>
            <w:bCs/>
            <w:lang w:val="en-US"/>
          </w:rPr>
          <w:id w:val="795328528"/>
          <w:citation/>
        </w:sdtPr>
        <w:sdtEndPr/>
        <w:sdtContent>
          <w:r w:rsidR="00B2555E">
            <w:rPr>
              <w:rFonts w:cs="Arial"/>
              <w:bCs/>
              <w:lang w:val="en-US"/>
            </w:rPr>
            <w:fldChar w:fldCharType="begin"/>
          </w:r>
          <w:r w:rsidR="00B2555E" w:rsidRPr="00B2555E">
            <w:rPr>
              <w:rFonts w:cs="Arial"/>
              <w:bCs/>
              <w:lang w:val="en-US"/>
            </w:rPr>
            <w:instrText xml:space="preserve"> CITATION Abe20 \l 3079 </w:instrText>
          </w:r>
          <w:r w:rsidR="00B2555E">
            <w:rPr>
              <w:rFonts w:cs="Arial"/>
              <w:bCs/>
              <w:lang w:val="en-US"/>
            </w:rPr>
            <w:fldChar w:fldCharType="separate"/>
          </w:r>
          <w:r w:rsidR="00B2555E" w:rsidRPr="00B2555E">
            <w:rPr>
              <w:rFonts w:cs="Arial"/>
              <w:noProof/>
              <w:lang w:val="en-US"/>
            </w:rPr>
            <w:t>(Abele, 2020)</w:t>
          </w:r>
          <w:r w:rsidR="00B2555E">
            <w:rPr>
              <w:rFonts w:cs="Arial"/>
              <w:bCs/>
              <w:lang w:val="en-US"/>
            </w:rPr>
            <w:fldChar w:fldCharType="end"/>
          </w:r>
        </w:sdtContent>
      </w:sdt>
      <w:r>
        <w:rPr>
          <w:rFonts w:cs="Arial"/>
          <w:bCs/>
          <w:lang w:val="en-US"/>
        </w:rPr>
        <w:t>.</w:t>
      </w:r>
    </w:p>
    <w:p w14:paraId="26AEDFE6" w14:textId="0DC149ED" w:rsidR="00481202" w:rsidRDefault="00481202" w:rsidP="00481202">
      <w:pPr>
        <w:spacing w:line="360" w:lineRule="auto"/>
        <w:rPr>
          <w:rFonts w:cs="Arial"/>
          <w:bCs/>
          <w:lang w:val="en-US"/>
        </w:rPr>
      </w:pPr>
      <w:r>
        <w:rPr>
          <w:rFonts w:cs="Arial"/>
          <w:bCs/>
          <w:lang w:val="en-US"/>
        </w:rPr>
        <w:t xml:space="preserve">Another crucial directive, introduced by the European Commission in 2015, is the Payment Services Directive (EU 2015/2366), respectively PSD2, which aimed to standardize national legislations across member states of the Single-Euro-Payments-Area. In addition customers should be better protected when paying online and cross-border. The Payment Services Directive affects FinTech enterprises as well. For instance, in Germany PayPal, an online-payment service, interdicted merchants </w:t>
      </w:r>
      <w:r w:rsidRPr="00A82CDC">
        <w:rPr>
          <w:rFonts w:cs="Arial"/>
          <w:bCs/>
          <w:lang w:val="en-US"/>
        </w:rPr>
        <w:t>from passing the PayPal fees on to their customers</w:t>
      </w:r>
      <w:r w:rsidR="00AB7C99">
        <w:rPr>
          <w:rFonts w:cs="Arial"/>
          <w:bCs/>
          <w:lang w:val="en-US"/>
        </w:rPr>
        <w:t xml:space="preserve"> </w:t>
      </w:r>
      <w:sdt>
        <w:sdtPr>
          <w:rPr>
            <w:rFonts w:cs="Arial"/>
            <w:bCs/>
            <w:lang w:val="en-US"/>
          </w:rPr>
          <w:id w:val="-44600903"/>
          <w:citation/>
        </w:sdtPr>
        <w:sdtEndPr/>
        <w:sdtContent>
          <w:r w:rsidR="00AB7C99">
            <w:rPr>
              <w:rFonts w:cs="Arial"/>
              <w:bCs/>
              <w:lang w:val="en-US"/>
            </w:rPr>
            <w:fldChar w:fldCharType="begin"/>
          </w:r>
          <w:r w:rsidR="00823728">
            <w:rPr>
              <w:rFonts w:cs="Arial"/>
              <w:bCs/>
              <w:lang w:val="en-US"/>
            </w:rPr>
            <w:instrText xml:space="preserve">CITATION Zah20 \l 3079 </w:instrText>
          </w:r>
          <w:r w:rsidR="00AB7C99">
            <w:rPr>
              <w:rFonts w:cs="Arial"/>
              <w:bCs/>
              <w:lang w:val="en-US"/>
            </w:rPr>
            <w:fldChar w:fldCharType="separate"/>
          </w:r>
          <w:r w:rsidR="00823728" w:rsidRPr="00823728">
            <w:rPr>
              <w:rFonts w:cs="Arial"/>
              <w:noProof/>
              <w:lang w:val="en-US"/>
            </w:rPr>
            <w:t>(Wikipedia Contributors, 2020)</w:t>
          </w:r>
          <w:r w:rsidR="00AB7C99">
            <w:rPr>
              <w:rFonts w:cs="Arial"/>
              <w:bCs/>
              <w:lang w:val="en-US"/>
            </w:rPr>
            <w:fldChar w:fldCharType="end"/>
          </w:r>
        </w:sdtContent>
      </w:sdt>
      <w:r>
        <w:rPr>
          <w:rFonts w:cs="Arial"/>
          <w:bCs/>
          <w:lang w:val="en-US"/>
        </w:rPr>
        <w:t xml:space="preserve">. </w:t>
      </w:r>
    </w:p>
    <w:p w14:paraId="1DD03560" w14:textId="0716CA7A" w:rsidR="00481202" w:rsidRDefault="00481202" w:rsidP="00481202">
      <w:pPr>
        <w:spacing w:line="360" w:lineRule="auto"/>
        <w:rPr>
          <w:rFonts w:cs="Arial"/>
          <w:bCs/>
          <w:lang w:val="en-US"/>
        </w:rPr>
      </w:pPr>
      <w:r>
        <w:rPr>
          <w:rFonts w:cs="Arial"/>
          <w:bCs/>
          <w:lang w:val="en-US"/>
        </w:rPr>
        <w:t>Although PSD2 does not deal with banking fees primarily, its precursor of 2007 eliminated various obstacles regarding the introduction of SEPA</w:t>
      </w:r>
      <w:r w:rsidR="007D7DB8">
        <w:rPr>
          <w:rFonts w:cs="Arial"/>
          <w:bCs/>
          <w:lang w:val="en-US"/>
        </w:rPr>
        <w:t xml:space="preserve"> </w:t>
      </w:r>
      <w:sdt>
        <w:sdtPr>
          <w:rPr>
            <w:rFonts w:cs="Arial"/>
            <w:bCs/>
            <w:lang w:val="en-US"/>
          </w:rPr>
          <w:id w:val="-455789724"/>
          <w:citation/>
        </w:sdtPr>
        <w:sdtEndPr/>
        <w:sdtContent>
          <w:r w:rsidR="007D7DB8">
            <w:rPr>
              <w:rFonts w:cs="Arial"/>
              <w:bCs/>
              <w:lang w:val="en-US"/>
            </w:rPr>
            <w:fldChar w:fldCharType="begin"/>
          </w:r>
          <w:r w:rsidR="00823728">
            <w:rPr>
              <w:rFonts w:cs="Arial"/>
              <w:bCs/>
              <w:lang w:val="en-US"/>
            </w:rPr>
            <w:instrText xml:space="preserve">CITATION Sin20 \l 3079 </w:instrText>
          </w:r>
          <w:r w:rsidR="007D7DB8">
            <w:rPr>
              <w:rFonts w:cs="Arial"/>
              <w:bCs/>
              <w:lang w:val="en-US"/>
            </w:rPr>
            <w:fldChar w:fldCharType="separate"/>
          </w:r>
          <w:r w:rsidR="00823728" w:rsidRPr="00823728">
            <w:rPr>
              <w:rFonts w:cs="Arial"/>
              <w:noProof/>
              <w:lang w:val="en-US"/>
            </w:rPr>
            <w:t>(Wikipedia Contributors, 2020)</w:t>
          </w:r>
          <w:r w:rsidR="007D7DB8">
            <w:rPr>
              <w:rFonts w:cs="Arial"/>
              <w:bCs/>
              <w:lang w:val="en-US"/>
            </w:rPr>
            <w:fldChar w:fldCharType="end"/>
          </w:r>
        </w:sdtContent>
      </w:sdt>
      <w:r>
        <w:rPr>
          <w:rFonts w:cs="Arial"/>
          <w:bCs/>
          <w:lang w:val="en-US"/>
        </w:rPr>
        <w:t>.</w:t>
      </w:r>
    </w:p>
    <w:p w14:paraId="579C6DE7" w14:textId="7C56EE69" w:rsidR="00481202" w:rsidRDefault="00481202" w:rsidP="008F1F93">
      <w:pPr>
        <w:pStyle w:val="berschrift3"/>
        <w:rPr>
          <w:lang w:val="en-US"/>
        </w:rPr>
      </w:pPr>
      <w:bookmarkStart w:id="51" w:name="_Toc42077756"/>
      <w:bookmarkStart w:id="52" w:name="_Hlk37757847"/>
      <w:r>
        <w:rPr>
          <w:lang w:val="en-US"/>
        </w:rPr>
        <w:t>Single-Euro-Payments-Area (SEPA)</w:t>
      </w:r>
      <w:bookmarkEnd w:id="51"/>
    </w:p>
    <w:p w14:paraId="230315A1" w14:textId="3980E5BD" w:rsidR="00481202" w:rsidRDefault="00481202" w:rsidP="00842F5F">
      <w:pPr>
        <w:spacing w:line="360" w:lineRule="auto"/>
        <w:rPr>
          <w:rFonts w:cs="Arial"/>
          <w:bCs/>
          <w:lang w:val="en-US"/>
        </w:rPr>
      </w:pPr>
      <w:r>
        <w:rPr>
          <w:rFonts w:cs="Arial"/>
          <w:bCs/>
          <w:lang w:val="en-US"/>
        </w:rPr>
        <w:t xml:space="preserve">SEPA </w:t>
      </w:r>
      <w:r w:rsidRPr="00723B76">
        <w:rPr>
          <w:rFonts w:cs="Arial"/>
          <w:bCs/>
          <w:lang w:val="en-US"/>
        </w:rPr>
        <w:t>is a payment-integration initiative of the European Union</w:t>
      </w:r>
      <w:r>
        <w:rPr>
          <w:rFonts w:cs="Arial"/>
          <w:bCs/>
          <w:lang w:val="en-US"/>
        </w:rPr>
        <w:t xml:space="preserve"> </w:t>
      </w:r>
      <w:sdt>
        <w:sdtPr>
          <w:rPr>
            <w:rFonts w:cs="Arial"/>
            <w:bCs/>
            <w:lang w:val="en-US"/>
          </w:rPr>
          <w:id w:val="1044247387"/>
          <w:citation/>
        </w:sdtPr>
        <w:sdtEndPr/>
        <w:sdtContent>
          <w:r w:rsidR="00FF0E33">
            <w:rPr>
              <w:rFonts w:cs="Arial"/>
              <w:bCs/>
              <w:lang w:val="en-US"/>
            </w:rPr>
            <w:fldChar w:fldCharType="begin"/>
          </w:r>
          <w:r w:rsidR="00823728">
            <w:rPr>
              <w:rFonts w:cs="Arial"/>
              <w:bCs/>
              <w:lang w:val="en-US"/>
            </w:rPr>
            <w:instrText xml:space="preserve">CITATION Sin20 \l 3079 </w:instrText>
          </w:r>
          <w:r w:rsidR="00FF0E33">
            <w:rPr>
              <w:rFonts w:cs="Arial"/>
              <w:bCs/>
              <w:lang w:val="en-US"/>
            </w:rPr>
            <w:fldChar w:fldCharType="separate"/>
          </w:r>
          <w:r w:rsidR="00823728" w:rsidRPr="00823728">
            <w:rPr>
              <w:rFonts w:cs="Arial"/>
              <w:noProof/>
              <w:lang w:val="en-US"/>
            </w:rPr>
            <w:t>(Wikipedia Contributors, 2020)</w:t>
          </w:r>
          <w:r w:rsidR="00FF0E33">
            <w:rPr>
              <w:rFonts w:cs="Arial"/>
              <w:bCs/>
              <w:lang w:val="en-US"/>
            </w:rPr>
            <w:fldChar w:fldCharType="end"/>
          </w:r>
        </w:sdtContent>
      </w:sdt>
      <w:r>
        <w:rPr>
          <w:rFonts w:cs="Arial"/>
          <w:bCs/>
          <w:lang w:val="en-US"/>
        </w:rPr>
        <w:t xml:space="preserve"> aiming for harmonization and standardization of noncash monetary transactions within the EU and beyond. This involves the abolishment of differences in electronic payment services and hence, regulations regarding banking fees. In 2008 </w:t>
      </w:r>
      <w:r w:rsidRPr="00051976">
        <w:rPr>
          <w:rFonts w:cs="Arial"/>
          <w:bCs/>
          <w:lang w:val="en-US"/>
        </w:rPr>
        <w:t>pan-European payment instruments bec</w:t>
      </w:r>
      <w:r>
        <w:rPr>
          <w:rFonts w:cs="Arial"/>
          <w:bCs/>
          <w:lang w:val="en-US"/>
        </w:rPr>
        <w:t>a</w:t>
      </w:r>
      <w:r w:rsidRPr="00051976">
        <w:rPr>
          <w:rFonts w:cs="Arial"/>
          <w:bCs/>
          <w:lang w:val="en-US"/>
        </w:rPr>
        <w:t>me operational</w:t>
      </w:r>
      <w:r>
        <w:rPr>
          <w:rFonts w:cs="Arial"/>
          <w:bCs/>
          <w:lang w:val="en-US"/>
        </w:rPr>
        <w:t xml:space="preserve"> and in 2014 the migration of SEPA payments in all Eurozone countries was completed. Currently, in 2020, SEPA consists of 36 member states, including all 27 EU member states, the four EFTA states, the United Kingdom and several ministates</w:t>
      </w:r>
      <w:r w:rsidR="00231482">
        <w:rPr>
          <w:rFonts w:cs="Arial"/>
          <w:bCs/>
          <w:lang w:val="en-US"/>
        </w:rPr>
        <w:t xml:space="preserve"> </w:t>
      </w:r>
      <w:sdt>
        <w:sdtPr>
          <w:rPr>
            <w:rFonts w:cs="Arial"/>
            <w:bCs/>
            <w:lang w:val="en-US"/>
          </w:rPr>
          <w:id w:val="1930458235"/>
          <w:citation/>
        </w:sdtPr>
        <w:sdtEndPr/>
        <w:sdtContent>
          <w:r w:rsidR="00231482">
            <w:rPr>
              <w:rFonts w:cs="Arial"/>
              <w:bCs/>
              <w:lang w:val="en-US"/>
            </w:rPr>
            <w:fldChar w:fldCharType="begin"/>
          </w:r>
          <w:r w:rsidR="00823728">
            <w:rPr>
              <w:rFonts w:cs="Arial"/>
              <w:bCs/>
              <w:lang w:val="en-US"/>
            </w:rPr>
            <w:instrText xml:space="preserve">CITATION Sin20 \l 3079 </w:instrText>
          </w:r>
          <w:r w:rsidR="00231482">
            <w:rPr>
              <w:rFonts w:cs="Arial"/>
              <w:bCs/>
              <w:lang w:val="en-US"/>
            </w:rPr>
            <w:fldChar w:fldCharType="separate"/>
          </w:r>
          <w:r w:rsidR="00823728" w:rsidRPr="00823728">
            <w:rPr>
              <w:rFonts w:cs="Arial"/>
              <w:noProof/>
              <w:lang w:val="en-US"/>
            </w:rPr>
            <w:t>(Wikipedia Contributors, 2020)</w:t>
          </w:r>
          <w:r w:rsidR="00231482">
            <w:rPr>
              <w:rFonts w:cs="Arial"/>
              <w:bCs/>
              <w:lang w:val="en-US"/>
            </w:rPr>
            <w:fldChar w:fldCharType="end"/>
          </w:r>
        </w:sdtContent>
      </w:sdt>
      <w:r>
        <w:rPr>
          <w:rFonts w:cs="Arial"/>
          <w:bCs/>
          <w:lang w:val="en-US"/>
        </w:rPr>
        <w:t>.</w:t>
      </w:r>
    </w:p>
    <w:p w14:paraId="48618D64" w14:textId="637AB282" w:rsidR="00481202" w:rsidRDefault="00481202" w:rsidP="00481202">
      <w:pPr>
        <w:spacing w:line="360" w:lineRule="auto"/>
        <w:rPr>
          <w:rFonts w:cs="Arial"/>
          <w:bCs/>
          <w:lang w:val="en-US"/>
        </w:rPr>
      </w:pPr>
      <w:r>
        <w:rPr>
          <w:rFonts w:cs="Arial"/>
          <w:bCs/>
          <w:lang w:val="en-US"/>
        </w:rPr>
        <w:t>Since 2009, charges for cross-border euro-transfers and direct debits within the European Economic Area (EEA) have to be equal. In addition the following regulations apply within the EEA:</w:t>
      </w:r>
    </w:p>
    <w:p w14:paraId="617A0F3E" w14:textId="17196B77" w:rsidR="00481202" w:rsidRDefault="00481202" w:rsidP="00481202">
      <w:pPr>
        <w:spacing w:line="360" w:lineRule="auto"/>
        <w:ind w:left="567" w:right="567"/>
        <w:rPr>
          <w:rFonts w:cs="Arial"/>
          <w:bCs/>
          <w:lang w:val="en-US"/>
        </w:rPr>
      </w:pPr>
      <w:r w:rsidRPr="009F6238">
        <w:rPr>
          <w:rFonts w:cs="Arial"/>
          <w:bCs/>
          <w:lang w:val="en-US"/>
        </w:rPr>
        <w:t>Banks and payment institutions still have the option of charging a credit-transfer fee of their choice for euro transfers if it is charged uniformly to all EEA participants, banks or payment institutions, domestic or foreign</w:t>
      </w:r>
      <w:r>
        <w:rPr>
          <w:rFonts w:cs="Arial"/>
          <w:bCs/>
          <w:lang w:val="en-US"/>
        </w:rPr>
        <w:t>.</w:t>
      </w:r>
      <w:r w:rsidRPr="009F6238">
        <w:rPr>
          <w:rFonts w:cs="Arial"/>
          <w:bCs/>
          <w:lang w:val="en-US"/>
        </w:rPr>
        <w:t xml:space="preserve"> This is relevant for countries </w:t>
      </w:r>
      <w:r w:rsidRPr="009F6238">
        <w:rPr>
          <w:rFonts w:cs="Arial"/>
          <w:bCs/>
          <w:lang w:val="en-US"/>
        </w:rPr>
        <w:lastRenderedPageBreak/>
        <w:t>which do not use the euro</w:t>
      </w:r>
      <w:r>
        <w:rPr>
          <w:rFonts w:cs="Arial"/>
          <w:bCs/>
          <w:lang w:val="en-US"/>
        </w:rPr>
        <w:t>.</w:t>
      </w:r>
      <w:r w:rsidRPr="009F6238">
        <w:rPr>
          <w:rFonts w:cs="Arial"/>
          <w:bCs/>
          <w:lang w:val="en-US"/>
        </w:rPr>
        <w:t xml:space="preserve"> </w:t>
      </w:r>
      <w:r>
        <w:rPr>
          <w:rFonts w:cs="Arial"/>
          <w:bCs/>
          <w:lang w:val="en-US"/>
        </w:rPr>
        <w:t>D</w:t>
      </w:r>
      <w:r w:rsidRPr="009F6238">
        <w:rPr>
          <w:rFonts w:cs="Arial"/>
          <w:bCs/>
          <w:lang w:val="en-US"/>
        </w:rPr>
        <w:t>omestic transfers in euros by consumers are uncommon</w:t>
      </w:r>
      <w:r>
        <w:rPr>
          <w:rFonts w:cs="Arial"/>
          <w:bCs/>
          <w:lang w:val="en-US"/>
        </w:rPr>
        <w:t xml:space="preserve"> </w:t>
      </w:r>
      <w:r w:rsidRPr="009F6238">
        <w:rPr>
          <w:rFonts w:cs="Arial"/>
          <w:bCs/>
          <w:lang w:val="en-US"/>
        </w:rPr>
        <w:t>and inflated fees might be charged</w:t>
      </w:r>
      <w:r w:rsidR="00B94D0F">
        <w:rPr>
          <w:rFonts w:cs="Arial"/>
          <w:bCs/>
          <w:lang w:val="en-US"/>
        </w:rPr>
        <w:t xml:space="preserve">. </w:t>
      </w:r>
      <w:sdt>
        <w:sdtPr>
          <w:rPr>
            <w:rFonts w:cs="Arial"/>
            <w:bCs/>
            <w:lang w:val="en-US"/>
          </w:rPr>
          <w:id w:val="-486397120"/>
          <w:citation/>
        </w:sdtPr>
        <w:sdtEndPr/>
        <w:sdtContent>
          <w:r w:rsidR="00B94D0F">
            <w:rPr>
              <w:rFonts w:cs="Arial"/>
              <w:bCs/>
              <w:lang w:val="en-US"/>
            </w:rPr>
            <w:fldChar w:fldCharType="begin"/>
          </w:r>
          <w:r w:rsidR="00823728">
            <w:rPr>
              <w:rFonts w:cs="Arial"/>
              <w:bCs/>
              <w:lang w:val="en-US"/>
            </w:rPr>
            <w:instrText xml:space="preserve">CITATION Sin20 \l 3079 </w:instrText>
          </w:r>
          <w:r w:rsidR="00B94D0F">
            <w:rPr>
              <w:rFonts w:cs="Arial"/>
              <w:bCs/>
              <w:lang w:val="en-US"/>
            </w:rPr>
            <w:fldChar w:fldCharType="separate"/>
          </w:r>
          <w:r w:rsidR="00823728" w:rsidRPr="00823728">
            <w:rPr>
              <w:rFonts w:cs="Arial"/>
              <w:noProof/>
              <w:lang w:val="en-US"/>
            </w:rPr>
            <w:t>(Wikipedia Contributors, 2020)</w:t>
          </w:r>
          <w:r w:rsidR="00B94D0F">
            <w:rPr>
              <w:rFonts w:cs="Arial"/>
              <w:bCs/>
              <w:lang w:val="en-US"/>
            </w:rPr>
            <w:fldChar w:fldCharType="end"/>
          </w:r>
        </w:sdtContent>
      </w:sdt>
    </w:p>
    <w:p w14:paraId="22A7962A" w14:textId="74DE1461" w:rsidR="00481202" w:rsidRDefault="00481202" w:rsidP="00481202">
      <w:pPr>
        <w:spacing w:line="360" w:lineRule="auto"/>
        <w:rPr>
          <w:rFonts w:cs="Arial"/>
          <w:bCs/>
          <w:lang w:val="en-US"/>
        </w:rPr>
      </w:pPr>
      <w:r>
        <w:rPr>
          <w:rFonts w:cs="Arial"/>
          <w:bCs/>
          <w:lang w:val="en-US"/>
        </w:rPr>
        <w:t xml:space="preserve">Regulation 2015/751 caps interchange fees at 0.2% of the transaction value </w:t>
      </w:r>
      <w:r w:rsidRPr="00393A39">
        <w:rPr>
          <w:rFonts w:cs="Arial"/>
          <w:bCs/>
          <w:lang w:val="en-US"/>
        </w:rPr>
        <w:t>for consumer debit cards and at 0.3% for consumer credit cards</w:t>
      </w:r>
      <w:r>
        <w:rPr>
          <w:rFonts w:cs="Arial"/>
          <w:bCs/>
          <w:lang w:val="en-US"/>
        </w:rPr>
        <w:t xml:space="preserve"> </w:t>
      </w:r>
      <w:sdt>
        <w:sdtPr>
          <w:rPr>
            <w:rFonts w:cs="Arial"/>
            <w:bCs/>
            <w:lang w:val="en-US"/>
          </w:rPr>
          <w:id w:val="487064012"/>
          <w:citation/>
        </w:sdtPr>
        <w:sdtEndPr/>
        <w:sdtContent>
          <w:r w:rsidR="00A05B09">
            <w:rPr>
              <w:rFonts w:cs="Arial"/>
              <w:bCs/>
              <w:lang w:val="en-US"/>
            </w:rPr>
            <w:fldChar w:fldCharType="begin"/>
          </w:r>
          <w:r w:rsidR="00A05B09" w:rsidRPr="00A05B09">
            <w:rPr>
              <w:rFonts w:cs="Arial"/>
              <w:bCs/>
              <w:lang w:val="en-US"/>
            </w:rPr>
            <w:instrText xml:space="preserve"> CITATION EUR18 \l 3079 </w:instrText>
          </w:r>
          <w:r w:rsidR="00A05B09">
            <w:rPr>
              <w:rFonts w:cs="Arial"/>
              <w:bCs/>
              <w:lang w:val="en-US"/>
            </w:rPr>
            <w:fldChar w:fldCharType="separate"/>
          </w:r>
          <w:r w:rsidR="00A05B09" w:rsidRPr="00A05B09">
            <w:rPr>
              <w:rFonts w:cs="Arial"/>
              <w:noProof/>
              <w:lang w:val="en-US"/>
            </w:rPr>
            <w:t>(EUR-Lex, 2018)</w:t>
          </w:r>
          <w:r w:rsidR="00A05B09">
            <w:rPr>
              <w:rFonts w:cs="Arial"/>
              <w:bCs/>
              <w:lang w:val="en-US"/>
            </w:rPr>
            <w:fldChar w:fldCharType="end"/>
          </w:r>
        </w:sdtContent>
      </w:sdt>
      <w:r>
        <w:rPr>
          <w:rFonts w:cs="Arial"/>
          <w:bCs/>
          <w:lang w:val="en-US"/>
        </w:rPr>
        <w:t xml:space="preserve">. Furthermore </w:t>
      </w:r>
      <w:r w:rsidR="00352599" w:rsidRPr="00352599">
        <w:rPr>
          <w:rFonts w:cs="Arial"/>
          <w:bCs/>
          <w:lang w:val="en-US"/>
        </w:rPr>
        <w:t>Regulation 260/2012</w:t>
      </w:r>
      <w:r w:rsidR="00352599">
        <w:rPr>
          <w:rFonts w:cs="Arial"/>
          <w:bCs/>
          <w:lang w:val="en-US"/>
        </w:rPr>
        <w:t xml:space="preserve"> </w:t>
      </w:r>
      <w:r>
        <w:rPr>
          <w:rFonts w:cs="Arial"/>
          <w:bCs/>
          <w:lang w:val="en-US"/>
        </w:rPr>
        <w:t>declares multilateral interchange fees as prohibited</w:t>
      </w:r>
      <w:r w:rsidR="00D114E9">
        <w:rPr>
          <w:rFonts w:cs="Arial"/>
          <w:bCs/>
          <w:lang w:val="en-US"/>
        </w:rPr>
        <w:t xml:space="preserve"> </w:t>
      </w:r>
      <w:sdt>
        <w:sdtPr>
          <w:rPr>
            <w:rFonts w:cs="Arial"/>
            <w:bCs/>
            <w:lang w:val="en-US"/>
          </w:rPr>
          <w:id w:val="1646770419"/>
          <w:citation/>
        </w:sdtPr>
        <w:sdtEndPr/>
        <w:sdtContent>
          <w:r w:rsidR="00D114E9">
            <w:rPr>
              <w:rFonts w:cs="Arial"/>
              <w:bCs/>
              <w:lang w:val="en-US"/>
            </w:rPr>
            <w:fldChar w:fldCharType="begin"/>
          </w:r>
          <w:r w:rsidR="00D114E9" w:rsidRPr="00D114E9">
            <w:rPr>
              <w:rFonts w:cs="Arial"/>
              <w:bCs/>
              <w:lang w:val="en-US"/>
            </w:rPr>
            <w:instrText xml:space="preserve"> CITATION EUR19 \l 3079 </w:instrText>
          </w:r>
          <w:r w:rsidR="00D114E9">
            <w:rPr>
              <w:rFonts w:cs="Arial"/>
              <w:bCs/>
              <w:lang w:val="en-US"/>
            </w:rPr>
            <w:fldChar w:fldCharType="separate"/>
          </w:r>
          <w:r w:rsidR="00D114E9" w:rsidRPr="00D114E9">
            <w:rPr>
              <w:rFonts w:cs="Arial"/>
              <w:noProof/>
              <w:lang w:val="en-US"/>
            </w:rPr>
            <w:t>(EUR-Lex, 2019)</w:t>
          </w:r>
          <w:r w:rsidR="00D114E9">
            <w:rPr>
              <w:rFonts w:cs="Arial"/>
              <w:bCs/>
              <w:lang w:val="en-US"/>
            </w:rPr>
            <w:fldChar w:fldCharType="end"/>
          </w:r>
        </w:sdtContent>
      </w:sdt>
      <w:r>
        <w:rPr>
          <w:rFonts w:cs="Arial"/>
          <w:bCs/>
          <w:lang w:val="en-US"/>
        </w:rPr>
        <w:t>.</w:t>
      </w:r>
    </w:p>
    <w:p w14:paraId="12389E88" w14:textId="04593F16" w:rsidR="00481202" w:rsidRDefault="00481202" w:rsidP="00481202">
      <w:pPr>
        <w:spacing w:line="360" w:lineRule="auto"/>
        <w:rPr>
          <w:rFonts w:cs="Arial"/>
          <w:bCs/>
          <w:lang w:val="en-US"/>
        </w:rPr>
      </w:pPr>
      <w:r>
        <w:rPr>
          <w:rFonts w:cs="Arial"/>
          <w:bCs/>
          <w:lang w:val="en-US"/>
        </w:rPr>
        <w:t xml:space="preserve">Besides arrangements regarding transparency, </w:t>
      </w:r>
      <w:r w:rsidRPr="009F6238">
        <w:rPr>
          <w:rFonts w:cs="Arial"/>
          <w:bCs/>
          <w:lang w:val="en-US"/>
        </w:rPr>
        <w:t>charges for currency conversion</w:t>
      </w:r>
      <w:r>
        <w:rPr>
          <w:rFonts w:cs="Arial"/>
          <w:bCs/>
          <w:lang w:val="en-US"/>
        </w:rPr>
        <w:t xml:space="preserve"> and maintenance fees in general are not regulated.</w:t>
      </w:r>
    </w:p>
    <w:p w14:paraId="21266FA5" w14:textId="742CCC9C" w:rsidR="00481202" w:rsidRDefault="00481202" w:rsidP="00A85314">
      <w:pPr>
        <w:pStyle w:val="berschrift2"/>
        <w:rPr>
          <w:lang w:val="en-US"/>
        </w:rPr>
      </w:pPr>
      <w:bookmarkStart w:id="53" w:name="_Ref40387323"/>
      <w:bookmarkStart w:id="54" w:name="_Toc42077757"/>
      <w:r>
        <w:rPr>
          <w:lang w:val="en-US"/>
        </w:rPr>
        <w:t>Comparison of EU Member States</w:t>
      </w:r>
      <w:bookmarkEnd w:id="53"/>
      <w:bookmarkEnd w:id="54"/>
    </w:p>
    <w:p w14:paraId="5A95D52C" w14:textId="554AE99D" w:rsidR="00481202" w:rsidRDefault="00481202" w:rsidP="00481202">
      <w:pPr>
        <w:spacing w:line="360" w:lineRule="auto"/>
        <w:rPr>
          <w:rFonts w:cs="Arial"/>
          <w:bCs/>
          <w:lang w:val="en-US"/>
        </w:rPr>
      </w:pPr>
      <w:r>
        <w:rPr>
          <w:rFonts w:cs="Arial"/>
          <w:bCs/>
          <w:lang w:val="en-US"/>
        </w:rPr>
        <w:t xml:space="preserve">This chapter deals with the banking industry in four EU member states, focusing in particular on the recent developments of banking fees. </w:t>
      </w:r>
      <w:r w:rsidRPr="00B00156">
        <w:rPr>
          <w:rFonts w:cs="Arial"/>
          <w:bCs/>
          <w:lang w:val="en-US"/>
        </w:rPr>
        <w:t xml:space="preserve">The selection </w:t>
      </w:r>
      <w:r>
        <w:rPr>
          <w:rFonts w:cs="Arial"/>
          <w:bCs/>
          <w:lang w:val="en-US"/>
        </w:rPr>
        <w:t xml:space="preserve">of relevant countries </w:t>
      </w:r>
      <w:r w:rsidRPr="00B00156">
        <w:rPr>
          <w:rFonts w:cs="Arial"/>
          <w:bCs/>
          <w:lang w:val="en-US"/>
        </w:rPr>
        <w:t>is based on statistics published by the European Commission in 2009</w:t>
      </w:r>
      <w:r w:rsidR="00F63695">
        <w:rPr>
          <w:rFonts w:cs="Arial"/>
          <w:bCs/>
          <w:lang w:val="en-US"/>
        </w:rPr>
        <w:t>.</w:t>
      </w:r>
      <w:r>
        <w:rPr>
          <w:rFonts w:cs="Arial"/>
          <w:bCs/>
          <w:lang w:val="en-US"/>
        </w:rPr>
        <w:t xml:space="preserve"> </w:t>
      </w:r>
    </w:p>
    <w:p w14:paraId="4B66DDA3" w14:textId="77777777" w:rsidR="007B7006" w:rsidRDefault="00481202" w:rsidP="007B7006">
      <w:pPr>
        <w:keepNext/>
        <w:spacing w:line="360" w:lineRule="auto"/>
      </w:pPr>
      <w:r>
        <w:rPr>
          <w:rFonts w:cs="Arial"/>
          <w:bCs/>
          <w:noProof/>
          <w:lang w:val="en-US"/>
        </w:rPr>
        <w:drawing>
          <wp:inline distT="0" distB="0" distL="0" distR="0" wp14:anchorId="64202D98" wp14:editId="16CF8308">
            <wp:extent cx="5486400" cy="3200400"/>
            <wp:effectExtent l="0" t="0" r="0" b="0"/>
            <wp:docPr id="5" name="Diagram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11FD6B8" w14:textId="23E40861" w:rsidR="00481202" w:rsidRPr="007B7006" w:rsidRDefault="007B7006" w:rsidP="007B7006">
      <w:pPr>
        <w:pStyle w:val="Beschriftung"/>
        <w:jc w:val="center"/>
        <w:rPr>
          <w:rFonts w:cs="Arial"/>
          <w:bCs/>
          <w:color w:val="auto"/>
          <w:lang w:val="en-US"/>
        </w:rPr>
      </w:pPr>
      <w:bookmarkStart w:id="55" w:name="_Ref40388031"/>
      <w:bookmarkStart w:id="56" w:name="_Toc39006161"/>
      <w:bookmarkStart w:id="57" w:name="_Toc42077596"/>
      <w:r w:rsidRPr="007B7006">
        <w:rPr>
          <w:color w:val="auto"/>
          <w:lang w:val="en-US"/>
        </w:rPr>
        <w:t xml:space="preserve">Figure </w:t>
      </w:r>
      <w:r w:rsidRPr="007B7006">
        <w:rPr>
          <w:color w:val="auto"/>
        </w:rPr>
        <w:fldChar w:fldCharType="begin"/>
      </w:r>
      <w:r w:rsidRPr="007B7006">
        <w:rPr>
          <w:color w:val="auto"/>
          <w:lang w:val="en-US"/>
        </w:rPr>
        <w:instrText xml:space="preserve"> SEQ Figure \* ARABIC </w:instrText>
      </w:r>
      <w:r w:rsidRPr="007B7006">
        <w:rPr>
          <w:color w:val="auto"/>
        </w:rPr>
        <w:fldChar w:fldCharType="separate"/>
      </w:r>
      <w:r w:rsidR="00B75C93">
        <w:rPr>
          <w:noProof/>
          <w:color w:val="auto"/>
          <w:lang w:val="en-US"/>
        </w:rPr>
        <w:t>5</w:t>
      </w:r>
      <w:r w:rsidRPr="007B7006">
        <w:rPr>
          <w:color w:val="auto"/>
        </w:rPr>
        <w:fldChar w:fldCharType="end"/>
      </w:r>
      <w:bookmarkEnd w:id="55"/>
      <w:r w:rsidRPr="007B7006">
        <w:rPr>
          <w:color w:val="auto"/>
          <w:lang w:val="en-US"/>
        </w:rPr>
        <w:t xml:space="preserve">: Annual Banking Fees In Europe In Euros </w:t>
      </w:r>
      <w:sdt>
        <w:sdtPr>
          <w:rPr>
            <w:color w:val="auto"/>
            <w:lang w:val="en-US"/>
          </w:rPr>
          <w:id w:val="1516651085"/>
          <w:citation/>
        </w:sdtPr>
        <w:sdtEndPr/>
        <w:sdtContent>
          <w:r w:rsidRPr="007B7006">
            <w:rPr>
              <w:color w:val="auto"/>
              <w:lang w:val="en-US"/>
            </w:rPr>
            <w:fldChar w:fldCharType="begin"/>
          </w:r>
          <w:r w:rsidRPr="007B7006">
            <w:rPr>
              <w:color w:val="auto"/>
              <w:lang w:val="en-US"/>
            </w:rPr>
            <w:instrText xml:space="preserve"> CITATION Sta09 \l 3079 </w:instrText>
          </w:r>
          <w:r w:rsidRPr="007B7006">
            <w:rPr>
              <w:color w:val="auto"/>
              <w:lang w:val="en-US"/>
            </w:rPr>
            <w:fldChar w:fldCharType="separate"/>
          </w:r>
          <w:r w:rsidRPr="007B7006">
            <w:rPr>
              <w:noProof/>
              <w:color w:val="auto"/>
              <w:lang w:val="en-US"/>
            </w:rPr>
            <w:t>(Statista Research Department, 2009)</w:t>
          </w:r>
          <w:r w:rsidRPr="007B7006">
            <w:rPr>
              <w:color w:val="auto"/>
              <w:lang w:val="en-US"/>
            </w:rPr>
            <w:fldChar w:fldCharType="end"/>
          </w:r>
        </w:sdtContent>
      </w:sdt>
      <w:bookmarkEnd w:id="56"/>
      <w:bookmarkEnd w:id="57"/>
    </w:p>
    <w:p w14:paraId="13F76F3E" w14:textId="77777777" w:rsidR="003D7932" w:rsidRDefault="00481202" w:rsidP="00481202">
      <w:pPr>
        <w:spacing w:line="360" w:lineRule="auto"/>
        <w:rPr>
          <w:rFonts w:cs="Arial"/>
          <w:bCs/>
          <w:lang w:val="en-US"/>
        </w:rPr>
      </w:pPr>
      <w:r w:rsidRPr="00B00156">
        <w:rPr>
          <w:rFonts w:cs="Arial"/>
          <w:bCs/>
          <w:lang w:val="en-US"/>
        </w:rPr>
        <w:t xml:space="preserve">Furthermore, </w:t>
      </w:r>
      <w:r>
        <w:rPr>
          <w:rFonts w:cs="Arial"/>
          <w:bCs/>
          <w:lang w:val="en-US"/>
        </w:rPr>
        <w:t>it was crucial, to</w:t>
      </w:r>
      <w:r w:rsidRPr="00B00156">
        <w:rPr>
          <w:rFonts w:cs="Arial"/>
          <w:bCs/>
          <w:lang w:val="en-US"/>
        </w:rPr>
        <w:t xml:space="preserve"> ensure that all countries have the </w:t>
      </w:r>
      <w:r>
        <w:rPr>
          <w:rFonts w:cs="Arial"/>
          <w:bCs/>
          <w:lang w:val="en-US"/>
        </w:rPr>
        <w:t>E</w:t>
      </w:r>
      <w:r w:rsidRPr="00B00156">
        <w:rPr>
          <w:rFonts w:cs="Arial"/>
          <w:bCs/>
          <w:lang w:val="en-US"/>
        </w:rPr>
        <w:t>uro as their currency</w:t>
      </w:r>
      <w:r>
        <w:rPr>
          <w:rFonts w:cs="Arial"/>
          <w:bCs/>
          <w:lang w:val="en-US"/>
        </w:rPr>
        <w:t xml:space="preserve">, which facilitated comparisons regarding key interest rates. Hence, the consideration of currency exchange rates and varying regulation standards was not necessary. Another crucial requirement </w:t>
      </w:r>
      <w:r w:rsidRPr="003B4A39">
        <w:rPr>
          <w:rFonts w:cs="Arial"/>
          <w:bCs/>
          <w:lang w:val="en-US"/>
        </w:rPr>
        <w:t>was comparability based on GDP per capita</w:t>
      </w:r>
      <w:r>
        <w:rPr>
          <w:rFonts w:cs="Arial"/>
          <w:bCs/>
          <w:lang w:val="en-US"/>
        </w:rPr>
        <w:t xml:space="preserve">, </w:t>
      </w:r>
      <w:bookmarkEnd w:id="52"/>
      <w:r>
        <w:rPr>
          <w:rFonts w:cs="Arial"/>
          <w:bCs/>
          <w:lang w:val="en-US"/>
        </w:rPr>
        <w:t>so significant economic differences could be excluded. However, in addition to Austria, Germany and the Netherlands, Italy was selected as well, despite the fact, that Italy’s GDP per capita is below the EU average. Nevertheless, Italian banking institutions relatively charge tremendously high fees and therefore are covered as well.</w:t>
      </w:r>
    </w:p>
    <w:p w14:paraId="065492B6" w14:textId="283DF1E5" w:rsidR="00392501" w:rsidRPr="00392501" w:rsidRDefault="00481202" w:rsidP="00392501">
      <w:pPr>
        <w:spacing w:line="360" w:lineRule="auto"/>
        <w:rPr>
          <w:rFonts w:cs="Arial"/>
          <w:bCs/>
          <w:lang w:val="en-US"/>
        </w:rPr>
      </w:pPr>
      <w:r w:rsidRPr="0008265B">
        <w:rPr>
          <w:rFonts w:cs="Arial"/>
          <w:bCs/>
          <w:lang w:val="en-US"/>
        </w:rPr>
        <w:lastRenderedPageBreak/>
        <w:t>The following table compares the analyzed countries based on economic and bank-specific key figures</w:t>
      </w:r>
      <w:r w:rsidR="00DB1C46">
        <w:rPr>
          <w:rFonts w:cs="Arial"/>
          <w:bCs/>
          <w:lang w:val="en-US"/>
        </w:rPr>
        <w:t xml:space="preserve">. The figures mentioned </w:t>
      </w:r>
      <w:r w:rsidR="004C783A">
        <w:rPr>
          <w:rFonts w:cs="Arial"/>
          <w:bCs/>
          <w:lang w:val="en-US"/>
        </w:rPr>
        <w:t>give an overview of the relevant state</w:t>
      </w:r>
      <w:r w:rsidR="00C1619C">
        <w:rPr>
          <w:rFonts w:cs="Arial"/>
          <w:bCs/>
          <w:lang w:val="en-US"/>
        </w:rPr>
        <w:t>. In addition</w:t>
      </w:r>
      <w:r w:rsidR="00CF198E">
        <w:rPr>
          <w:rFonts w:cs="Arial"/>
          <w:bCs/>
          <w:lang w:val="en-US"/>
        </w:rPr>
        <w:t xml:space="preserve">, </w:t>
      </w:r>
      <w:r w:rsidR="004960BD">
        <w:rPr>
          <w:rFonts w:cs="Arial"/>
          <w:bCs/>
          <w:lang w:val="en-US"/>
        </w:rPr>
        <w:t>dimensions</w:t>
      </w:r>
      <w:r w:rsidR="00D65EB0">
        <w:rPr>
          <w:rFonts w:cs="Arial"/>
          <w:bCs/>
          <w:lang w:val="en-US"/>
        </w:rPr>
        <w:t xml:space="preserve">, that </w:t>
      </w:r>
      <w:r w:rsidR="0014189E">
        <w:rPr>
          <w:rFonts w:cs="Arial"/>
          <w:bCs/>
          <w:lang w:val="en-US"/>
        </w:rPr>
        <w:t xml:space="preserve">are considered influential when it comes to banking </w:t>
      </w:r>
      <w:r w:rsidR="00F30AE7">
        <w:rPr>
          <w:rFonts w:cs="Arial"/>
          <w:bCs/>
          <w:lang w:val="en-US"/>
        </w:rPr>
        <w:t xml:space="preserve">fees, </w:t>
      </w:r>
      <w:r w:rsidR="003127D2">
        <w:rPr>
          <w:rFonts w:cs="Arial"/>
          <w:bCs/>
          <w:lang w:val="en-US"/>
        </w:rPr>
        <w:t xml:space="preserve">are </w:t>
      </w:r>
      <w:r w:rsidR="00D9635F">
        <w:rPr>
          <w:rFonts w:cs="Arial"/>
          <w:bCs/>
          <w:lang w:val="en-US"/>
        </w:rPr>
        <w:t>specified</w:t>
      </w:r>
      <w:r w:rsidR="00E95D7E">
        <w:rPr>
          <w:rFonts w:cs="Arial"/>
          <w:bCs/>
          <w:lang w:val="en-US"/>
        </w:rPr>
        <w:t xml:space="preserve"> as well</w:t>
      </w:r>
      <w:r w:rsidR="00D9635F">
        <w:rPr>
          <w:rFonts w:cs="Arial"/>
          <w:bCs/>
          <w:lang w:val="en-US"/>
        </w:rPr>
        <w:t>.</w:t>
      </w:r>
      <w:r w:rsidR="000C19C0">
        <w:rPr>
          <w:rFonts w:cs="Arial"/>
          <w:bCs/>
          <w:lang w:val="en-US"/>
        </w:rPr>
        <w:t xml:space="preserve"> Therefore</w:t>
      </w:r>
      <w:r w:rsidR="005650EC">
        <w:rPr>
          <w:rFonts w:cs="Arial"/>
          <w:bCs/>
          <w:lang w:val="en-US"/>
        </w:rPr>
        <w:t>,</w:t>
      </w:r>
      <w:r w:rsidR="000C19C0">
        <w:rPr>
          <w:rFonts w:cs="Arial"/>
          <w:bCs/>
          <w:lang w:val="en-US"/>
        </w:rPr>
        <w:t xml:space="preserve"> GDP per capita and the economic growth rate </w:t>
      </w:r>
      <w:r w:rsidR="005E4D8A">
        <w:rPr>
          <w:rFonts w:cs="Arial"/>
          <w:bCs/>
          <w:lang w:val="en-US"/>
        </w:rPr>
        <w:t xml:space="preserve">operate as indicators for the economic </w:t>
      </w:r>
      <w:r w:rsidR="00B954EC">
        <w:rPr>
          <w:rFonts w:cs="Arial"/>
          <w:bCs/>
          <w:lang w:val="en-US"/>
        </w:rPr>
        <w:t>state of the specific country</w:t>
      </w:r>
      <w:r w:rsidR="009B7B4D">
        <w:rPr>
          <w:rFonts w:cs="Arial"/>
          <w:bCs/>
          <w:lang w:val="en-US"/>
        </w:rPr>
        <w:t xml:space="preserve">, while </w:t>
      </w:r>
      <w:r w:rsidR="001910D9">
        <w:rPr>
          <w:rFonts w:cs="Arial"/>
          <w:bCs/>
          <w:lang w:val="en-US"/>
        </w:rPr>
        <w:t xml:space="preserve">the branch density </w:t>
      </w:r>
      <w:r w:rsidR="00254917">
        <w:rPr>
          <w:rFonts w:cs="Arial"/>
          <w:bCs/>
          <w:lang w:val="en-US"/>
        </w:rPr>
        <w:t xml:space="preserve">and the share of </w:t>
      </w:r>
      <w:r w:rsidR="00457B70">
        <w:rPr>
          <w:rFonts w:cs="Arial"/>
          <w:bCs/>
          <w:lang w:val="en-US"/>
        </w:rPr>
        <w:t>users of online banking</w:t>
      </w:r>
      <w:r w:rsidR="00DB683C">
        <w:rPr>
          <w:rFonts w:cs="Arial"/>
          <w:bCs/>
          <w:lang w:val="en-US"/>
        </w:rPr>
        <w:t>,</w:t>
      </w:r>
      <w:r w:rsidR="00005359">
        <w:rPr>
          <w:rFonts w:cs="Arial"/>
          <w:bCs/>
          <w:lang w:val="en-US"/>
        </w:rPr>
        <w:t xml:space="preserve"> </w:t>
      </w:r>
      <w:r w:rsidR="0007439F">
        <w:rPr>
          <w:rFonts w:cs="Arial"/>
          <w:bCs/>
          <w:lang w:val="en-US"/>
        </w:rPr>
        <w:t xml:space="preserve">illustrated in </w:t>
      </w:r>
      <w:r w:rsidR="00CA56D7" w:rsidRPr="00CA56D7">
        <w:rPr>
          <w:rFonts w:cs="Arial"/>
          <w:bCs/>
          <w:u w:val="single"/>
          <w:lang w:val="en-US"/>
        </w:rPr>
        <w:fldChar w:fldCharType="begin"/>
      </w:r>
      <w:r w:rsidR="00CA56D7" w:rsidRPr="00CA56D7">
        <w:rPr>
          <w:rFonts w:cs="Arial"/>
          <w:bCs/>
          <w:u w:val="single"/>
          <w:lang w:val="en-US"/>
        </w:rPr>
        <w:instrText xml:space="preserve"> REF _Ref40387900 \h </w:instrText>
      </w:r>
      <w:r w:rsidR="00CA56D7" w:rsidRPr="00CA56D7">
        <w:rPr>
          <w:rFonts w:cs="Arial"/>
          <w:bCs/>
          <w:u w:val="single"/>
          <w:lang w:val="en-US"/>
        </w:rPr>
      </w:r>
      <w:r w:rsidR="00CA56D7" w:rsidRPr="00CA56D7">
        <w:rPr>
          <w:rFonts w:cs="Arial"/>
          <w:bCs/>
          <w:u w:val="single"/>
          <w:lang w:val="en-US"/>
        </w:rPr>
        <w:fldChar w:fldCharType="separate"/>
      </w:r>
      <w:r w:rsidR="00B75C93" w:rsidRPr="00737F4D">
        <w:rPr>
          <w:lang w:val="en-US"/>
        </w:rPr>
        <w:t xml:space="preserve">Figure </w:t>
      </w:r>
      <w:r w:rsidR="00B75C93">
        <w:rPr>
          <w:noProof/>
          <w:lang w:val="en-US"/>
        </w:rPr>
        <w:t>3</w:t>
      </w:r>
      <w:r w:rsidR="00CA56D7" w:rsidRPr="00CA56D7">
        <w:rPr>
          <w:rFonts w:cs="Arial"/>
          <w:bCs/>
          <w:u w:val="single"/>
          <w:lang w:val="en-US"/>
        </w:rPr>
        <w:fldChar w:fldCharType="end"/>
      </w:r>
      <w:r w:rsidR="00041569">
        <w:rPr>
          <w:rFonts w:cs="Arial"/>
          <w:bCs/>
          <w:lang w:val="en-US"/>
        </w:rPr>
        <w:t xml:space="preserve">, </w:t>
      </w:r>
      <w:r w:rsidR="007C6673">
        <w:rPr>
          <w:rFonts w:cs="Arial"/>
          <w:bCs/>
          <w:lang w:val="en-US"/>
        </w:rPr>
        <w:t xml:space="preserve">distinguish the </w:t>
      </w:r>
      <w:r w:rsidR="00D9731C" w:rsidRPr="00D9731C">
        <w:rPr>
          <w:rFonts w:cs="Arial"/>
          <w:bCs/>
          <w:lang w:val="en-US"/>
        </w:rPr>
        <w:t xml:space="preserve">degree of </w:t>
      </w:r>
      <w:r w:rsidR="00D9731C">
        <w:rPr>
          <w:rFonts w:cs="Arial"/>
          <w:bCs/>
          <w:lang w:val="en-US"/>
        </w:rPr>
        <w:t>adoption</w:t>
      </w:r>
      <w:r w:rsidR="00D9731C" w:rsidRPr="00D9731C">
        <w:rPr>
          <w:rFonts w:cs="Arial"/>
          <w:bCs/>
          <w:lang w:val="en-US"/>
        </w:rPr>
        <w:t xml:space="preserve"> of new technologies</w:t>
      </w:r>
      <w:r w:rsidR="00E50A42">
        <w:rPr>
          <w:rFonts w:cs="Arial"/>
          <w:bCs/>
          <w:lang w:val="en-US"/>
        </w:rPr>
        <w:t xml:space="preserve"> in the financial </w:t>
      </w:r>
      <w:r w:rsidR="00166205">
        <w:rPr>
          <w:rFonts w:cs="Arial"/>
          <w:bCs/>
          <w:lang w:val="en-US"/>
        </w:rPr>
        <w:t xml:space="preserve">sector. </w:t>
      </w:r>
      <w:r w:rsidR="001A6431">
        <w:rPr>
          <w:rFonts w:cs="Arial"/>
          <w:bCs/>
          <w:lang w:val="en-US"/>
        </w:rPr>
        <w:t xml:space="preserve">Although </w:t>
      </w:r>
      <w:r w:rsidR="00D34CD7">
        <w:rPr>
          <w:rFonts w:cs="Arial"/>
          <w:bCs/>
          <w:lang w:val="en-US"/>
        </w:rPr>
        <w:t xml:space="preserve">other </w:t>
      </w:r>
      <w:r w:rsidR="0082216D">
        <w:rPr>
          <w:rFonts w:cs="Arial"/>
          <w:bCs/>
          <w:lang w:val="en-US"/>
        </w:rPr>
        <w:t>factors</w:t>
      </w:r>
      <w:r w:rsidR="00D7055E">
        <w:rPr>
          <w:rFonts w:cs="Arial"/>
          <w:bCs/>
          <w:lang w:val="en-US"/>
        </w:rPr>
        <w:t xml:space="preserve">, mentioned </w:t>
      </w:r>
      <w:r w:rsidR="00F20495">
        <w:rPr>
          <w:rFonts w:cs="Arial"/>
          <w:bCs/>
          <w:lang w:val="en-US"/>
        </w:rPr>
        <w:t>above</w:t>
      </w:r>
      <w:r w:rsidR="00D7055E">
        <w:rPr>
          <w:rFonts w:cs="Arial"/>
          <w:bCs/>
          <w:lang w:val="en-US"/>
        </w:rPr>
        <w:t>,</w:t>
      </w:r>
      <w:r w:rsidR="0082216D">
        <w:rPr>
          <w:rFonts w:cs="Arial"/>
          <w:bCs/>
          <w:lang w:val="en-US"/>
        </w:rPr>
        <w:t xml:space="preserve"> are considered relevant as well</w:t>
      </w:r>
      <w:r w:rsidR="001E4A63">
        <w:rPr>
          <w:rFonts w:cs="Arial"/>
          <w:bCs/>
          <w:lang w:val="en-US"/>
        </w:rPr>
        <w:t>,</w:t>
      </w:r>
      <w:r w:rsidR="00FD5F75">
        <w:rPr>
          <w:rFonts w:cs="Arial"/>
          <w:bCs/>
          <w:lang w:val="en-US"/>
        </w:rPr>
        <w:t xml:space="preserve"> </w:t>
      </w:r>
      <w:r w:rsidR="00B4084C">
        <w:rPr>
          <w:rFonts w:cs="Arial"/>
          <w:bCs/>
          <w:lang w:val="en-US"/>
        </w:rPr>
        <w:t xml:space="preserve">the development of banking fees </w:t>
      </w:r>
      <w:r w:rsidR="00F7719C">
        <w:rPr>
          <w:rFonts w:cs="Arial"/>
          <w:bCs/>
          <w:lang w:val="en-US"/>
        </w:rPr>
        <w:t xml:space="preserve">in Austria, Germany, Italy and the Netherlands </w:t>
      </w:r>
      <w:r w:rsidR="00F03902">
        <w:rPr>
          <w:rFonts w:cs="Arial"/>
          <w:bCs/>
          <w:lang w:val="en-US"/>
        </w:rPr>
        <w:t>will be explained</w:t>
      </w:r>
      <w:r w:rsidR="00E200F5">
        <w:rPr>
          <w:rFonts w:cs="Arial"/>
          <w:bCs/>
          <w:lang w:val="en-US"/>
        </w:rPr>
        <w:t xml:space="preserve"> based on </w:t>
      </w:r>
      <w:r w:rsidR="0004173B">
        <w:rPr>
          <w:rFonts w:cs="Arial"/>
          <w:bCs/>
          <w:lang w:val="en-US"/>
        </w:rPr>
        <w:t>the</w:t>
      </w:r>
      <w:r w:rsidR="008D6207">
        <w:rPr>
          <w:rFonts w:cs="Arial"/>
          <w:bCs/>
          <w:lang w:val="en-US"/>
        </w:rPr>
        <w:t>se</w:t>
      </w:r>
      <w:r w:rsidR="0004173B">
        <w:rPr>
          <w:rFonts w:cs="Arial"/>
          <w:bCs/>
          <w:lang w:val="en-US"/>
        </w:rPr>
        <w:t xml:space="preserve"> </w:t>
      </w:r>
      <w:r w:rsidR="00830A64">
        <w:rPr>
          <w:rFonts w:cs="Arial"/>
          <w:bCs/>
          <w:lang w:val="en-US"/>
        </w:rPr>
        <w:t>specified dimensions</w:t>
      </w:r>
      <w:r w:rsidR="00A85E2E">
        <w:rPr>
          <w:rFonts w:cs="Arial"/>
          <w:bCs/>
          <w:lang w:val="en-US"/>
        </w:rPr>
        <w:t>.</w:t>
      </w:r>
    </w:p>
    <w:tbl>
      <w:tblPr>
        <w:tblStyle w:val="Tabellenraster"/>
        <w:tblW w:w="0" w:type="auto"/>
        <w:tblBorders>
          <w:top w:val="none" w:sz="0" w:space="0" w:color="auto"/>
          <w:left w:val="none" w:sz="0" w:space="0" w:color="auto"/>
        </w:tblBorders>
        <w:tblLook w:val="04A0" w:firstRow="1" w:lastRow="0" w:firstColumn="1" w:lastColumn="0" w:noHBand="0" w:noVBand="1"/>
      </w:tblPr>
      <w:tblGrid>
        <w:gridCol w:w="3256"/>
        <w:gridCol w:w="1417"/>
        <w:gridCol w:w="1559"/>
        <w:gridCol w:w="1418"/>
        <w:gridCol w:w="1412"/>
      </w:tblGrid>
      <w:tr w:rsidR="00481202" w:rsidRPr="00F63695" w14:paraId="3ED6BD68" w14:textId="77777777" w:rsidTr="003D355B">
        <w:trPr>
          <w:trHeight w:val="397"/>
        </w:trPr>
        <w:tc>
          <w:tcPr>
            <w:tcW w:w="3256" w:type="dxa"/>
            <w:vAlign w:val="center"/>
          </w:tcPr>
          <w:p w14:paraId="4BEA7C57" w14:textId="77777777" w:rsidR="00481202" w:rsidRPr="00F63695" w:rsidRDefault="00481202" w:rsidP="005D52AB">
            <w:pPr>
              <w:spacing w:line="360" w:lineRule="auto"/>
              <w:jc w:val="center"/>
              <w:rPr>
                <w:rFonts w:cs="Arial"/>
                <w:bCs/>
                <w:sz w:val="20"/>
                <w:szCs w:val="20"/>
                <w:lang w:val="en-US"/>
              </w:rPr>
            </w:pPr>
          </w:p>
        </w:tc>
        <w:tc>
          <w:tcPr>
            <w:tcW w:w="1417" w:type="dxa"/>
            <w:vAlign w:val="center"/>
          </w:tcPr>
          <w:p w14:paraId="7DB0F104" w14:textId="77777777" w:rsidR="00481202" w:rsidRPr="00F63695" w:rsidRDefault="00481202" w:rsidP="005D52AB">
            <w:pPr>
              <w:spacing w:line="360" w:lineRule="auto"/>
              <w:jc w:val="center"/>
              <w:rPr>
                <w:rFonts w:cs="Arial"/>
                <w:b/>
                <w:sz w:val="20"/>
                <w:szCs w:val="20"/>
                <w:lang w:val="en-US"/>
              </w:rPr>
            </w:pPr>
            <w:r w:rsidRPr="00F63695">
              <w:rPr>
                <w:rFonts w:cs="Arial"/>
                <w:b/>
                <w:sz w:val="20"/>
                <w:szCs w:val="20"/>
                <w:lang w:val="en-US"/>
              </w:rPr>
              <w:t>Austria</w:t>
            </w:r>
          </w:p>
        </w:tc>
        <w:tc>
          <w:tcPr>
            <w:tcW w:w="1559" w:type="dxa"/>
            <w:vAlign w:val="center"/>
          </w:tcPr>
          <w:p w14:paraId="081B1760" w14:textId="77777777" w:rsidR="00481202" w:rsidRPr="00F63695" w:rsidRDefault="00481202" w:rsidP="005D52AB">
            <w:pPr>
              <w:spacing w:line="360" w:lineRule="auto"/>
              <w:jc w:val="center"/>
              <w:rPr>
                <w:rFonts w:cs="Arial"/>
                <w:b/>
                <w:sz w:val="20"/>
                <w:szCs w:val="20"/>
                <w:lang w:val="en-US"/>
              </w:rPr>
            </w:pPr>
            <w:r w:rsidRPr="00F63695">
              <w:rPr>
                <w:rFonts w:cs="Arial"/>
                <w:b/>
                <w:sz w:val="20"/>
                <w:szCs w:val="20"/>
                <w:lang w:val="en-US"/>
              </w:rPr>
              <w:t>Germany</w:t>
            </w:r>
          </w:p>
        </w:tc>
        <w:tc>
          <w:tcPr>
            <w:tcW w:w="1418" w:type="dxa"/>
            <w:vAlign w:val="center"/>
          </w:tcPr>
          <w:p w14:paraId="125C672A" w14:textId="77777777" w:rsidR="00481202" w:rsidRPr="00F63695" w:rsidRDefault="00481202" w:rsidP="005D52AB">
            <w:pPr>
              <w:spacing w:line="360" w:lineRule="auto"/>
              <w:jc w:val="center"/>
              <w:rPr>
                <w:rFonts w:cs="Arial"/>
                <w:b/>
                <w:sz w:val="20"/>
                <w:szCs w:val="20"/>
                <w:lang w:val="en-US"/>
              </w:rPr>
            </w:pPr>
            <w:r w:rsidRPr="00F63695">
              <w:rPr>
                <w:rFonts w:cs="Arial"/>
                <w:b/>
                <w:sz w:val="20"/>
                <w:szCs w:val="20"/>
                <w:lang w:val="en-US"/>
              </w:rPr>
              <w:t>Italy</w:t>
            </w:r>
          </w:p>
        </w:tc>
        <w:tc>
          <w:tcPr>
            <w:tcW w:w="1412" w:type="dxa"/>
            <w:tcBorders>
              <w:top w:val="nil"/>
              <w:right w:val="nil"/>
            </w:tcBorders>
            <w:vAlign w:val="center"/>
          </w:tcPr>
          <w:p w14:paraId="7DEE6CF4" w14:textId="77777777" w:rsidR="00481202" w:rsidRPr="00F63695" w:rsidRDefault="00481202" w:rsidP="005D52AB">
            <w:pPr>
              <w:spacing w:line="360" w:lineRule="auto"/>
              <w:jc w:val="center"/>
              <w:rPr>
                <w:rFonts w:cs="Arial"/>
                <w:b/>
                <w:sz w:val="20"/>
                <w:szCs w:val="20"/>
                <w:lang w:val="en-US"/>
              </w:rPr>
            </w:pPr>
            <w:r w:rsidRPr="00F63695">
              <w:rPr>
                <w:rFonts w:cs="Arial"/>
                <w:b/>
                <w:sz w:val="20"/>
                <w:szCs w:val="20"/>
                <w:lang w:val="en-US"/>
              </w:rPr>
              <w:t>Netherlands</w:t>
            </w:r>
          </w:p>
        </w:tc>
      </w:tr>
      <w:tr w:rsidR="00481202" w:rsidRPr="00F63695" w14:paraId="1F282C6E" w14:textId="77777777" w:rsidTr="003D355B">
        <w:trPr>
          <w:trHeight w:val="397"/>
        </w:trPr>
        <w:tc>
          <w:tcPr>
            <w:tcW w:w="3256" w:type="dxa"/>
            <w:vAlign w:val="center"/>
          </w:tcPr>
          <w:p w14:paraId="4F2D26DB" w14:textId="5E483BF2" w:rsidR="00481202" w:rsidRPr="00F63695" w:rsidRDefault="00481202" w:rsidP="005D52AB">
            <w:pPr>
              <w:spacing w:line="360" w:lineRule="auto"/>
              <w:rPr>
                <w:rFonts w:cs="Arial"/>
                <w:b/>
                <w:sz w:val="20"/>
                <w:szCs w:val="20"/>
                <w:lang w:val="en-US"/>
              </w:rPr>
            </w:pPr>
            <w:r w:rsidRPr="00F63695">
              <w:rPr>
                <w:rFonts w:cs="Arial"/>
                <w:b/>
                <w:sz w:val="20"/>
                <w:szCs w:val="20"/>
                <w:lang w:val="en-US"/>
              </w:rPr>
              <w:t xml:space="preserve">GDP </w:t>
            </w:r>
            <w:r w:rsidR="00270D00">
              <w:rPr>
                <w:rFonts w:cs="Arial"/>
                <w:b/>
                <w:sz w:val="20"/>
                <w:szCs w:val="20"/>
                <w:lang w:val="en-US"/>
              </w:rPr>
              <w:t>P</w:t>
            </w:r>
            <w:r w:rsidRPr="00F63695">
              <w:rPr>
                <w:rFonts w:cs="Arial"/>
                <w:b/>
                <w:sz w:val="20"/>
                <w:szCs w:val="20"/>
                <w:lang w:val="en-US"/>
              </w:rPr>
              <w:t>er Capita (2019, EUR)</w:t>
            </w:r>
            <w:r w:rsidRPr="00F63695">
              <w:rPr>
                <w:rStyle w:val="Funotenzeichen"/>
                <w:rFonts w:cs="Arial"/>
                <w:b/>
                <w:sz w:val="20"/>
                <w:szCs w:val="20"/>
                <w:lang w:val="en-US"/>
              </w:rPr>
              <w:footnoteReference w:id="1"/>
            </w:r>
          </w:p>
        </w:tc>
        <w:tc>
          <w:tcPr>
            <w:tcW w:w="1417" w:type="dxa"/>
            <w:vAlign w:val="center"/>
          </w:tcPr>
          <w:p w14:paraId="123884DD" w14:textId="77777777" w:rsidR="00481202" w:rsidRPr="00F63695" w:rsidRDefault="00481202" w:rsidP="005D52AB">
            <w:pPr>
              <w:spacing w:line="360" w:lineRule="auto"/>
              <w:jc w:val="center"/>
              <w:rPr>
                <w:rFonts w:cs="Arial"/>
                <w:bCs/>
                <w:sz w:val="20"/>
                <w:szCs w:val="20"/>
                <w:lang w:val="en-US"/>
              </w:rPr>
            </w:pPr>
            <w:r w:rsidRPr="00F63695">
              <w:rPr>
                <w:rFonts w:cs="Arial"/>
                <w:bCs/>
                <w:sz w:val="20"/>
                <w:szCs w:val="20"/>
                <w:lang w:val="en-US"/>
              </w:rPr>
              <w:t>45,000</w:t>
            </w:r>
          </w:p>
        </w:tc>
        <w:tc>
          <w:tcPr>
            <w:tcW w:w="1559" w:type="dxa"/>
            <w:vAlign w:val="center"/>
          </w:tcPr>
          <w:p w14:paraId="1D4DDBF1" w14:textId="77777777" w:rsidR="00481202" w:rsidRPr="00F63695" w:rsidRDefault="00481202" w:rsidP="005D52AB">
            <w:pPr>
              <w:spacing w:line="360" w:lineRule="auto"/>
              <w:jc w:val="center"/>
              <w:rPr>
                <w:rFonts w:cs="Arial"/>
                <w:bCs/>
                <w:sz w:val="20"/>
                <w:szCs w:val="20"/>
                <w:lang w:val="en-US"/>
              </w:rPr>
            </w:pPr>
            <w:r w:rsidRPr="00F63695">
              <w:rPr>
                <w:rFonts w:cs="Arial"/>
                <w:bCs/>
                <w:sz w:val="20"/>
                <w:szCs w:val="20"/>
                <w:lang w:val="en-US"/>
              </w:rPr>
              <w:t>41,000</w:t>
            </w:r>
          </w:p>
        </w:tc>
        <w:tc>
          <w:tcPr>
            <w:tcW w:w="1418" w:type="dxa"/>
            <w:vAlign w:val="center"/>
          </w:tcPr>
          <w:p w14:paraId="4EFB753B" w14:textId="77777777" w:rsidR="00481202" w:rsidRPr="00F63695" w:rsidRDefault="00481202" w:rsidP="005D52AB">
            <w:pPr>
              <w:spacing w:line="360" w:lineRule="auto"/>
              <w:jc w:val="center"/>
              <w:rPr>
                <w:rFonts w:cs="Arial"/>
                <w:bCs/>
                <w:sz w:val="20"/>
                <w:szCs w:val="20"/>
                <w:lang w:val="en-US"/>
              </w:rPr>
            </w:pPr>
            <w:r w:rsidRPr="00F63695">
              <w:rPr>
                <w:rFonts w:cs="Arial"/>
                <w:bCs/>
                <w:sz w:val="20"/>
                <w:szCs w:val="20"/>
                <w:lang w:val="en-US"/>
              </w:rPr>
              <w:t>30,000</w:t>
            </w:r>
          </w:p>
        </w:tc>
        <w:tc>
          <w:tcPr>
            <w:tcW w:w="1412" w:type="dxa"/>
            <w:tcBorders>
              <w:top w:val="single" w:sz="4" w:space="0" w:color="auto"/>
              <w:right w:val="nil"/>
            </w:tcBorders>
            <w:vAlign w:val="center"/>
          </w:tcPr>
          <w:p w14:paraId="1FCD399E" w14:textId="77777777" w:rsidR="00481202" w:rsidRPr="00F63695" w:rsidRDefault="00481202" w:rsidP="005D52AB">
            <w:pPr>
              <w:spacing w:line="360" w:lineRule="auto"/>
              <w:jc w:val="center"/>
              <w:rPr>
                <w:rFonts w:cs="Arial"/>
                <w:bCs/>
                <w:sz w:val="20"/>
                <w:szCs w:val="20"/>
                <w:lang w:val="en-US"/>
              </w:rPr>
            </w:pPr>
            <w:r w:rsidRPr="00F63695">
              <w:rPr>
                <w:rFonts w:cs="Arial"/>
                <w:bCs/>
                <w:sz w:val="20"/>
                <w:szCs w:val="20"/>
                <w:lang w:val="en-US"/>
              </w:rPr>
              <w:t>47,000</w:t>
            </w:r>
          </w:p>
        </w:tc>
      </w:tr>
      <w:tr w:rsidR="00481202" w:rsidRPr="00F63695" w14:paraId="5D49199C" w14:textId="77777777" w:rsidTr="003D355B">
        <w:trPr>
          <w:trHeight w:val="397"/>
        </w:trPr>
        <w:tc>
          <w:tcPr>
            <w:tcW w:w="3256" w:type="dxa"/>
            <w:vAlign w:val="center"/>
          </w:tcPr>
          <w:p w14:paraId="633D3D1E" w14:textId="77777777" w:rsidR="00481202" w:rsidRPr="00F63695" w:rsidRDefault="00481202" w:rsidP="005D52AB">
            <w:pPr>
              <w:spacing w:line="360" w:lineRule="auto"/>
              <w:rPr>
                <w:rFonts w:cs="Arial"/>
                <w:b/>
                <w:sz w:val="20"/>
                <w:szCs w:val="20"/>
                <w:lang w:val="en-US"/>
              </w:rPr>
            </w:pPr>
            <w:r w:rsidRPr="00F63695">
              <w:rPr>
                <w:rFonts w:cs="Arial"/>
                <w:b/>
                <w:sz w:val="20"/>
                <w:szCs w:val="20"/>
                <w:lang w:val="en-US"/>
              </w:rPr>
              <w:t>Branch Density (2017)</w:t>
            </w:r>
            <w:r w:rsidRPr="00F63695">
              <w:rPr>
                <w:rStyle w:val="Funotenzeichen"/>
                <w:rFonts w:cs="Arial"/>
                <w:b/>
                <w:sz w:val="20"/>
                <w:szCs w:val="20"/>
                <w:lang w:val="en-US"/>
              </w:rPr>
              <w:footnoteReference w:id="2"/>
            </w:r>
          </w:p>
        </w:tc>
        <w:tc>
          <w:tcPr>
            <w:tcW w:w="1417" w:type="dxa"/>
            <w:vAlign w:val="center"/>
          </w:tcPr>
          <w:p w14:paraId="3F5E9AD7" w14:textId="77777777" w:rsidR="00481202" w:rsidRPr="00F63695" w:rsidRDefault="00481202" w:rsidP="005D52AB">
            <w:pPr>
              <w:spacing w:line="360" w:lineRule="auto"/>
              <w:jc w:val="center"/>
              <w:rPr>
                <w:rFonts w:cs="Arial"/>
                <w:bCs/>
                <w:sz w:val="20"/>
                <w:szCs w:val="20"/>
                <w:lang w:val="en-US"/>
              </w:rPr>
            </w:pPr>
            <w:r w:rsidRPr="00F63695">
              <w:rPr>
                <w:rFonts w:cs="Arial"/>
                <w:bCs/>
                <w:sz w:val="20"/>
                <w:szCs w:val="20"/>
                <w:lang w:val="en-US"/>
              </w:rPr>
              <w:t>4.8</w:t>
            </w:r>
          </w:p>
        </w:tc>
        <w:tc>
          <w:tcPr>
            <w:tcW w:w="1559" w:type="dxa"/>
            <w:vAlign w:val="center"/>
          </w:tcPr>
          <w:p w14:paraId="2B66F602" w14:textId="77777777" w:rsidR="00481202" w:rsidRPr="00F63695" w:rsidRDefault="00481202" w:rsidP="005D52AB">
            <w:pPr>
              <w:spacing w:line="360" w:lineRule="auto"/>
              <w:jc w:val="center"/>
              <w:rPr>
                <w:rFonts w:cs="Arial"/>
                <w:bCs/>
                <w:sz w:val="20"/>
                <w:szCs w:val="20"/>
                <w:lang w:val="en-US"/>
              </w:rPr>
            </w:pPr>
            <w:r w:rsidRPr="00F63695">
              <w:rPr>
                <w:rFonts w:cs="Arial"/>
                <w:bCs/>
                <w:sz w:val="20"/>
                <w:szCs w:val="20"/>
                <w:lang w:val="en-US"/>
              </w:rPr>
              <w:t>3.5</w:t>
            </w:r>
          </w:p>
        </w:tc>
        <w:tc>
          <w:tcPr>
            <w:tcW w:w="1418" w:type="dxa"/>
            <w:vAlign w:val="center"/>
          </w:tcPr>
          <w:p w14:paraId="27F884A4" w14:textId="77777777" w:rsidR="00481202" w:rsidRPr="00F63695" w:rsidRDefault="00481202" w:rsidP="005D52AB">
            <w:pPr>
              <w:spacing w:line="360" w:lineRule="auto"/>
              <w:jc w:val="center"/>
              <w:rPr>
                <w:rFonts w:cs="Arial"/>
                <w:bCs/>
                <w:sz w:val="20"/>
                <w:szCs w:val="20"/>
                <w:lang w:val="en-US"/>
              </w:rPr>
            </w:pPr>
            <w:r w:rsidRPr="00F63695">
              <w:rPr>
                <w:rFonts w:cs="Arial"/>
                <w:bCs/>
                <w:sz w:val="20"/>
                <w:szCs w:val="20"/>
                <w:lang w:val="en-US"/>
              </w:rPr>
              <w:t>5.0</w:t>
            </w:r>
          </w:p>
        </w:tc>
        <w:tc>
          <w:tcPr>
            <w:tcW w:w="1412" w:type="dxa"/>
            <w:tcBorders>
              <w:top w:val="single" w:sz="4" w:space="0" w:color="auto"/>
              <w:right w:val="nil"/>
            </w:tcBorders>
            <w:vAlign w:val="center"/>
          </w:tcPr>
          <w:p w14:paraId="04056039" w14:textId="77777777" w:rsidR="00481202" w:rsidRPr="00F63695" w:rsidRDefault="00481202" w:rsidP="005D52AB">
            <w:pPr>
              <w:spacing w:line="360" w:lineRule="auto"/>
              <w:jc w:val="center"/>
              <w:rPr>
                <w:rFonts w:cs="Arial"/>
                <w:bCs/>
                <w:sz w:val="20"/>
                <w:szCs w:val="20"/>
                <w:lang w:val="en-US"/>
              </w:rPr>
            </w:pPr>
            <w:r w:rsidRPr="00F63695">
              <w:rPr>
                <w:rFonts w:cs="Arial"/>
                <w:bCs/>
                <w:sz w:val="20"/>
                <w:szCs w:val="20"/>
                <w:lang w:val="en-US"/>
              </w:rPr>
              <w:t>1.0</w:t>
            </w:r>
          </w:p>
        </w:tc>
      </w:tr>
      <w:tr w:rsidR="00481202" w:rsidRPr="00F63695" w14:paraId="7EF66169" w14:textId="77777777" w:rsidTr="003D355B">
        <w:trPr>
          <w:trHeight w:val="397"/>
        </w:trPr>
        <w:tc>
          <w:tcPr>
            <w:tcW w:w="3256" w:type="dxa"/>
            <w:tcBorders>
              <w:bottom w:val="single" w:sz="4" w:space="0" w:color="auto"/>
            </w:tcBorders>
            <w:vAlign w:val="center"/>
          </w:tcPr>
          <w:p w14:paraId="58686AA2" w14:textId="11961574" w:rsidR="00481202" w:rsidRPr="00F63695" w:rsidRDefault="008C69A1" w:rsidP="005D52AB">
            <w:pPr>
              <w:spacing w:line="360" w:lineRule="auto"/>
              <w:rPr>
                <w:rFonts w:cs="Arial"/>
                <w:b/>
                <w:sz w:val="20"/>
                <w:szCs w:val="20"/>
                <w:lang w:val="en-US"/>
              </w:rPr>
            </w:pPr>
            <w:r>
              <w:rPr>
                <w:rFonts w:cs="Arial"/>
                <w:b/>
                <w:sz w:val="20"/>
                <w:szCs w:val="20"/>
                <w:lang w:val="en-US"/>
              </w:rPr>
              <w:t>GDP Growth Rate</w:t>
            </w:r>
            <w:r w:rsidR="00481202" w:rsidRPr="00F63695">
              <w:rPr>
                <w:rFonts w:cs="Arial"/>
                <w:b/>
                <w:sz w:val="20"/>
                <w:szCs w:val="20"/>
                <w:lang w:val="en-US"/>
              </w:rPr>
              <w:t xml:space="preserve"> (20</w:t>
            </w:r>
            <w:r>
              <w:rPr>
                <w:rFonts w:cs="Arial"/>
                <w:b/>
                <w:sz w:val="20"/>
                <w:szCs w:val="20"/>
                <w:lang w:val="en-US"/>
              </w:rPr>
              <w:t>18</w:t>
            </w:r>
            <w:r w:rsidR="00E01E3C">
              <w:rPr>
                <w:rFonts w:cs="Arial"/>
                <w:b/>
                <w:sz w:val="20"/>
                <w:szCs w:val="20"/>
                <w:lang w:val="en-US"/>
              </w:rPr>
              <w:t>, %</w:t>
            </w:r>
            <w:r w:rsidR="00481202" w:rsidRPr="00F63695">
              <w:rPr>
                <w:rFonts w:cs="Arial"/>
                <w:b/>
                <w:sz w:val="20"/>
                <w:szCs w:val="20"/>
                <w:lang w:val="en-US"/>
              </w:rPr>
              <w:t>)</w:t>
            </w:r>
            <w:r w:rsidR="00481202" w:rsidRPr="00F63695">
              <w:rPr>
                <w:rStyle w:val="Funotenzeichen"/>
                <w:rFonts w:cs="Arial"/>
                <w:b/>
                <w:sz w:val="20"/>
                <w:szCs w:val="20"/>
                <w:lang w:val="en-US"/>
              </w:rPr>
              <w:footnoteReference w:id="3"/>
            </w:r>
          </w:p>
        </w:tc>
        <w:tc>
          <w:tcPr>
            <w:tcW w:w="1417" w:type="dxa"/>
            <w:tcBorders>
              <w:bottom w:val="single" w:sz="4" w:space="0" w:color="auto"/>
            </w:tcBorders>
            <w:vAlign w:val="center"/>
          </w:tcPr>
          <w:p w14:paraId="38CFB772" w14:textId="3060A35A" w:rsidR="00481202" w:rsidRPr="00F63695" w:rsidRDefault="006151B7" w:rsidP="005D52AB">
            <w:pPr>
              <w:spacing w:line="360" w:lineRule="auto"/>
              <w:jc w:val="center"/>
              <w:rPr>
                <w:rFonts w:cs="Arial"/>
                <w:bCs/>
                <w:sz w:val="20"/>
                <w:szCs w:val="20"/>
                <w:lang w:val="en-US"/>
              </w:rPr>
            </w:pPr>
            <w:r>
              <w:rPr>
                <w:rFonts w:cs="Arial"/>
                <w:bCs/>
                <w:sz w:val="20"/>
                <w:szCs w:val="20"/>
                <w:lang w:val="en-US"/>
              </w:rPr>
              <w:t>2.4</w:t>
            </w:r>
          </w:p>
        </w:tc>
        <w:tc>
          <w:tcPr>
            <w:tcW w:w="1559" w:type="dxa"/>
            <w:tcBorders>
              <w:bottom w:val="single" w:sz="4" w:space="0" w:color="auto"/>
            </w:tcBorders>
            <w:vAlign w:val="center"/>
          </w:tcPr>
          <w:p w14:paraId="13BD6E27" w14:textId="6EB54874" w:rsidR="00481202" w:rsidRPr="00F63695" w:rsidRDefault="00481202" w:rsidP="005D52AB">
            <w:pPr>
              <w:spacing w:line="360" w:lineRule="auto"/>
              <w:jc w:val="center"/>
              <w:rPr>
                <w:rFonts w:cs="Arial"/>
                <w:bCs/>
                <w:sz w:val="20"/>
                <w:szCs w:val="20"/>
                <w:lang w:val="en-US"/>
              </w:rPr>
            </w:pPr>
            <w:r w:rsidRPr="00F63695">
              <w:rPr>
                <w:rFonts w:cs="Arial"/>
                <w:bCs/>
                <w:sz w:val="20"/>
                <w:szCs w:val="20"/>
                <w:lang w:val="en-US"/>
              </w:rPr>
              <w:t>1</w:t>
            </w:r>
            <w:r w:rsidR="0012408A">
              <w:rPr>
                <w:rFonts w:cs="Arial"/>
                <w:bCs/>
                <w:sz w:val="20"/>
                <w:szCs w:val="20"/>
                <w:lang w:val="en-US"/>
              </w:rPr>
              <w:t>.5</w:t>
            </w:r>
          </w:p>
        </w:tc>
        <w:tc>
          <w:tcPr>
            <w:tcW w:w="1418" w:type="dxa"/>
            <w:tcBorders>
              <w:bottom w:val="single" w:sz="4" w:space="0" w:color="auto"/>
            </w:tcBorders>
            <w:vAlign w:val="center"/>
          </w:tcPr>
          <w:p w14:paraId="65378A8F" w14:textId="29C50620" w:rsidR="00481202" w:rsidRPr="00F63695" w:rsidRDefault="00930988" w:rsidP="005D52AB">
            <w:pPr>
              <w:spacing w:line="360" w:lineRule="auto"/>
              <w:jc w:val="center"/>
              <w:rPr>
                <w:rFonts w:cs="Arial"/>
                <w:bCs/>
                <w:sz w:val="20"/>
                <w:szCs w:val="20"/>
                <w:lang w:val="en-US"/>
              </w:rPr>
            </w:pPr>
            <w:r>
              <w:rPr>
                <w:rFonts w:cs="Arial"/>
                <w:bCs/>
                <w:sz w:val="20"/>
                <w:szCs w:val="20"/>
                <w:lang w:val="en-US"/>
              </w:rPr>
              <w:t>0.8</w:t>
            </w:r>
          </w:p>
        </w:tc>
        <w:tc>
          <w:tcPr>
            <w:tcW w:w="1412" w:type="dxa"/>
            <w:tcBorders>
              <w:top w:val="single" w:sz="4" w:space="0" w:color="auto"/>
              <w:bottom w:val="single" w:sz="4" w:space="0" w:color="auto"/>
              <w:right w:val="nil"/>
            </w:tcBorders>
            <w:vAlign w:val="center"/>
          </w:tcPr>
          <w:p w14:paraId="1ECB793A" w14:textId="320A7066" w:rsidR="00481202" w:rsidRPr="00F63695" w:rsidRDefault="00E01E3C" w:rsidP="005D52AB">
            <w:pPr>
              <w:spacing w:line="360" w:lineRule="auto"/>
              <w:jc w:val="center"/>
              <w:rPr>
                <w:rFonts w:cs="Arial"/>
                <w:bCs/>
                <w:sz w:val="20"/>
                <w:szCs w:val="20"/>
                <w:lang w:val="en-US"/>
              </w:rPr>
            </w:pPr>
            <w:r>
              <w:rPr>
                <w:rFonts w:cs="Arial"/>
                <w:bCs/>
                <w:sz w:val="20"/>
                <w:szCs w:val="20"/>
                <w:lang w:val="en-US"/>
              </w:rPr>
              <w:t>2.6</w:t>
            </w:r>
          </w:p>
        </w:tc>
      </w:tr>
      <w:tr w:rsidR="00481202" w:rsidRPr="00F63695" w14:paraId="52860E60" w14:textId="77777777" w:rsidTr="003D355B">
        <w:trPr>
          <w:trHeight w:val="397"/>
        </w:trPr>
        <w:tc>
          <w:tcPr>
            <w:tcW w:w="3256" w:type="dxa"/>
            <w:tcBorders>
              <w:top w:val="single" w:sz="4" w:space="0" w:color="auto"/>
              <w:bottom w:val="nil"/>
            </w:tcBorders>
            <w:vAlign w:val="center"/>
          </w:tcPr>
          <w:p w14:paraId="4D03F3F4" w14:textId="77777777" w:rsidR="00481202" w:rsidRPr="00F63695" w:rsidRDefault="00481202" w:rsidP="005D52AB">
            <w:pPr>
              <w:spacing w:line="360" w:lineRule="auto"/>
              <w:rPr>
                <w:rFonts w:cs="Arial"/>
                <w:b/>
                <w:sz w:val="20"/>
                <w:szCs w:val="20"/>
                <w:lang w:val="en-US"/>
              </w:rPr>
            </w:pPr>
            <w:r w:rsidRPr="00F63695">
              <w:rPr>
                <w:rFonts w:cs="Arial"/>
                <w:b/>
                <w:sz w:val="20"/>
                <w:szCs w:val="20"/>
                <w:lang w:val="en-US"/>
              </w:rPr>
              <w:t>Population (2019)</w:t>
            </w:r>
            <w:r w:rsidRPr="00F63695">
              <w:rPr>
                <w:rStyle w:val="Funotenzeichen"/>
                <w:rFonts w:cs="Arial"/>
                <w:b/>
                <w:sz w:val="20"/>
                <w:szCs w:val="20"/>
                <w:lang w:val="en-US"/>
              </w:rPr>
              <w:footnoteReference w:id="4"/>
            </w:r>
          </w:p>
        </w:tc>
        <w:tc>
          <w:tcPr>
            <w:tcW w:w="1417" w:type="dxa"/>
            <w:tcBorders>
              <w:top w:val="single" w:sz="4" w:space="0" w:color="auto"/>
              <w:bottom w:val="nil"/>
            </w:tcBorders>
            <w:vAlign w:val="center"/>
          </w:tcPr>
          <w:p w14:paraId="2BB2A664" w14:textId="7A8FA084" w:rsidR="00481202" w:rsidRPr="00F63695" w:rsidRDefault="00481202" w:rsidP="005D52AB">
            <w:pPr>
              <w:spacing w:line="360" w:lineRule="auto"/>
              <w:jc w:val="center"/>
              <w:rPr>
                <w:rFonts w:cs="Arial"/>
                <w:bCs/>
                <w:sz w:val="20"/>
                <w:szCs w:val="20"/>
                <w:lang w:val="en-US"/>
              </w:rPr>
            </w:pPr>
            <w:r w:rsidRPr="00F63695">
              <w:rPr>
                <w:rFonts w:cs="Arial"/>
                <w:bCs/>
                <w:sz w:val="20"/>
                <w:szCs w:val="20"/>
                <w:lang w:val="en-US"/>
              </w:rPr>
              <w:t>9</w:t>
            </w:r>
            <w:r w:rsidR="00891BC3">
              <w:rPr>
                <w:rFonts w:cs="Arial"/>
                <w:bCs/>
                <w:sz w:val="20"/>
                <w:szCs w:val="20"/>
                <w:lang w:val="en-US"/>
              </w:rPr>
              <w:t>.01</w:t>
            </w:r>
          </w:p>
        </w:tc>
        <w:tc>
          <w:tcPr>
            <w:tcW w:w="1559" w:type="dxa"/>
            <w:tcBorders>
              <w:top w:val="single" w:sz="4" w:space="0" w:color="auto"/>
              <w:bottom w:val="nil"/>
            </w:tcBorders>
            <w:vAlign w:val="center"/>
          </w:tcPr>
          <w:p w14:paraId="7FA6207E" w14:textId="7C88D715" w:rsidR="00481202" w:rsidRPr="00F63695" w:rsidRDefault="00481202" w:rsidP="005D52AB">
            <w:pPr>
              <w:spacing w:line="360" w:lineRule="auto"/>
              <w:jc w:val="center"/>
              <w:rPr>
                <w:rFonts w:cs="Arial"/>
                <w:bCs/>
                <w:sz w:val="20"/>
                <w:szCs w:val="20"/>
                <w:lang w:val="en-US"/>
              </w:rPr>
            </w:pPr>
            <w:r w:rsidRPr="00F63695">
              <w:rPr>
                <w:rFonts w:cs="Arial"/>
                <w:bCs/>
                <w:sz w:val="20"/>
                <w:szCs w:val="20"/>
                <w:lang w:val="en-US"/>
              </w:rPr>
              <w:t>83.</w:t>
            </w:r>
            <w:r w:rsidR="00891BC3">
              <w:rPr>
                <w:rFonts w:cs="Arial"/>
                <w:bCs/>
                <w:sz w:val="20"/>
                <w:szCs w:val="20"/>
                <w:lang w:val="en-US"/>
              </w:rPr>
              <w:t>78</w:t>
            </w:r>
          </w:p>
        </w:tc>
        <w:tc>
          <w:tcPr>
            <w:tcW w:w="1418" w:type="dxa"/>
            <w:tcBorders>
              <w:top w:val="single" w:sz="4" w:space="0" w:color="auto"/>
              <w:bottom w:val="nil"/>
            </w:tcBorders>
            <w:vAlign w:val="center"/>
          </w:tcPr>
          <w:p w14:paraId="23397DA2" w14:textId="33D4CE70" w:rsidR="00481202" w:rsidRPr="00F63695" w:rsidRDefault="00481202" w:rsidP="005D52AB">
            <w:pPr>
              <w:spacing w:line="360" w:lineRule="auto"/>
              <w:jc w:val="center"/>
              <w:rPr>
                <w:rFonts w:cs="Arial"/>
                <w:bCs/>
                <w:sz w:val="20"/>
                <w:szCs w:val="20"/>
                <w:lang w:val="en-US"/>
              </w:rPr>
            </w:pPr>
            <w:r w:rsidRPr="00F63695">
              <w:rPr>
                <w:rFonts w:cs="Arial"/>
                <w:bCs/>
                <w:sz w:val="20"/>
                <w:szCs w:val="20"/>
                <w:lang w:val="en-US"/>
              </w:rPr>
              <w:t>60.</w:t>
            </w:r>
            <w:r w:rsidR="00891BC3">
              <w:rPr>
                <w:rFonts w:cs="Arial"/>
                <w:bCs/>
                <w:sz w:val="20"/>
                <w:szCs w:val="20"/>
                <w:lang w:val="en-US"/>
              </w:rPr>
              <w:t>46</w:t>
            </w:r>
          </w:p>
        </w:tc>
        <w:tc>
          <w:tcPr>
            <w:tcW w:w="1412" w:type="dxa"/>
            <w:tcBorders>
              <w:top w:val="single" w:sz="4" w:space="0" w:color="auto"/>
              <w:bottom w:val="nil"/>
              <w:right w:val="nil"/>
            </w:tcBorders>
            <w:vAlign w:val="center"/>
          </w:tcPr>
          <w:p w14:paraId="6F956D11" w14:textId="5FF61A62" w:rsidR="00481202" w:rsidRPr="00F63695" w:rsidRDefault="00481202" w:rsidP="00392501">
            <w:pPr>
              <w:keepNext/>
              <w:spacing w:line="360" w:lineRule="auto"/>
              <w:jc w:val="center"/>
              <w:rPr>
                <w:rFonts w:cs="Arial"/>
                <w:bCs/>
                <w:sz w:val="20"/>
                <w:szCs w:val="20"/>
                <w:lang w:val="en-US"/>
              </w:rPr>
            </w:pPr>
            <w:r w:rsidRPr="00F63695">
              <w:rPr>
                <w:rFonts w:cs="Arial"/>
                <w:bCs/>
                <w:sz w:val="20"/>
                <w:szCs w:val="20"/>
                <w:lang w:val="en-US"/>
              </w:rPr>
              <w:t>17.</w:t>
            </w:r>
            <w:r w:rsidR="00891BC3">
              <w:rPr>
                <w:rFonts w:cs="Arial"/>
                <w:bCs/>
                <w:sz w:val="20"/>
                <w:szCs w:val="20"/>
                <w:lang w:val="en-US"/>
              </w:rPr>
              <w:t>13</w:t>
            </w:r>
          </w:p>
        </w:tc>
      </w:tr>
    </w:tbl>
    <w:p w14:paraId="52687318" w14:textId="59962C4C" w:rsidR="00392501" w:rsidRPr="007A5A05" w:rsidRDefault="00392501" w:rsidP="007A5A05">
      <w:pPr>
        <w:pStyle w:val="Beschriftung"/>
        <w:jc w:val="center"/>
        <w:rPr>
          <w:color w:val="auto"/>
          <w:lang w:val="en-US"/>
        </w:rPr>
      </w:pPr>
      <w:bookmarkStart w:id="58" w:name="_Ref40387719"/>
      <w:bookmarkStart w:id="59" w:name="_Toc42077714"/>
      <w:r w:rsidRPr="007A5A05">
        <w:rPr>
          <w:color w:val="auto"/>
          <w:lang w:val="en-US"/>
        </w:rPr>
        <w:t xml:space="preserve">Table </w:t>
      </w:r>
      <w:r w:rsidRPr="007A5A05">
        <w:rPr>
          <w:color w:val="auto"/>
        </w:rPr>
        <w:fldChar w:fldCharType="begin"/>
      </w:r>
      <w:r w:rsidRPr="007A5A05">
        <w:rPr>
          <w:color w:val="auto"/>
          <w:lang w:val="en-US"/>
        </w:rPr>
        <w:instrText xml:space="preserve"> SEQ Table \* ARABIC </w:instrText>
      </w:r>
      <w:r w:rsidRPr="007A5A05">
        <w:rPr>
          <w:color w:val="auto"/>
        </w:rPr>
        <w:fldChar w:fldCharType="separate"/>
      </w:r>
      <w:r w:rsidR="00B75C93">
        <w:rPr>
          <w:noProof/>
          <w:color w:val="auto"/>
          <w:lang w:val="en-US"/>
        </w:rPr>
        <w:t>1</w:t>
      </w:r>
      <w:r w:rsidRPr="007A5A05">
        <w:rPr>
          <w:color w:val="auto"/>
        </w:rPr>
        <w:fldChar w:fldCharType="end"/>
      </w:r>
      <w:bookmarkEnd w:id="58"/>
      <w:r w:rsidRPr="007A5A05">
        <w:rPr>
          <w:color w:val="auto"/>
          <w:lang w:val="en-US"/>
        </w:rPr>
        <w:t xml:space="preserve">: </w:t>
      </w:r>
      <w:r w:rsidR="00E21146" w:rsidRPr="007A5A05">
        <w:rPr>
          <w:color w:val="auto"/>
          <w:lang w:val="en-US"/>
        </w:rPr>
        <w:t xml:space="preserve">Economic Statistics Of </w:t>
      </w:r>
      <w:r w:rsidR="007116D6" w:rsidRPr="007A5A05">
        <w:rPr>
          <w:color w:val="auto"/>
          <w:lang w:val="en-US"/>
        </w:rPr>
        <w:t>Selected EU Member States</w:t>
      </w:r>
      <w:bookmarkEnd w:id="59"/>
    </w:p>
    <w:p w14:paraId="7AA65358" w14:textId="3CFB06A5" w:rsidR="00481202" w:rsidRDefault="00481202" w:rsidP="009125F8">
      <w:pPr>
        <w:pStyle w:val="berschrift3"/>
        <w:rPr>
          <w:lang w:val="en-US"/>
        </w:rPr>
      </w:pPr>
      <w:bookmarkStart w:id="60" w:name="_Toc42077758"/>
      <w:r>
        <w:rPr>
          <w:lang w:val="en-US"/>
        </w:rPr>
        <w:t>Austria</w:t>
      </w:r>
      <w:bookmarkEnd w:id="60"/>
    </w:p>
    <w:p w14:paraId="59D8634F" w14:textId="5101D76C" w:rsidR="00481202" w:rsidRPr="000F6EA0" w:rsidRDefault="00481202" w:rsidP="00481202">
      <w:pPr>
        <w:spacing w:line="360" w:lineRule="auto"/>
        <w:rPr>
          <w:rFonts w:cs="Arial"/>
          <w:bCs/>
          <w:lang w:val="en-US"/>
        </w:rPr>
      </w:pPr>
      <w:r>
        <w:rPr>
          <w:rFonts w:cs="Arial"/>
          <w:bCs/>
          <w:lang w:val="en-US"/>
        </w:rPr>
        <w:t xml:space="preserve">In 2019 the Austrian GDP, according to the Austrian National Bank, increased again relatively to the previous year, which also affects the banking industry. While financial institutions observe a decrease of net interest income since 2011 from 20.4 Billion to 15.2 Billion in 2018, revenues based on fee and commission basically remained the same. However, the demand for loans is growing steadily, </w:t>
      </w:r>
      <w:r w:rsidRPr="009C47BF">
        <w:rPr>
          <w:rFonts w:cs="Arial"/>
          <w:bCs/>
          <w:lang w:val="en-US"/>
        </w:rPr>
        <w:t xml:space="preserve">which applies to households </w:t>
      </w:r>
      <w:r>
        <w:rPr>
          <w:rFonts w:cs="Arial"/>
          <w:bCs/>
          <w:lang w:val="en-US"/>
        </w:rPr>
        <w:t>as well as to</w:t>
      </w:r>
      <w:r w:rsidRPr="009C47BF">
        <w:rPr>
          <w:rFonts w:cs="Arial"/>
          <w:bCs/>
          <w:lang w:val="en-US"/>
        </w:rPr>
        <w:t xml:space="preserve"> companies</w:t>
      </w:r>
      <w:r>
        <w:rPr>
          <w:rFonts w:cs="Arial"/>
          <w:bCs/>
          <w:lang w:val="en-US"/>
        </w:rPr>
        <w:t xml:space="preserve">. These contrary developments demonstrate, how </w:t>
      </w:r>
      <w:r w:rsidRPr="004C7381">
        <w:rPr>
          <w:rFonts w:cs="Arial"/>
          <w:bCs/>
          <w:lang w:val="en-US"/>
        </w:rPr>
        <w:t>a low key interest rate affects banks' net interest income</w:t>
      </w:r>
      <w:r w:rsidR="008D04DD">
        <w:rPr>
          <w:rFonts w:cs="Arial"/>
          <w:bCs/>
          <w:lang w:val="en-US"/>
        </w:rPr>
        <w:t xml:space="preserve"> </w:t>
      </w:r>
      <w:sdt>
        <w:sdtPr>
          <w:rPr>
            <w:rFonts w:cs="Arial"/>
            <w:bCs/>
            <w:lang w:val="en-US"/>
          </w:rPr>
          <w:id w:val="1971315543"/>
          <w:citation/>
        </w:sdtPr>
        <w:sdtEndPr/>
        <w:sdtContent>
          <w:r w:rsidR="008D04DD">
            <w:rPr>
              <w:rFonts w:cs="Arial"/>
              <w:bCs/>
              <w:lang w:val="en-US"/>
            </w:rPr>
            <w:fldChar w:fldCharType="begin"/>
          </w:r>
          <w:r w:rsidR="008D04DD" w:rsidRPr="008D04DD">
            <w:rPr>
              <w:rFonts w:cs="Arial"/>
              <w:bCs/>
              <w:lang w:val="en-US"/>
            </w:rPr>
            <w:instrText xml:space="preserve"> CITATION Fuc19 \l 3079 </w:instrText>
          </w:r>
          <w:r w:rsidR="008D04DD">
            <w:rPr>
              <w:rFonts w:cs="Arial"/>
              <w:bCs/>
              <w:lang w:val="en-US"/>
            </w:rPr>
            <w:fldChar w:fldCharType="separate"/>
          </w:r>
          <w:r w:rsidR="008D04DD" w:rsidRPr="008D04DD">
            <w:rPr>
              <w:rFonts w:cs="Arial"/>
              <w:noProof/>
              <w:lang w:val="en-US"/>
            </w:rPr>
            <w:t>(Fuchs, Vondra, Wittenberger, &amp; Roitner, 2019)</w:t>
          </w:r>
          <w:r w:rsidR="008D04DD">
            <w:rPr>
              <w:rFonts w:cs="Arial"/>
              <w:bCs/>
              <w:lang w:val="en-US"/>
            </w:rPr>
            <w:fldChar w:fldCharType="end"/>
          </w:r>
        </w:sdtContent>
      </w:sdt>
      <w:r w:rsidRPr="004C7381">
        <w:rPr>
          <w:rFonts w:cs="Arial"/>
          <w:bCs/>
          <w:lang w:val="en-US"/>
        </w:rPr>
        <w:t xml:space="preserve">. </w:t>
      </w:r>
    </w:p>
    <w:p w14:paraId="5D66AFC7" w14:textId="513D82FD" w:rsidR="00481202" w:rsidRDefault="00481202" w:rsidP="00481202">
      <w:pPr>
        <w:spacing w:line="360" w:lineRule="auto"/>
        <w:rPr>
          <w:rFonts w:cs="Arial"/>
          <w:bCs/>
          <w:lang w:val="en-US"/>
        </w:rPr>
      </w:pPr>
      <w:r>
        <w:rPr>
          <w:rFonts w:cs="Arial"/>
          <w:bCs/>
          <w:lang w:val="en-US"/>
        </w:rPr>
        <w:t>According to</w:t>
      </w:r>
      <w:r w:rsidRPr="00C97602">
        <w:rPr>
          <w:rFonts w:cs="Arial"/>
          <w:bCs/>
          <w:lang w:val="en-US"/>
        </w:rPr>
        <w:t xml:space="preserve"> </w:t>
      </w:r>
      <w:r>
        <w:rPr>
          <w:rFonts w:cs="Arial"/>
          <w:bCs/>
          <w:lang w:val="en-US"/>
        </w:rPr>
        <w:t xml:space="preserve">a study by </w:t>
      </w:r>
      <w:proofErr w:type="spellStart"/>
      <w:r w:rsidRPr="00C97602">
        <w:rPr>
          <w:rFonts w:cs="Arial"/>
          <w:bCs/>
          <w:lang w:val="en-US"/>
        </w:rPr>
        <w:t>Kor</w:t>
      </w:r>
      <w:r>
        <w:rPr>
          <w:rFonts w:cs="Arial"/>
          <w:bCs/>
          <w:lang w:val="en-US"/>
        </w:rPr>
        <w:t>ntheuer</w:t>
      </w:r>
      <w:proofErr w:type="spellEnd"/>
      <w:r w:rsidR="00B84CE4">
        <w:rPr>
          <w:rFonts w:cs="Arial"/>
          <w:bCs/>
          <w:lang w:val="en-US"/>
        </w:rPr>
        <w:t xml:space="preserve">, </w:t>
      </w:r>
      <w:proofErr w:type="spellStart"/>
      <w:r w:rsidR="00B84CE4">
        <w:rPr>
          <w:rFonts w:cs="Arial"/>
          <w:bCs/>
          <w:lang w:val="en-US"/>
        </w:rPr>
        <w:t>Prantner</w:t>
      </w:r>
      <w:proofErr w:type="spellEnd"/>
      <w:r w:rsidR="00B84CE4">
        <w:rPr>
          <w:rFonts w:cs="Arial"/>
          <w:bCs/>
          <w:lang w:val="en-US"/>
        </w:rPr>
        <w:t xml:space="preserve"> and </w:t>
      </w:r>
      <w:proofErr w:type="spellStart"/>
      <w:r w:rsidR="00B84CE4">
        <w:rPr>
          <w:rFonts w:cs="Arial"/>
          <w:bCs/>
          <w:lang w:val="en-US"/>
        </w:rPr>
        <w:t>Rupprecht</w:t>
      </w:r>
      <w:proofErr w:type="spellEnd"/>
      <w:r>
        <w:rPr>
          <w:rFonts w:cs="Arial"/>
          <w:bCs/>
          <w:lang w:val="en-US"/>
        </w:rPr>
        <w:t xml:space="preserve"> from </w:t>
      </w:r>
      <w:sdt>
        <w:sdtPr>
          <w:rPr>
            <w:rFonts w:cs="Arial"/>
            <w:bCs/>
            <w:lang w:val="en-US"/>
          </w:rPr>
          <w:id w:val="-1494790265"/>
          <w:citation/>
        </w:sdtPr>
        <w:sdtEndPr/>
        <w:sdtContent>
          <w:r w:rsidR="009C3FFA">
            <w:rPr>
              <w:rFonts w:cs="Arial"/>
              <w:bCs/>
              <w:lang w:val="en-US"/>
            </w:rPr>
            <w:fldChar w:fldCharType="begin"/>
          </w:r>
          <w:r w:rsidR="009C3FFA">
            <w:rPr>
              <w:rFonts w:cs="Arial"/>
              <w:bCs/>
              <w:lang w:val="en-US"/>
            </w:rPr>
            <w:instrText xml:space="preserve">CITATION Kor19 \n  \t  \l 3079 </w:instrText>
          </w:r>
          <w:r w:rsidR="009C3FFA">
            <w:rPr>
              <w:rFonts w:cs="Arial"/>
              <w:bCs/>
              <w:lang w:val="en-US"/>
            </w:rPr>
            <w:fldChar w:fldCharType="separate"/>
          </w:r>
          <w:r w:rsidR="009C3FFA" w:rsidRPr="009C3FFA">
            <w:rPr>
              <w:rFonts w:cs="Arial"/>
              <w:noProof/>
              <w:lang w:val="en-US"/>
            </w:rPr>
            <w:t>(2019)</w:t>
          </w:r>
          <w:r w:rsidR="009C3FFA">
            <w:rPr>
              <w:rFonts w:cs="Arial"/>
              <w:bCs/>
              <w:lang w:val="en-US"/>
            </w:rPr>
            <w:fldChar w:fldCharType="end"/>
          </w:r>
        </w:sdtContent>
      </w:sdt>
      <w:r>
        <w:rPr>
          <w:rFonts w:cs="Arial"/>
          <w:bCs/>
          <w:lang w:val="en-US"/>
        </w:rPr>
        <w:t>, which analyzes the developments regarding bank charges on the basis of 12 banking institutions in Vienna, the majority of banks raised their fees in 2018. Just like in previous years, the most significant increases occur in areas, where traditional banking services are provided. Hence, additional costs regarding banking fees mainly affect customers, who prefer performing</w:t>
      </w:r>
      <w:r w:rsidRPr="00594B2E">
        <w:rPr>
          <w:rFonts w:cs="Arial"/>
          <w:bCs/>
          <w:lang w:val="en-US"/>
        </w:rPr>
        <w:t xml:space="preserve"> banking transactions at the counter, rather than </w:t>
      </w:r>
      <w:r>
        <w:rPr>
          <w:rFonts w:cs="Arial"/>
          <w:bCs/>
          <w:lang w:val="en-US"/>
        </w:rPr>
        <w:t>using</w:t>
      </w:r>
      <w:r w:rsidRPr="00594B2E">
        <w:rPr>
          <w:rFonts w:cs="Arial"/>
          <w:bCs/>
          <w:lang w:val="en-US"/>
        </w:rPr>
        <w:t xml:space="preserve"> an ATM or online </w:t>
      </w:r>
      <w:r>
        <w:rPr>
          <w:rFonts w:cs="Arial"/>
          <w:bCs/>
          <w:lang w:val="en-US"/>
        </w:rPr>
        <w:t xml:space="preserve">banking, potentially </w:t>
      </w:r>
      <w:r w:rsidRPr="00594B2E">
        <w:rPr>
          <w:rFonts w:cs="Arial"/>
          <w:bCs/>
          <w:lang w:val="en-US"/>
        </w:rPr>
        <w:t xml:space="preserve">due to lack of trust </w:t>
      </w:r>
      <w:r>
        <w:rPr>
          <w:rFonts w:cs="Arial"/>
          <w:bCs/>
          <w:lang w:val="en-US"/>
        </w:rPr>
        <w:t xml:space="preserve">or computer skills. Furthermore banks increased their fees remarkably for services, that involve the effort of an employee in a branch. For instance, charges for performing cash deposits in branches rose significantly compared to 2010. Depending on various factors, like whether the </w:t>
      </w:r>
      <w:r>
        <w:rPr>
          <w:rFonts w:cs="Arial"/>
          <w:bCs/>
          <w:lang w:val="en-US"/>
        </w:rPr>
        <w:lastRenderedPageBreak/>
        <w:t>client keeps an account at the specific bank, customers have to pay 8.00 EUR for depositing cash. By comparison, in 2010 the relevant bank only charged 4.50 EUR for the same service. Nevertheless one third of the reviewed financial institutions did not raise their banking fees</w:t>
      </w:r>
      <w:r w:rsidR="00B84CE4">
        <w:rPr>
          <w:rFonts w:cs="Arial"/>
          <w:bCs/>
          <w:lang w:val="en-US"/>
        </w:rPr>
        <w:t xml:space="preserve"> </w:t>
      </w:r>
      <w:sdt>
        <w:sdtPr>
          <w:rPr>
            <w:rFonts w:cs="Arial"/>
            <w:bCs/>
            <w:lang w:val="en-US"/>
          </w:rPr>
          <w:id w:val="743997027"/>
          <w:citation/>
        </w:sdtPr>
        <w:sdtEndPr/>
        <w:sdtContent>
          <w:r w:rsidR="00B84CE4">
            <w:rPr>
              <w:rFonts w:cs="Arial"/>
              <w:bCs/>
              <w:lang w:val="en-US"/>
            </w:rPr>
            <w:fldChar w:fldCharType="begin"/>
          </w:r>
          <w:r w:rsidR="00B84CE4" w:rsidRPr="00B84CE4">
            <w:rPr>
              <w:rFonts w:cs="Arial"/>
              <w:bCs/>
              <w:lang w:val="en-US"/>
            </w:rPr>
            <w:instrText xml:space="preserve"> CITATION Kor19 \l 3079 </w:instrText>
          </w:r>
          <w:r w:rsidR="00B84CE4">
            <w:rPr>
              <w:rFonts w:cs="Arial"/>
              <w:bCs/>
              <w:lang w:val="en-US"/>
            </w:rPr>
            <w:fldChar w:fldCharType="separate"/>
          </w:r>
          <w:r w:rsidR="00B84CE4" w:rsidRPr="00B84CE4">
            <w:rPr>
              <w:rFonts w:cs="Arial"/>
              <w:noProof/>
              <w:lang w:val="en-US"/>
            </w:rPr>
            <w:t>(Korntheuer, Prantner, &amp; Rupprecht, 2019)</w:t>
          </w:r>
          <w:r w:rsidR="00B84CE4">
            <w:rPr>
              <w:rFonts w:cs="Arial"/>
              <w:bCs/>
              <w:lang w:val="en-US"/>
            </w:rPr>
            <w:fldChar w:fldCharType="end"/>
          </w:r>
        </w:sdtContent>
      </w:sdt>
      <w:r>
        <w:rPr>
          <w:rFonts w:cs="Arial"/>
          <w:bCs/>
          <w:lang w:val="en-US"/>
        </w:rPr>
        <w:t>.</w:t>
      </w:r>
    </w:p>
    <w:p w14:paraId="47725C94" w14:textId="6A512105" w:rsidR="00481202" w:rsidRDefault="00481202" w:rsidP="00481202">
      <w:pPr>
        <w:spacing w:line="360" w:lineRule="auto"/>
        <w:rPr>
          <w:rFonts w:cs="Arial"/>
          <w:bCs/>
          <w:lang w:val="en-US"/>
        </w:rPr>
      </w:pPr>
      <w:r>
        <w:rPr>
          <w:rFonts w:cs="Arial"/>
          <w:bCs/>
          <w:lang w:val="en-US"/>
        </w:rPr>
        <w:t>The comparison of maintenance fees regarding checking accounts shows the range of annual costs for costumers and indicates differences between direct and traditional banks</w:t>
      </w:r>
      <w:r w:rsidR="005D4670">
        <w:rPr>
          <w:rFonts w:cs="Arial"/>
          <w:bCs/>
          <w:lang w:val="en-US"/>
        </w:rPr>
        <w:t xml:space="preserve"> </w:t>
      </w:r>
      <w:sdt>
        <w:sdtPr>
          <w:rPr>
            <w:rFonts w:cs="Arial"/>
            <w:bCs/>
            <w:lang w:val="en-US"/>
          </w:rPr>
          <w:id w:val="-813260137"/>
          <w:citation/>
        </w:sdtPr>
        <w:sdtEndPr/>
        <w:sdtContent>
          <w:r w:rsidR="005D4670">
            <w:rPr>
              <w:rFonts w:cs="Arial"/>
              <w:bCs/>
              <w:lang w:val="en-US"/>
            </w:rPr>
            <w:fldChar w:fldCharType="begin"/>
          </w:r>
          <w:r w:rsidR="005D4670" w:rsidRPr="005D4670">
            <w:rPr>
              <w:rFonts w:cs="Arial"/>
              <w:bCs/>
              <w:lang w:val="en-US"/>
            </w:rPr>
            <w:instrText xml:space="preserve"> CITATION Ban203 \l 3079 </w:instrText>
          </w:r>
          <w:r w:rsidR="005D4670">
            <w:rPr>
              <w:rFonts w:cs="Arial"/>
              <w:bCs/>
              <w:lang w:val="en-US"/>
            </w:rPr>
            <w:fldChar w:fldCharType="separate"/>
          </w:r>
          <w:r w:rsidR="005D4670" w:rsidRPr="005D4670">
            <w:rPr>
              <w:rFonts w:cs="Arial"/>
              <w:noProof/>
              <w:lang w:val="en-US"/>
            </w:rPr>
            <w:t>(Bankenrechner AK, 2020)</w:t>
          </w:r>
          <w:r w:rsidR="005D4670">
            <w:rPr>
              <w:rFonts w:cs="Arial"/>
              <w:bCs/>
              <w:lang w:val="en-US"/>
            </w:rPr>
            <w:fldChar w:fldCharType="end"/>
          </w:r>
        </w:sdtContent>
      </w:sdt>
      <w:r>
        <w:rPr>
          <w:rFonts w:cs="Arial"/>
          <w:bCs/>
          <w:lang w:val="en-US"/>
        </w:rPr>
        <w:t>.</w:t>
      </w:r>
      <w:r w:rsidR="005D4670">
        <w:rPr>
          <w:rFonts w:cs="Arial"/>
          <w:bCs/>
          <w:lang w:val="en-US"/>
        </w:rPr>
        <w:t xml:space="preserve"> </w:t>
      </w:r>
      <w:r>
        <w:rPr>
          <w:rFonts w:cs="Arial"/>
          <w:bCs/>
          <w:lang w:val="en-US"/>
        </w:rPr>
        <w:t xml:space="preserve">The only institutions, that do not charge fees for a basic checking account in Austria are DADAT and ING-DiBa, which are direct banks. The most expensive account model annually costs 241.30 EUR. </w:t>
      </w:r>
      <w:r w:rsidRPr="004C50BD">
        <w:rPr>
          <w:rFonts w:cs="Arial"/>
          <w:bCs/>
          <w:lang w:val="en-US"/>
        </w:rPr>
        <w:t xml:space="preserve">On average, account management fees </w:t>
      </w:r>
      <w:r>
        <w:rPr>
          <w:rFonts w:cs="Arial"/>
          <w:bCs/>
          <w:lang w:val="en-US"/>
        </w:rPr>
        <w:t xml:space="preserve">in Austria </w:t>
      </w:r>
      <w:r w:rsidRPr="004C50BD">
        <w:rPr>
          <w:rFonts w:cs="Arial"/>
          <w:bCs/>
          <w:lang w:val="en-US"/>
        </w:rPr>
        <w:t xml:space="preserve">amount to </w:t>
      </w:r>
      <w:r>
        <w:rPr>
          <w:rFonts w:cs="Arial"/>
          <w:bCs/>
          <w:lang w:val="en-US"/>
        </w:rPr>
        <w:t>112.39</w:t>
      </w:r>
      <w:r w:rsidRPr="004C50BD">
        <w:rPr>
          <w:rFonts w:cs="Arial"/>
          <w:bCs/>
          <w:lang w:val="en-US"/>
        </w:rPr>
        <w:t xml:space="preserve"> </w:t>
      </w:r>
      <w:r>
        <w:rPr>
          <w:rFonts w:cs="Arial"/>
          <w:bCs/>
          <w:lang w:val="en-US"/>
        </w:rPr>
        <w:t xml:space="preserve">EUR. However, despite the fact, that all the offers compared relate to checking accounts, there is notable variation regarding additional services. For instance, some models </w:t>
      </w:r>
      <w:r w:rsidRPr="000B1B48">
        <w:rPr>
          <w:rFonts w:cs="Arial"/>
          <w:bCs/>
          <w:lang w:val="en-US"/>
        </w:rPr>
        <w:t xml:space="preserve">are aimed only at students </w:t>
      </w:r>
      <w:r>
        <w:rPr>
          <w:rFonts w:cs="Arial"/>
          <w:bCs/>
          <w:lang w:val="en-US"/>
        </w:rPr>
        <w:t>and while various offers involve the provision of a credit card, others do not. Thus, comparing banking fees in general is rather complex, due to the variety of services and its charges.</w:t>
      </w:r>
    </w:p>
    <w:p w14:paraId="72A28693" w14:textId="3E84C80D" w:rsidR="00CB082C" w:rsidRDefault="003B5AC6" w:rsidP="00481202">
      <w:pPr>
        <w:spacing w:line="360" w:lineRule="auto"/>
        <w:rPr>
          <w:rFonts w:cs="Arial"/>
          <w:bCs/>
          <w:lang w:val="en-US"/>
        </w:rPr>
      </w:pPr>
      <w:r>
        <w:rPr>
          <w:rFonts w:cs="Arial"/>
          <w:bCs/>
          <w:lang w:val="en-US"/>
        </w:rPr>
        <w:t xml:space="preserve">Referring to </w:t>
      </w:r>
      <w:r w:rsidR="00B74DB6">
        <w:rPr>
          <w:rFonts w:cs="Arial"/>
          <w:bCs/>
          <w:lang w:val="en-US"/>
        </w:rPr>
        <w:t xml:space="preserve">the numbers in </w:t>
      </w:r>
      <w:r w:rsidR="00233503" w:rsidRPr="00233503">
        <w:rPr>
          <w:rFonts w:cs="Arial"/>
          <w:bCs/>
          <w:u w:val="single"/>
          <w:lang w:val="en-US"/>
        </w:rPr>
        <w:fldChar w:fldCharType="begin"/>
      </w:r>
      <w:r w:rsidR="00233503" w:rsidRPr="00233503">
        <w:rPr>
          <w:rFonts w:cs="Arial"/>
          <w:bCs/>
          <w:u w:val="single"/>
          <w:lang w:val="en-US"/>
        </w:rPr>
        <w:instrText xml:space="preserve"> REF _Ref40387719 \h </w:instrText>
      </w:r>
      <w:r w:rsidR="00233503" w:rsidRPr="00233503">
        <w:rPr>
          <w:rFonts w:cs="Arial"/>
          <w:bCs/>
          <w:u w:val="single"/>
          <w:lang w:val="en-US"/>
        </w:rPr>
      </w:r>
      <w:r w:rsidR="00233503" w:rsidRPr="00233503">
        <w:rPr>
          <w:rFonts w:cs="Arial"/>
          <w:bCs/>
          <w:u w:val="single"/>
          <w:lang w:val="en-US"/>
        </w:rPr>
        <w:fldChar w:fldCharType="separate"/>
      </w:r>
      <w:r w:rsidR="00B75C93" w:rsidRPr="007A5A05">
        <w:rPr>
          <w:lang w:val="en-US"/>
        </w:rPr>
        <w:t xml:space="preserve">Table </w:t>
      </w:r>
      <w:r w:rsidR="00B75C93">
        <w:rPr>
          <w:noProof/>
          <w:lang w:val="en-US"/>
        </w:rPr>
        <w:t>1</w:t>
      </w:r>
      <w:r w:rsidR="00233503" w:rsidRPr="00233503">
        <w:rPr>
          <w:rFonts w:cs="Arial"/>
          <w:bCs/>
          <w:u w:val="single"/>
          <w:lang w:val="en-US"/>
        </w:rPr>
        <w:fldChar w:fldCharType="end"/>
      </w:r>
      <w:r w:rsidR="00B74DB6">
        <w:rPr>
          <w:rFonts w:cs="Arial"/>
          <w:bCs/>
          <w:lang w:val="en-US"/>
        </w:rPr>
        <w:t xml:space="preserve">, </w:t>
      </w:r>
      <w:r w:rsidR="007E752D">
        <w:rPr>
          <w:rFonts w:cs="Arial"/>
          <w:bCs/>
          <w:lang w:val="en-US"/>
        </w:rPr>
        <w:t xml:space="preserve">there are </w:t>
      </w:r>
      <w:r w:rsidR="008B118F">
        <w:rPr>
          <w:rFonts w:cs="Arial"/>
          <w:bCs/>
          <w:lang w:val="en-US"/>
        </w:rPr>
        <w:t xml:space="preserve">a few </w:t>
      </w:r>
      <w:r w:rsidR="005E2FE9">
        <w:rPr>
          <w:rFonts w:cs="Arial"/>
          <w:bCs/>
          <w:lang w:val="en-US"/>
        </w:rPr>
        <w:t>figures</w:t>
      </w:r>
      <w:r w:rsidR="00FE74B1">
        <w:rPr>
          <w:rFonts w:cs="Arial"/>
          <w:bCs/>
          <w:lang w:val="en-US"/>
        </w:rPr>
        <w:t xml:space="preserve">, </w:t>
      </w:r>
      <w:r w:rsidR="00D73C6D">
        <w:rPr>
          <w:rFonts w:cs="Arial"/>
          <w:bCs/>
          <w:lang w:val="en-US"/>
        </w:rPr>
        <w:t xml:space="preserve">which would </w:t>
      </w:r>
      <w:r w:rsidR="00F611D9">
        <w:rPr>
          <w:rFonts w:cs="Arial"/>
          <w:bCs/>
          <w:lang w:val="en-US"/>
        </w:rPr>
        <w:t>adumbrate</w:t>
      </w:r>
      <w:r w:rsidR="00FE74B1">
        <w:rPr>
          <w:rFonts w:cs="Arial"/>
          <w:bCs/>
          <w:lang w:val="en-US"/>
        </w:rPr>
        <w:t xml:space="preserve"> </w:t>
      </w:r>
      <w:r w:rsidR="00300C41">
        <w:rPr>
          <w:rFonts w:cs="Arial"/>
          <w:bCs/>
          <w:lang w:val="en-US"/>
        </w:rPr>
        <w:t xml:space="preserve">low banking fees </w:t>
      </w:r>
      <w:r w:rsidR="0093080B">
        <w:rPr>
          <w:rFonts w:cs="Arial"/>
          <w:bCs/>
          <w:lang w:val="en-US"/>
        </w:rPr>
        <w:t>in</w:t>
      </w:r>
      <w:r w:rsidR="00D73C6D">
        <w:rPr>
          <w:rFonts w:cs="Arial"/>
          <w:bCs/>
          <w:lang w:val="en-US"/>
        </w:rPr>
        <w:t xml:space="preserve"> </w:t>
      </w:r>
      <w:r w:rsidR="00EB2840">
        <w:rPr>
          <w:rFonts w:cs="Arial"/>
          <w:bCs/>
          <w:lang w:val="en-US"/>
        </w:rPr>
        <w:t>Austria</w:t>
      </w:r>
      <w:r w:rsidR="00246109">
        <w:rPr>
          <w:rFonts w:cs="Arial"/>
          <w:bCs/>
          <w:lang w:val="en-US"/>
        </w:rPr>
        <w:t xml:space="preserve">. </w:t>
      </w:r>
      <w:r w:rsidR="00D66C75">
        <w:rPr>
          <w:rFonts w:cs="Arial"/>
          <w:bCs/>
          <w:lang w:val="en-US"/>
        </w:rPr>
        <w:t xml:space="preserve">For instance, </w:t>
      </w:r>
      <w:r w:rsidR="00890DFA">
        <w:rPr>
          <w:rFonts w:cs="Arial"/>
          <w:bCs/>
          <w:lang w:val="en-US"/>
        </w:rPr>
        <w:t xml:space="preserve">the </w:t>
      </w:r>
      <w:r w:rsidR="00D66C75">
        <w:rPr>
          <w:rFonts w:cs="Arial"/>
          <w:bCs/>
          <w:lang w:val="en-US"/>
        </w:rPr>
        <w:t>Austria</w:t>
      </w:r>
      <w:r w:rsidR="00890DFA">
        <w:rPr>
          <w:rFonts w:cs="Arial"/>
          <w:bCs/>
          <w:lang w:val="en-US"/>
        </w:rPr>
        <w:t>n</w:t>
      </w:r>
      <w:r w:rsidR="00796F20">
        <w:rPr>
          <w:rFonts w:cs="Arial"/>
          <w:bCs/>
          <w:lang w:val="en-US"/>
        </w:rPr>
        <w:t xml:space="preserve"> real economy</w:t>
      </w:r>
      <w:r w:rsidR="00CB082C">
        <w:rPr>
          <w:rFonts w:cs="Arial"/>
          <w:bCs/>
          <w:lang w:val="en-US"/>
        </w:rPr>
        <w:t>, measured by GDP per capita,</w:t>
      </w:r>
      <w:r w:rsidR="00796F20">
        <w:rPr>
          <w:rFonts w:cs="Arial"/>
          <w:bCs/>
          <w:lang w:val="en-US"/>
        </w:rPr>
        <w:t xml:space="preserve"> </w:t>
      </w:r>
      <w:r w:rsidR="00B440DE">
        <w:rPr>
          <w:rFonts w:cs="Arial"/>
          <w:bCs/>
          <w:lang w:val="en-US"/>
        </w:rPr>
        <w:t xml:space="preserve">seems </w:t>
      </w:r>
      <w:r w:rsidR="00014C41">
        <w:rPr>
          <w:rFonts w:cs="Arial"/>
          <w:bCs/>
          <w:lang w:val="en-US"/>
        </w:rPr>
        <w:t xml:space="preserve">relatively </w:t>
      </w:r>
      <w:r w:rsidR="007D0696">
        <w:rPr>
          <w:rFonts w:cs="Arial"/>
          <w:bCs/>
          <w:lang w:val="en-US"/>
        </w:rPr>
        <w:t xml:space="preserve">stable </w:t>
      </w:r>
      <w:r w:rsidR="00A84E9C">
        <w:rPr>
          <w:rFonts w:cs="Arial"/>
          <w:bCs/>
          <w:lang w:val="en-US"/>
        </w:rPr>
        <w:t xml:space="preserve">and </w:t>
      </w:r>
      <w:r w:rsidR="00A6658E">
        <w:rPr>
          <w:rFonts w:cs="Arial"/>
          <w:bCs/>
          <w:lang w:val="en-US"/>
        </w:rPr>
        <w:t xml:space="preserve">the economic </w:t>
      </w:r>
      <w:r w:rsidR="00D67451">
        <w:rPr>
          <w:rFonts w:cs="Arial"/>
          <w:bCs/>
          <w:lang w:val="en-US"/>
        </w:rPr>
        <w:t>growth rate</w:t>
      </w:r>
      <w:r w:rsidR="00FE36AE">
        <w:rPr>
          <w:rFonts w:cs="Arial"/>
          <w:bCs/>
          <w:lang w:val="en-US"/>
        </w:rPr>
        <w:t xml:space="preserve">, which </w:t>
      </w:r>
      <w:r w:rsidR="00776422">
        <w:rPr>
          <w:rFonts w:cs="Arial"/>
          <w:bCs/>
          <w:lang w:val="en-US"/>
        </w:rPr>
        <w:t>is above the EU average</w:t>
      </w:r>
      <w:r w:rsidR="008362BC">
        <w:rPr>
          <w:rFonts w:cs="Arial"/>
          <w:bCs/>
          <w:lang w:val="en-US"/>
        </w:rPr>
        <w:t xml:space="preserve">, indicates </w:t>
      </w:r>
      <w:r w:rsidR="000D2FCF">
        <w:rPr>
          <w:rFonts w:cs="Arial"/>
          <w:bCs/>
          <w:lang w:val="en-US"/>
        </w:rPr>
        <w:t>a</w:t>
      </w:r>
      <w:r w:rsidR="002812FC">
        <w:rPr>
          <w:rFonts w:cs="Arial"/>
          <w:bCs/>
          <w:lang w:val="en-US"/>
        </w:rPr>
        <w:t>n</w:t>
      </w:r>
      <w:r w:rsidR="000D2FCF">
        <w:rPr>
          <w:rFonts w:cs="Arial"/>
          <w:bCs/>
          <w:lang w:val="en-US"/>
        </w:rPr>
        <w:t xml:space="preserve"> increasing demand on loans </w:t>
      </w:r>
      <w:r w:rsidR="007A24A7">
        <w:rPr>
          <w:rFonts w:cs="Arial"/>
          <w:bCs/>
          <w:lang w:val="en-US"/>
        </w:rPr>
        <w:t xml:space="preserve">and therefore </w:t>
      </w:r>
      <w:r w:rsidR="00B42ED2">
        <w:rPr>
          <w:rFonts w:cs="Arial"/>
          <w:bCs/>
          <w:lang w:val="en-US"/>
        </w:rPr>
        <w:t xml:space="preserve">decreasing bank charges. </w:t>
      </w:r>
      <w:r w:rsidR="00F873B9">
        <w:rPr>
          <w:rFonts w:cs="Arial"/>
          <w:bCs/>
          <w:lang w:val="en-US"/>
        </w:rPr>
        <w:t>Nevertheless</w:t>
      </w:r>
      <w:r w:rsidR="00A74D65">
        <w:rPr>
          <w:rFonts w:cs="Arial"/>
          <w:bCs/>
          <w:lang w:val="en-US"/>
        </w:rPr>
        <w:t xml:space="preserve"> Austria </w:t>
      </w:r>
      <w:r w:rsidR="009D4F79">
        <w:rPr>
          <w:rFonts w:cs="Arial"/>
          <w:bCs/>
          <w:lang w:val="en-US"/>
        </w:rPr>
        <w:t>holds comparatively high amounts o</w:t>
      </w:r>
      <w:r w:rsidR="00ED4C9D">
        <w:rPr>
          <w:rFonts w:cs="Arial"/>
          <w:bCs/>
          <w:lang w:val="en-US"/>
        </w:rPr>
        <w:t>f</w:t>
      </w:r>
      <w:r w:rsidR="009D4F79">
        <w:rPr>
          <w:rFonts w:cs="Arial"/>
          <w:bCs/>
          <w:lang w:val="en-US"/>
        </w:rPr>
        <w:t xml:space="preserve"> fees. </w:t>
      </w:r>
      <w:r w:rsidR="00233A52" w:rsidRPr="00233A52">
        <w:rPr>
          <w:rFonts w:cs="Arial"/>
          <w:bCs/>
          <w:u w:val="single"/>
          <w:lang w:val="en-US"/>
        </w:rPr>
        <w:fldChar w:fldCharType="begin"/>
      </w:r>
      <w:r w:rsidR="00233A52" w:rsidRPr="00233A52">
        <w:rPr>
          <w:rFonts w:cs="Arial"/>
          <w:bCs/>
          <w:u w:val="single"/>
          <w:lang w:val="en-US"/>
        </w:rPr>
        <w:instrText xml:space="preserve"> REF _Ref40387900 \h </w:instrText>
      </w:r>
      <w:r w:rsidR="00233A52" w:rsidRPr="00233A52">
        <w:rPr>
          <w:rFonts w:cs="Arial"/>
          <w:bCs/>
          <w:u w:val="single"/>
          <w:lang w:val="en-US"/>
        </w:rPr>
      </w:r>
      <w:r w:rsidR="00233A52" w:rsidRPr="00233A52">
        <w:rPr>
          <w:rFonts w:cs="Arial"/>
          <w:bCs/>
          <w:u w:val="single"/>
          <w:lang w:val="en-US"/>
        </w:rPr>
        <w:fldChar w:fldCharType="separate"/>
      </w:r>
      <w:r w:rsidR="00B75C93" w:rsidRPr="00737F4D">
        <w:rPr>
          <w:lang w:val="en-US"/>
        </w:rPr>
        <w:t xml:space="preserve">Figure </w:t>
      </w:r>
      <w:r w:rsidR="00B75C93">
        <w:rPr>
          <w:noProof/>
          <w:lang w:val="en-US"/>
        </w:rPr>
        <w:t>3</w:t>
      </w:r>
      <w:r w:rsidR="00233A52" w:rsidRPr="00233A52">
        <w:rPr>
          <w:rFonts w:cs="Arial"/>
          <w:bCs/>
          <w:u w:val="single"/>
          <w:lang w:val="en-US"/>
        </w:rPr>
        <w:fldChar w:fldCharType="end"/>
      </w:r>
      <w:r w:rsidR="00037240">
        <w:rPr>
          <w:rFonts w:cs="Arial"/>
          <w:bCs/>
          <w:lang w:val="en-US"/>
        </w:rPr>
        <w:t xml:space="preserve"> </w:t>
      </w:r>
      <w:r w:rsidR="00EA067D">
        <w:rPr>
          <w:rFonts w:cs="Arial"/>
          <w:bCs/>
          <w:lang w:val="en-US"/>
        </w:rPr>
        <w:t>shows</w:t>
      </w:r>
      <w:r w:rsidR="00CA0D2E">
        <w:rPr>
          <w:rFonts w:cs="Arial"/>
          <w:bCs/>
          <w:lang w:val="en-US"/>
        </w:rPr>
        <w:t xml:space="preserve">, that only </w:t>
      </w:r>
      <w:r w:rsidR="003C5C5A">
        <w:rPr>
          <w:rFonts w:cs="Arial"/>
          <w:bCs/>
          <w:lang w:val="en-US"/>
        </w:rPr>
        <w:t xml:space="preserve">two-thirds of the Austrian bank </w:t>
      </w:r>
      <w:r w:rsidR="00F005E5">
        <w:rPr>
          <w:rFonts w:cs="Arial"/>
          <w:bCs/>
          <w:lang w:val="en-US"/>
        </w:rPr>
        <w:t>customers</w:t>
      </w:r>
      <w:r w:rsidR="003C5C5A">
        <w:rPr>
          <w:rFonts w:cs="Arial"/>
          <w:bCs/>
          <w:lang w:val="en-US"/>
        </w:rPr>
        <w:t xml:space="preserve"> </w:t>
      </w:r>
      <w:r w:rsidR="00F005E5">
        <w:rPr>
          <w:rFonts w:cs="Arial"/>
          <w:bCs/>
          <w:lang w:val="en-US"/>
        </w:rPr>
        <w:t xml:space="preserve">are actively </w:t>
      </w:r>
      <w:r w:rsidR="00817E13">
        <w:rPr>
          <w:rFonts w:cs="Arial"/>
          <w:bCs/>
          <w:lang w:val="en-US"/>
        </w:rPr>
        <w:t>us</w:t>
      </w:r>
      <w:r w:rsidR="00F005E5">
        <w:rPr>
          <w:rFonts w:cs="Arial"/>
          <w:bCs/>
          <w:lang w:val="en-US"/>
        </w:rPr>
        <w:t>ing</w:t>
      </w:r>
      <w:r w:rsidR="00817E13">
        <w:rPr>
          <w:rFonts w:cs="Arial"/>
          <w:bCs/>
          <w:lang w:val="en-US"/>
        </w:rPr>
        <w:t xml:space="preserve"> online banking</w:t>
      </w:r>
      <w:r w:rsidR="001A7CB6">
        <w:rPr>
          <w:rFonts w:cs="Arial"/>
          <w:bCs/>
          <w:lang w:val="en-US"/>
        </w:rPr>
        <w:t>. Furthermore</w:t>
      </w:r>
      <w:r w:rsidR="002B24EF">
        <w:rPr>
          <w:rFonts w:cs="Arial"/>
          <w:bCs/>
          <w:lang w:val="en-US"/>
        </w:rPr>
        <w:t xml:space="preserve">, </w:t>
      </w:r>
      <w:r w:rsidR="0034419B">
        <w:rPr>
          <w:rFonts w:cs="Arial"/>
          <w:bCs/>
          <w:lang w:val="en-US"/>
        </w:rPr>
        <w:t>Austria has a high value when it comes to branch density</w:t>
      </w:r>
      <w:r w:rsidR="00A26F58">
        <w:rPr>
          <w:rFonts w:cs="Arial"/>
          <w:bCs/>
          <w:lang w:val="en-US"/>
        </w:rPr>
        <w:t xml:space="preserve"> and therefore</w:t>
      </w:r>
      <w:r w:rsidR="00FD1262">
        <w:rPr>
          <w:rFonts w:cs="Arial"/>
          <w:bCs/>
          <w:lang w:val="en-US"/>
        </w:rPr>
        <w:t xml:space="preserve"> </w:t>
      </w:r>
      <w:r w:rsidR="005E1583">
        <w:rPr>
          <w:rFonts w:cs="Arial"/>
          <w:bCs/>
          <w:lang w:val="en-US"/>
        </w:rPr>
        <w:t>banks</w:t>
      </w:r>
      <w:r w:rsidR="00685C58">
        <w:rPr>
          <w:rFonts w:cs="Arial"/>
          <w:bCs/>
          <w:lang w:val="en-US"/>
        </w:rPr>
        <w:t xml:space="preserve"> tend</w:t>
      </w:r>
      <w:r w:rsidR="00C04D4C">
        <w:rPr>
          <w:rFonts w:cs="Arial"/>
          <w:bCs/>
          <w:lang w:val="en-US"/>
        </w:rPr>
        <w:t xml:space="preserve"> to</w:t>
      </w:r>
      <w:r w:rsidR="004C0C1A">
        <w:rPr>
          <w:rFonts w:cs="Arial"/>
          <w:bCs/>
          <w:lang w:val="en-US"/>
        </w:rPr>
        <w:t xml:space="preserve"> deal with </w:t>
      </w:r>
      <w:r w:rsidR="00697AF8">
        <w:rPr>
          <w:rFonts w:cs="Arial"/>
          <w:bCs/>
          <w:lang w:val="en-US"/>
        </w:rPr>
        <w:t>immense costs</w:t>
      </w:r>
      <w:r w:rsidR="003F3983">
        <w:rPr>
          <w:rFonts w:cs="Arial"/>
          <w:bCs/>
          <w:lang w:val="en-US"/>
        </w:rPr>
        <w:t xml:space="preserve"> </w:t>
      </w:r>
      <w:r w:rsidR="004B1881">
        <w:rPr>
          <w:rFonts w:cs="Arial"/>
          <w:bCs/>
          <w:lang w:val="en-US"/>
        </w:rPr>
        <w:t xml:space="preserve">regarding </w:t>
      </w:r>
      <w:r w:rsidR="001064CD">
        <w:rPr>
          <w:rFonts w:cs="Arial"/>
          <w:bCs/>
          <w:lang w:val="en-US"/>
        </w:rPr>
        <w:t xml:space="preserve">facilities and labor. </w:t>
      </w:r>
      <w:r w:rsidR="00681ACD" w:rsidRPr="00681ACD">
        <w:rPr>
          <w:rFonts w:cs="Arial"/>
          <w:bCs/>
          <w:lang w:val="en-US"/>
        </w:rPr>
        <w:t>Both circumstances indicate a low level of acceptance regarding internet banking</w:t>
      </w:r>
      <w:r w:rsidR="00405ACE">
        <w:rPr>
          <w:rFonts w:cs="Arial"/>
          <w:bCs/>
          <w:lang w:val="en-US"/>
        </w:rPr>
        <w:t xml:space="preserve">. </w:t>
      </w:r>
      <w:r w:rsidR="000D4A8D">
        <w:rPr>
          <w:rFonts w:cs="Arial"/>
          <w:bCs/>
          <w:lang w:val="en-US"/>
        </w:rPr>
        <w:t xml:space="preserve">As a result </w:t>
      </w:r>
      <w:r w:rsidR="00001B12">
        <w:rPr>
          <w:rFonts w:cs="Arial"/>
          <w:bCs/>
          <w:lang w:val="en-US"/>
        </w:rPr>
        <w:t xml:space="preserve">banking fees tend to be relatively high, since </w:t>
      </w:r>
      <w:r w:rsidR="009F0C55">
        <w:rPr>
          <w:rFonts w:cs="Arial"/>
          <w:bCs/>
          <w:lang w:val="en-US"/>
        </w:rPr>
        <w:t xml:space="preserve">banks are not able to </w:t>
      </w:r>
      <w:r w:rsidR="003D62B7">
        <w:rPr>
          <w:rFonts w:cs="Arial"/>
          <w:bCs/>
          <w:lang w:val="en-US"/>
        </w:rPr>
        <w:t xml:space="preserve">implement </w:t>
      </w:r>
      <w:r w:rsidR="00D14581">
        <w:rPr>
          <w:rFonts w:cs="Arial"/>
          <w:bCs/>
          <w:lang w:val="en-US"/>
        </w:rPr>
        <w:t>novel, cost-reducing technologies</w:t>
      </w:r>
      <w:r w:rsidR="00FB3CE8">
        <w:rPr>
          <w:rFonts w:cs="Arial"/>
          <w:bCs/>
          <w:lang w:val="en-US"/>
        </w:rPr>
        <w:t xml:space="preserve"> and </w:t>
      </w:r>
      <w:r w:rsidR="006B7801">
        <w:rPr>
          <w:rFonts w:cs="Arial"/>
          <w:bCs/>
          <w:lang w:val="en-US"/>
        </w:rPr>
        <w:t>reduce</w:t>
      </w:r>
      <w:r w:rsidR="006F4CBB">
        <w:rPr>
          <w:rFonts w:cs="Arial"/>
          <w:bCs/>
          <w:lang w:val="en-US"/>
        </w:rPr>
        <w:t xml:space="preserve"> </w:t>
      </w:r>
      <w:r w:rsidR="00493F08">
        <w:rPr>
          <w:rFonts w:cs="Arial"/>
          <w:bCs/>
          <w:lang w:val="en-US"/>
        </w:rPr>
        <w:t xml:space="preserve">traditional </w:t>
      </w:r>
      <w:r w:rsidR="002512D2">
        <w:rPr>
          <w:rFonts w:cs="Arial"/>
          <w:bCs/>
          <w:lang w:val="en-US"/>
        </w:rPr>
        <w:t>services</w:t>
      </w:r>
      <w:r w:rsidR="002D62A8">
        <w:rPr>
          <w:rFonts w:cs="Arial"/>
          <w:bCs/>
          <w:lang w:val="en-US"/>
        </w:rPr>
        <w:t xml:space="preserve"> due to a lack of </w:t>
      </w:r>
      <w:r w:rsidR="0065071A">
        <w:rPr>
          <w:rFonts w:cs="Arial"/>
          <w:bCs/>
          <w:lang w:val="en-US"/>
        </w:rPr>
        <w:t>adoption.</w:t>
      </w:r>
    </w:p>
    <w:p w14:paraId="09567A34" w14:textId="5AA7472F" w:rsidR="00481202" w:rsidRDefault="00481202" w:rsidP="00794EBC">
      <w:pPr>
        <w:pStyle w:val="berschrift3"/>
        <w:rPr>
          <w:lang w:val="en-US"/>
        </w:rPr>
      </w:pPr>
      <w:bookmarkStart w:id="61" w:name="_Toc42077759"/>
      <w:r>
        <w:rPr>
          <w:lang w:val="en-US"/>
        </w:rPr>
        <w:t>Germany</w:t>
      </w:r>
      <w:bookmarkEnd w:id="61"/>
    </w:p>
    <w:p w14:paraId="559AC799" w14:textId="64852F91" w:rsidR="00481202" w:rsidRDefault="00481202" w:rsidP="00481202">
      <w:pPr>
        <w:spacing w:line="360" w:lineRule="auto"/>
        <w:rPr>
          <w:rFonts w:cs="Arial"/>
          <w:bCs/>
          <w:lang w:val="en-US"/>
        </w:rPr>
      </w:pPr>
      <w:r>
        <w:rPr>
          <w:rFonts w:cs="Arial"/>
          <w:bCs/>
          <w:lang w:val="en-US"/>
        </w:rPr>
        <w:t xml:space="preserve">Nowadays German banking institutions are facing typical challenges. According to </w:t>
      </w:r>
      <w:r w:rsidRPr="00D9090A">
        <w:rPr>
          <w:rFonts w:cs="Arial"/>
          <w:bCs/>
          <w:lang w:val="en-US"/>
        </w:rPr>
        <w:t xml:space="preserve">Joachim </w:t>
      </w:r>
      <w:proofErr w:type="spellStart"/>
      <w:r w:rsidRPr="00D9090A">
        <w:rPr>
          <w:rFonts w:cs="Arial"/>
          <w:bCs/>
          <w:lang w:val="en-US"/>
        </w:rPr>
        <w:t>Wuermeling</w:t>
      </w:r>
      <w:proofErr w:type="spellEnd"/>
      <w:r w:rsidR="0059257D">
        <w:rPr>
          <w:rFonts w:cs="Arial"/>
          <w:bCs/>
          <w:lang w:val="en-US"/>
        </w:rPr>
        <w:t xml:space="preserve"> </w:t>
      </w:r>
      <w:sdt>
        <w:sdtPr>
          <w:rPr>
            <w:rFonts w:cs="Arial"/>
            <w:bCs/>
            <w:lang w:val="en-US"/>
          </w:rPr>
          <w:id w:val="768043582"/>
          <w:citation/>
        </w:sdtPr>
        <w:sdtEndPr/>
        <w:sdtContent>
          <w:r w:rsidR="0059257D">
            <w:rPr>
              <w:rFonts w:cs="Arial"/>
              <w:bCs/>
              <w:lang w:val="en-US"/>
            </w:rPr>
            <w:fldChar w:fldCharType="begin"/>
          </w:r>
          <w:r w:rsidR="0059257D">
            <w:rPr>
              <w:rFonts w:cs="Arial"/>
              <w:bCs/>
              <w:lang w:val="en-US"/>
            </w:rPr>
            <w:instrText xml:space="preserve">CITATION Wue19 \n  \t  \l 3079 </w:instrText>
          </w:r>
          <w:r w:rsidR="0059257D">
            <w:rPr>
              <w:rFonts w:cs="Arial"/>
              <w:bCs/>
              <w:lang w:val="en-US"/>
            </w:rPr>
            <w:fldChar w:fldCharType="separate"/>
          </w:r>
          <w:r w:rsidR="0059257D" w:rsidRPr="0059257D">
            <w:rPr>
              <w:rFonts w:cs="Arial"/>
              <w:noProof/>
              <w:lang w:val="en-US"/>
            </w:rPr>
            <w:t>(2019)</w:t>
          </w:r>
          <w:r w:rsidR="0059257D">
            <w:rPr>
              <w:rFonts w:cs="Arial"/>
              <w:bCs/>
              <w:lang w:val="en-US"/>
            </w:rPr>
            <w:fldChar w:fldCharType="end"/>
          </w:r>
        </w:sdtContent>
      </w:sdt>
      <w:r>
        <w:rPr>
          <w:rFonts w:cs="Arial"/>
          <w:bCs/>
          <w:lang w:val="en-US"/>
        </w:rPr>
        <w:t xml:space="preserve">, member of </w:t>
      </w:r>
      <w:r w:rsidRPr="00D9090A">
        <w:rPr>
          <w:rFonts w:cs="Arial"/>
          <w:bCs/>
          <w:lang w:val="en-US"/>
        </w:rPr>
        <w:t>the Executive Board of the Deutsche Bundesbank</w:t>
      </w:r>
      <w:r>
        <w:rPr>
          <w:rFonts w:cs="Arial"/>
          <w:bCs/>
          <w:lang w:val="en-US"/>
        </w:rPr>
        <w:t>, b</w:t>
      </w:r>
      <w:r w:rsidRPr="000A38B3">
        <w:rPr>
          <w:rFonts w:cs="Arial"/>
          <w:bCs/>
          <w:lang w:val="en-US"/>
        </w:rPr>
        <w:t xml:space="preserve">anks in Germany </w:t>
      </w:r>
      <w:r>
        <w:rPr>
          <w:rFonts w:cs="Arial"/>
          <w:bCs/>
          <w:lang w:val="en-US"/>
        </w:rPr>
        <w:t xml:space="preserve">have traditionally generated their income majorly based on net interest earnings. However, low interest rates lead to low profit margins. Therefore increasing fees, for instance maintenance charges, are inevitable from a bank’s point of view. Furthermore </w:t>
      </w:r>
      <w:proofErr w:type="spellStart"/>
      <w:r>
        <w:rPr>
          <w:rFonts w:cs="Arial"/>
          <w:bCs/>
          <w:lang w:val="en-US"/>
        </w:rPr>
        <w:t>Wuermeling</w:t>
      </w:r>
      <w:proofErr w:type="spellEnd"/>
      <w:r>
        <w:rPr>
          <w:rFonts w:cs="Arial"/>
          <w:bCs/>
          <w:lang w:val="en-US"/>
        </w:rPr>
        <w:t xml:space="preserve"> mentions other factors, that drive changes in the banking industry:</w:t>
      </w:r>
    </w:p>
    <w:p w14:paraId="2DE826F4" w14:textId="421CC6F9" w:rsidR="00481202" w:rsidRDefault="00481202" w:rsidP="00481202">
      <w:pPr>
        <w:spacing w:line="360" w:lineRule="auto"/>
        <w:ind w:left="567" w:right="567"/>
        <w:rPr>
          <w:rFonts w:cs="Arial"/>
          <w:bCs/>
          <w:lang w:val="en-US"/>
        </w:rPr>
      </w:pPr>
      <w:r w:rsidRPr="00D9090A">
        <w:rPr>
          <w:rFonts w:cs="Arial"/>
          <w:bCs/>
          <w:lang w:val="en-US"/>
        </w:rPr>
        <w:t>Germany’s banks also have an efficiency problem and many are trailing behind in the digital revolution. First, Germany's banking sector is close to the bottom of the list in the international comparison of cost ratios, i.e. the ratio of administrative expenditure to income. Budgets are stretched through too many branches, time-</w:t>
      </w:r>
      <w:r w:rsidRPr="00D9090A">
        <w:rPr>
          <w:rFonts w:cs="Arial"/>
          <w:bCs/>
          <w:lang w:val="en-US"/>
        </w:rPr>
        <w:lastRenderedPageBreak/>
        <w:t>consuming processes, generous headcounts and antiquated IT. It is therefore not enough to merely raise charges.</w:t>
      </w:r>
      <w:r w:rsidR="00F9386D">
        <w:rPr>
          <w:rFonts w:cs="Arial"/>
          <w:bCs/>
          <w:lang w:val="en-US"/>
        </w:rPr>
        <w:t xml:space="preserve"> </w:t>
      </w:r>
      <w:sdt>
        <w:sdtPr>
          <w:rPr>
            <w:rFonts w:cs="Arial"/>
            <w:bCs/>
            <w:lang w:val="en-US"/>
          </w:rPr>
          <w:id w:val="-1541285447"/>
          <w:citation/>
        </w:sdtPr>
        <w:sdtEndPr/>
        <w:sdtContent>
          <w:r w:rsidR="00F9386D">
            <w:rPr>
              <w:rFonts w:cs="Arial"/>
              <w:bCs/>
              <w:lang w:val="en-US"/>
            </w:rPr>
            <w:fldChar w:fldCharType="begin"/>
          </w:r>
          <w:r w:rsidR="00F9386D" w:rsidRPr="0099572D">
            <w:rPr>
              <w:rFonts w:cs="Arial"/>
              <w:bCs/>
              <w:lang w:val="en-US"/>
            </w:rPr>
            <w:instrText xml:space="preserve"> CITATION Wue19 \l 3079 </w:instrText>
          </w:r>
          <w:r w:rsidR="00F9386D">
            <w:rPr>
              <w:rFonts w:cs="Arial"/>
              <w:bCs/>
              <w:lang w:val="en-US"/>
            </w:rPr>
            <w:fldChar w:fldCharType="separate"/>
          </w:r>
          <w:r w:rsidR="00F9386D" w:rsidRPr="0099572D">
            <w:rPr>
              <w:rFonts w:cs="Arial"/>
              <w:noProof/>
              <w:lang w:val="en-US"/>
            </w:rPr>
            <w:t>(Wuermeling, 2019)</w:t>
          </w:r>
          <w:r w:rsidR="00F9386D">
            <w:rPr>
              <w:rFonts w:cs="Arial"/>
              <w:bCs/>
              <w:lang w:val="en-US"/>
            </w:rPr>
            <w:fldChar w:fldCharType="end"/>
          </w:r>
        </w:sdtContent>
      </w:sdt>
    </w:p>
    <w:p w14:paraId="3E2B2779" w14:textId="766F6EED" w:rsidR="00481202" w:rsidRDefault="00481202" w:rsidP="00481202">
      <w:pPr>
        <w:spacing w:line="360" w:lineRule="auto"/>
        <w:rPr>
          <w:rFonts w:cs="Arial"/>
          <w:bCs/>
          <w:lang w:val="en-US"/>
        </w:rPr>
      </w:pPr>
      <w:r>
        <w:rPr>
          <w:rFonts w:cs="Arial"/>
          <w:bCs/>
          <w:lang w:val="en-US"/>
        </w:rPr>
        <w:t>A study by McKinsey notes that banking fees in Germany generally increased over the last years, nevertheless gains were often offset by declines in net interest income. For instance, fee income of German banking institutions represents a share of 25 percent of total income from 2014 to 2017. By comparison, it was only 23 percent from 2010 to 2013</w:t>
      </w:r>
      <w:r w:rsidR="00E3280C">
        <w:rPr>
          <w:rFonts w:cs="Arial"/>
          <w:bCs/>
          <w:lang w:val="en-US"/>
        </w:rPr>
        <w:t xml:space="preserve"> </w:t>
      </w:r>
      <w:sdt>
        <w:sdtPr>
          <w:rPr>
            <w:rFonts w:cs="Arial"/>
            <w:bCs/>
            <w:lang w:val="en-US"/>
          </w:rPr>
          <w:id w:val="989446259"/>
          <w:citation/>
        </w:sdtPr>
        <w:sdtEndPr/>
        <w:sdtContent>
          <w:r w:rsidR="00E3280C">
            <w:rPr>
              <w:rFonts w:cs="Arial"/>
              <w:bCs/>
              <w:lang w:val="en-US"/>
            </w:rPr>
            <w:fldChar w:fldCharType="begin"/>
          </w:r>
          <w:r w:rsidR="00E3280C" w:rsidRPr="00E3280C">
            <w:rPr>
              <w:rFonts w:cs="Arial"/>
              <w:bCs/>
              <w:lang w:val="en-US"/>
            </w:rPr>
            <w:instrText xml:space="preserve"> CITATION Koc19 \l 3079 </w:instrText>
          </w:r>
          <w:r w:rsidR="00E3280C">
            <w:rPr>
              <w:rFonts w:cs="Arial"/>
              <w:bCs/>
              <w:lang w:val="en-US"/>
            </w:rPr>
            <w:fldChar w:fldCharType="separate"/>
          </w:r>
          <w:r w:rsidR="00E3280C" w:rsidRPr="00E3280C">
            <w:rPr>
              <w:rFonts w:cs="Arial"/>
              <w:noProof/>
              <w:lang w:val="en-US"/>
            </w:rPr>
            <w:t>(Koch, et al., 2019)</w:t>
          </w:r>
          <w:r w:rsidR="00E3280C">
            <w:rPr>
              <w:rFonts w:cs="Arial"/>
              <w:bCs/>
              <w:lang w:val="en-US"/>
            </w:rPr>
            <w:fldChar w:fldCharType="end"/>
          </w:r>
        </w:sdtContent>
      </w:sdt>
      <w:r>
        <w:rPr>
          <w:rFonts w:cs="Arial"/>
          <w:bCs/>
          <w:lang w:val="en-US"/>
        </w:rPr>
        <w:t xml:space="preserve">. </w:t>
      </w:r>
    </w:p>
    <w:p w14:paraId="189615B7" w14:textId="7E61427C" w:rsidR="00481202" w:rsidRDefault="00481202" w:rsidP="00481202">
      <w:pPr>
        <w:spacing w:line="360" w:lineRule="auto"/>
        <w:rPr>
          <w:rFonts w:cs="Arial"/>
          <w:bCs/>
          <w:lang w:val="en-US"/>
        </w:rPr>
      </w:pPr>
      <w:r w:rsidRPr="00D80491">
        <w:rPr>
          <w:rFonts w:cs="Arial"/>
          <w:bCs/>
          <w:lang w:val="en-US"/>
        </w:rPr>
        <w:t xml:space="preserve">In </w:t>
      </w:r>
      <w:r>
        <w:rPr>
          <w:rFonts w:cs="Arial"/>
          <w:bCs/>
          <w:lang w:val="en-US"/>
        </w:rPr>
        <w:t xml:space="preserve">February </w:t>
      </w:r>
      <w:r w:rsidRPr="00D80491">
        <w:rPr>
          <w:rFonts w:cs="Arial"/>
          <w:bCs/>
          <w:lang w:val="en-US"/>
        </w:rPr>
        <w:t>2020</w:t>
      </w:r>
      <w:r>
        <w:rPr>
          <w:rFonts w:cs="Arial"/>
          <w:bCs/>
          <w:lang w:val="en-US"/>
        </w:rPr>
        <w:t>,</w:t>
      </w:r>
      <w:r w:rsidRPr="00D80491">
        <w:rPr>
          <w:rFonts w:cs="Arial"/>
          <w:bCs/>
          <w:lang w:val="en-US"/>
        </w:rPr>
        <w:t xml:space="preserve"> the largest d</w:t>
      </w:r>
      <w:r>
        <w:rPr>
          <w:rFonts w:cs="Arial"/>
          <w:bCs/>
          <w:lang w:val="en-US"/>
        </w:rPr>
        <w:t xml:space="preserve">irect bank in Europe, the Dutch ING DiBa, announced </w:t>
      </w:r>
      <w:r w:rsidRPr="00AE04F8">
        <w:rPr>
          <w:rFonts w:cs="Arial"/>
          <w:bCs/>
          <w:lang w:val="en-US"/>
        </w:rPr>
        <w:t xml:space="preserve">the abolition of the free </w:t>
      </w:r>
      <w:proofErr w:type="spellStart"/>
      <w:r>
        <w:rPr>
          <w:rFonts w:cs="Arial"/>
          <w:bCs/>
          <w:lang w:val="en-US"/>
        </w:rPr>
        <w:t>giro</w:t>
      </w:r>
      <w:proofErr w:type="spellEnd"/>
      <w:r>
        <w:rPr>
          <w:rFonts w:cs="Arial"/>
          <w:bCs/>
          <w:lang w:val="en-US"/>
        </w:rPr>
        <w:t xml:space="preserve"> account in Germany for specific clients. Therefore</w:t>
      </w:r>
      <w:r w:rsidRPr="00AE04F8">
        <w:rPr>
          <w:rFonts w:cs="Arial"/>
          <w:bCs/>
          <w:lang w:val="en-US"/>
        </w:rPr>
        <w:t xml:space="preserve"> costumers, who particularly use</w:t>
      </w:r>
      <w:r>
        <w:rPr>
          <w:rFonts w:cs="Arial"/>
          <w:bCs/>
          <w:lang w:val="en-US"/>
        </w:rPr>
        <w:t xml:space="preserve"> their account for saving purposes, have to pay charges of 4.90 EUR per month. However, </w:t>
      </w:r>
      <w:r w:rsidRPr="00196DF8">
        <w:rPr>
          <w:rFonts w:cs="Arial"/>
          <w:bCs/>
          <w:lang w:val="en-US"/>
        </w:rPr>
        <w:t>a monthly deposit of 700 EUR will waive the</w:t>
      </w:r>
      <w:r>
        <w:rPr>
          <w:rFonts w:cs="Arial"/>
          <w:bCs/>
          <w:lang w:val="en-US"/>
        </w:rPr>
        <w:t>se maintenance fees</w:t>
      </w:r>
      <w:r w:rsidR="00E87BC3">
        <w:rPr>
          <w:rFonts w:cs="Arial"/>
          <w:bCs/>
          <w:lang w:val="en-US"/>
        </w:rPr>
        <w:t xml:space="preserve"> </w:t>
      </w:r>
      <w:sdt>
        <w:sdtPr>
          <w:rPr>
            <w:rFonts w:cs="Arial"/>
            <w:bCs/>
            <w:lang w:val="en-US"/>
          </w:rPr>
          <w:id w:val="887148458"/>
          <w:citation/>
        </w:sdtPr>
        <w:sdtEndPr/>
        <w:sdtContent>
          <w:r w:rsidR="00E87BC3">
            <w:rPr>
              <w:rFonts w:cs="Arial"/>
              <w:bCs/>
              <w:lang w:val="en-US"/>
            </w:rPr>
            <w:fldChar w:fldCharType="begin"/>
          </w:r>
          <w:r w:rsidR="00E87BC3" w:rsidRPr="00E87BC3">
            <w:rPr>
              <w:rFonts w:cs="Arial"/>
              <w:bCs/>
              <w:lang w:val="en-US"/>
            </w:rPr>
            <w:instrText xml:space="preserve"> CITATION Foc20 \l 3079 </w:instrText>
          </w:r>
          <w:r w:rsidR="00E87BC3">
            <w:rPr>
              <w:rFonts w:cs="Arial"/>
              <w:bCs/>
              <w:lang w:val="en-US"/>
            </w:rPr>
            <w:fldChar w:fldCharType="separate"/>
          </w:r>
          <w:r w:rsidR="00E87BC3" w:rsidRPr="00E87BC3">
            <w:rPr>
              <w:rFonts w:cs="Arial"/>
              <w:noProof/>
              <w:lang w:val="en-US"/>
            </w:rPr>
            <w:t>(Focus, 2020)</w:t>
          </w:r>
          <w:r w:rsidR="00E87BC3">
            <w:rPr>
              <w:rFonts w:cs="Arial"/>
              <w:bCs/>
              <w:lang w:val="en-US"/>
            </w:rPr>
            <w:fldChar w:fldCharType="end"/>
          </w:r>
        </w:sdtContent>
      </w:sdt>
      <w:r>
        <w:rPr>
          <w:rFonts w:cs="Arial"/>
          <w:bCs/>
          <w:lang w:val="en-US"/>
        </w:rPr>
        <w:t>. This example shows, that direct banks, despite having significantly less fixed costs than traditional banking institutions, need to start charging fees, due to factors, like market competition or other developments mentioned above.</w:t>
      </w:r>
    </w:p>
    <w:p w14:paraId="74407D43" w14:textId="60604261" w:rsidR="0005018B" w:rsidRPr="003C4396" w:rsidRDefault="0005018B" w:rsidP="00481202">
      <w:pPr>
        <w:spacing w:line="360" w:lineRule="auto"/>
        <w:rPr>
          <w:rFonts w:cs="Arial"/>
          <w:lang w:val="en-US"/>
        </w:rPr>
      </w:pPr>
      <w:r>
        <w:rPr>
          <w:rFonts w:cs="Arial"/>
          <w:bCs/>
          <w:lang w:val="en-US"/>
        </w:rPr>
        <w:t xml:space="preserve">Germany in specific </w:t>
      </w:r>
      <w:r w:rsidR="00AB6D57">
        <w:rPr>
          <w:rFonts w:cs="Arial"/>
          <w:bCs/>
          <w:lang w:val="en-US"/>
        </w:rPr>
        <w:t xml:space="preserve">holds </w:t>
      </w:r>
      <w:r w:rsidR="00A4768D">
        <w:rPr>
          <w:rFonts w:cs="Arial"/>
          <w:bCs/>
          <w:lang w:val="en-US"/>
        </w:rPr>
        <w:t xml:space="preserve">relatively average values in </w:t>
      </w:r>
      <w:r w:rsidR="00AB5FB7" w:rsidRPr="00D346C3">
        <w:rPr>
          <w:rFonts w:cs="Arial"/>
          <w:bCs/>
          <w:lang w:val="en-US"/>
        </w:rPr>
        <w:fldChar w:fldCharType="begin"/>
      </w:r>
      <w:r w:rsidR="00AB5FB7" w:rsidRPr="00D346C3">
        <w:rPr>
          <w:rFonts w:cs="Arial"/>
          <w:bCs/>
          <w:lang w:val="en-US"/>
        </w:rPr>
        <w:instrText xml:space="preserve"> REF _Ref40387719 \h  \* MERGEFORMAT </w:instrText>
      </w:r>
      <w:r w:rsidR="00AB5FB7" w:rsidRPr="00D346C3">
        <w:rPr>
          <w:rFonts w:cs="Arial"/>
          <w:bCs/>
          <w:lang w:val="en-US"/>
        </w:rPr>
      </w:r>
      <w:r w:rsidR="00AB5FB7" w:rsidRPr="00D346C3">
        <w:rPr>
          <w:rFonts w:cs="Arial"/>
          <w:bCs/>
          <w:lang w:val="en-US"/>
        </w:rPr>
        <w:fldChar w:fldCharType="separate"/>
      </w:r>
      <w:r w:rsidR="00B75C93" w:rsidRPr="007A5A05">
        <w:rPr>
          <w:lang w:val="en-US"/>
        </w:rPr>
        <w:t xml:space="preserve">Table </w:t>
      </w:r>
      <w:r w:rsidR="00B75C93">
        <w:rPr>
          <w:noProof/>
          <w:lang w:val="en-US"/>
        </w:rPr>
        <w:t>1</w:t>
      </w:r>
      <w:r w:rsidR="00AB5FB7" w:rsidRPr="00D346C3">
        <w:rPr>
          <w:rFonts w:cs="Arial"/>
          <w:bCs/>
          <w:lang w:val="en-US"/>
        </w:rPr>
        <w:fldChar w:fldCharType="end"/>
      </w:r>
      <w:r w:rsidR="00AB5FB7">
        <w:rPr>
          <w:rFonts w:cs="Arial"/>
          <w:bCs/>
          <w:lang w:val="en-US"/>
        </w:rPr>
        <w:t xml:space="preserve"> </w:t>
      </w:r>
      <w:r w:rsidR="004A7873">
        <w:rPr>
          <w:rFonts w:cs="Arial"/>
          <w:bCs/>
          <w:lang w:val="en-US"/>
        </w:rPr>
        <w:t xml:space="preserve">and </w:t>
      </w:r>
      <w:r w:rsidR="00D77AE7">
        <w:rPr>
          <w:rFonts w:cs="Arial"/>
          <w:bCs/>
          <w:lang w:val="en-US"/>
        </w:rPr>
        <w:t xml:space="preserve">has the same share of online banking users </w:t>
      </w:r>
      <w:r w:rsidR="002D4E0E">
        <w:rPr>
          <w:rFonts w:cs="Arial"/>
          <w:bCs/>
          <w:lang w:val="en-US"/>
        </w:rPr>
        <w:t xml:space="preserve">as Austria. </w:t>
      </w:r>
      <w:r w:rsidR="00490670">
        <w:rPr>
          <w:rFonts w:cs="Arial"/>
          <w:bCs/>
          <w:lang w:val="en-US"/>
        </w:rPr>
        <w:t xml:space="preserve">Nevertheless, </w:t>
      </w:r>
      <w:r w:rsidR="00873B59">
        <w:rPr>
          <w:rFonts w:cs="Arial"/>
          <w:bCs/>
          <w:lang w:val="en-US"/>
        </w:rPr>
        <w:t xml:space="preserve">German banking branches </w:t>
      </w:r>
      <w:r w:rsidR="00C50A80">
        <w:rPr>
          <w:rFonts w:cs="Arial"/>
          <w:bCs/>
          <w:lang w:val="en-US"/>
        </w:rPr>
        <w:t xml:space="preserve">are not as widespread as Austrian </w:t>
      </w:r>
      <w:r w:rsidR="000273CC">
        <w:rPr>
          <w:rFonts w:cs="Arial"/>
          <w:bCs/>
          <w:lang w:val="en-US"/>
        </w:rPr>
        <w:t xml:space="preserve">ones, which </w:t>
      </w:r>
      <w:r w:rsidR="00A115E5">
        <w:rPr>
          <w:rFonts w:cs="Arial"/>
          <w:bCs/>
          <w:lang w:val="en-US"/>
        </w:rPr>
        <w:t xml:space="preserve">indicates </w:t>
      </w:r>
      <w:r w:rsidR="00B3769C">
        <w:rPr>
          <w:rFonts w:cs="Arial"/>
          <w:bCs/>
          <w:lang w:val="en-US"/>
        </w:rPr>
        <w:t xml:space="preserve">a relatively higher level of adoption of the new financial technologies. </w:t>
      </w:r>
      <w:r w:rsidR="00040904">
        <w:rPr>
          <w:rFonts w:cs="Arial"/>
          <w:bCs/>
          <w:lang w:val="en-US"/>
        </w:rPr>
        <w:t>Therefore</w:t>
      </w:r>
      <w:r w:rsidR="00065C8C">
        <w:rPr>
          <w:rFonts w:cs="Arial"/>
          <w:bCs/>
          <w:lang w:val="en-US"/>
        </w:rPr>
        <w:t xml:space="preserve">, </w:t>
      </w:r>
      <w:r w:rsidR="001C0E74">
        <w:rPr>
          <w:rFonts w:cs="Arial"/>
          <w:bCs/>
          <w:lang w:val="en-US"/>
        </w:rPr>
        <w:t xml:space="preserve">the amount </w:t>
      </w:r>
      <w:r w:rsidR="00F3022D">
        <w:rPr>
          <w:rFonts w:cs="Arial"/>
          <w:bCs/>
          <w:lang w:val="en-US"/>
        </w:rPr>
        <w:t xml:space="preserve">of </w:t>
      </w:r>
      <w:r w:rsidR="001C0E74">
        <w:rPr>
          <w:rFonts w:cs="Arial"/>
          <w:bCs/>
          <w:lang w:val="en-US"/>
        </w:rPr>
        <w:t>banking fees charged in Germany</w:t>
      </w:r>
      <w:r w:rsidR="002039FE">
        <w:rPr>
          <w:rFonts w:cs="Arial"/>
          <w:bCs/>
          <w:lang w:val="en-US"/>
        </w:rPr>
        <w:t xml:space="preserve"> fits well with its </w:t>
      </w:r>
      <w:r w:rsidR="008C31E8">
        <w:rPr>
          <w:rFonts w:cs="Arial"/>
          <w:bCs/>
          <w:lang w:val="en-US"/>
        </w:rPr>
        <w:t xml:space="preserve">determinants, </w:t>
      </w:r>
      <w:r w:rsidR="002E00B0">
        <w:rPr>
          <w:rFonts w:cs="Arial"/>
          <w:bCs/>
          <w:lang w:val="en-US"/>
        </w:rPr>
        <w:t>considering the mentioned figures.</w:t>
      </w:r>
    </w:p>
    <w:p w14:paraId="50CBCF44" w14:textId="77777777" w:rsidR="00481202" w:rsidRDefault="00481202" w:rsidP="001F370B">
      <w:pPr>
        <w:pStyle w:val="berschrift3"/>
        <w:rPr>
          <w:lang w:val="en-US"/>
        </w:rPr>
      </w:pPr>
      <w:bookmarkStart w:id="62" w:name="_Toc42077760"/>
      <w:r w:rsidRPr="00D261A6">
        <w:rPr>
          <w:lang w:val="en-US"/>
        </w:rPr>
        <w:t>Italy</w:t>
      </w:r>
      <w:bookmarkEnd w:id="62"/>
    </w:p>
    <w:p w14:paraId="3997EF5B" w14:textId="2F22ABE9" w:rsidR="00481202" w:rsidRDefault="00481202" w:rsidP="00481202">
      <w:pPr>
        <w:spacing w:line="360" w:lineRule="auto"/>
        <w:rPr>
          <w:rFonts w:cs="Arial"/>
          <w:lang w:val="en-US"/>
        </w:rPr>
      </w:pPr>
      <w:r>
        <w:rPr>
          <w:rFonts w:cs="Arial"/>
          <w:lang w:val="en-US"/>
        </w:rPr>
        <w:t xml:space="preserve">Italian banking institutions have the highest costs of banking services in Europe. </w:t>
      </w:r>
      <w:proofErr w:type="spellStart"/>
      <w:r>
        <w:rPr>
          <w:rFonts w:cs="Arial"/>
          <w:lang w:val="en-US"/>
        </w:rPr>
        <w:t>Mammone</w:t>
      </w:r>
      <w:proofErr w:type="spellEnd"/>
      <w:r>
        <w:rPr>
          <w:rFonts w:cs="Arial"/>
          <w:lang w:val="en-US"/>
        </w:rPr>
        <w:t xml:space="preserve">, </w:t>
      </w:r>
      <w:proofErr w:type="spellStart"/>
      <w:r>
        <w:rPr>
          <w:rFonts w:cs="Arial"/>
          <w:lang w:val="en-US"/>
        </w:rPr>
        <w:t>Parini</w:t>
      </w:r>
      <w:proofErr w:type="spellEnd"/>
      <w:r>
        <w:rPr>
          <w:rFonts w:cs="Arial"/>
          <w:lang w:val="en-US"/>
        </w:rPr>
        <w:t xml:space="preserve"> and </w:t>
      </w:r>
      <w:proofErr w:type="spellStart"/>
      <w:r>
        <w:rPr>
          <w:rFonts w:cs="Arial"/>
          <w:lang w:val="en-US"/>
        </w:rPr>
        <w:t>Veltri</w:t>
      </w:r>
      <w:proofErr w:type="spellEnd"/>
      <w:r>
        <w:rPr>
          <w:rFonts w:cs="Arial"/>
          <w:lang w:val="en-US"/>
        </w:rPr>
        <w:t xml:space="preserve"> mainly justify this incident with cross-ownerships among the major Italian bank groups</w:t>
      </w:r>
      <w:r w:rsidR="00A87005">
        <w:rPr>
          <w:rFonts w:cs="Arial"/>
          <w:lang w:val="en-US"/>
        </w:rPr>
        <w:t xml:space="preserve"> </w:t>
      </w:r>
      <w:sdt>
        <w:sdtPr>
          <w:rPr>
            <w:rFonts w:cs="Arial"/>
            <w:lang w:val="en-US"/>
          </w:rPr>
          <w:id w:val="-1977132760"/>
          <w:citation/>
        </w:sdtPr>
        <w:sdtEndPr/>
        <w:sdtContent>
          <w:r w:rsidR="00A87005">
            <w:rPr>
              <w:rFonts w:cs="Arial"/>
              <w:lang w:val="en-US"/>
            </w:rPr>
            <w:fldChar w:fldCharType="begin"/>
          </w:r>
          <w:r w:rsidR="00A87005" w:rsidRPr="00A87005">
            <w:rPr>
              <w:rFonts w:cs="Arial"/>
              <w:lang w:val="en-US"/>
            </w:rPr>
            <w:instrText xml:space="preserve"> CITATION Ion15 \l 3079 </w:instrText>
          </w:r>
          <w:r w:rsidR="00A87005">
            <w:rPr>
              <w:rFonts w:cs="Arial"/>
              <w:lang w:val="en-US"/>
            </w:rPr>
            <w:fldChar w:fldCharType="separate"/>
          </w:r>
          <w:r w:rsidR="00A87005" w:rsidRPr="00A87005">
            <w:rPr>
              <w:rFonts w:cs="Arial"/>
              <w:noProof/>
              <w:lang w:val="en-US"/>
            </w:rPr>
            <w:t>(Iona, Leonida, &amp; Silipo, 2015)</w:t>
          </w:r>
          <w:r w:rsidR="00A87005">
            <w:rPr>
              <w:rFonts w:cs="Arial"/>
              <w:lang w:val="en-US"/>
            </w:rPr>
            <w:fldChar w:fldCharType="end"/>
          </w:r>
        </w:sdtContent>
      </w:sdt>
      <w:r>
        <w:rPr>
          <w:rFonts w:cs="Arial"/>
          <w:lang w:val="en-US"/>
        </w:rPr>
        <w:t>. However, first it is crucial to get an general overview of the Italian banking industry, before specific reasons can be detected.</w:t>
      </w:r>
    </w:p>
    <w:p w14:paraId="14C63F1E" w14:textId="1F8A7A63" w:rsidR="00481202" w:rsidRDefault="00481202" w:rsidP="00481202">
      <w:pPr>
        <w:spacing w:line="360" w:lineRule="auto"/>
        <w:rPr>
          <w:rFonts w:cs="Arial"/>
          <w:lang w:val="en-US"/>
        </w:rPr>
      </w:pPr>
      <w:r w:rsidRPr="00FA125E">
        <w:rPr>
          <w:rFonts w:cs="Arial"/>
          <w:lang w:val="en-US"/>
        </w:rPr>
        <w:t>The Italian banking sector has been in trouble since the financial crisis</w:t>
      </w:r>
      <w:r>
        <w:rPr>
          <w:rFonts w:cs="Arial"/>
          <w:lang w:val="en-US"/>
        </w:rPr>
        <w:t xml:space="preserve"> in </w:t>
      </w:r>
      <w:r w:rsidRPr="00FA125E">
        <w:rPr>
          <w:rFonts w:cs="Arial"/>
          <w:lang w:val="en-US"/>
        </w:rPr>
        <w:t>2008</w:t>
      </w:r>
      <w:r>
        <w:rPr>
          <w:rFonts w:cs="Arial"/>
          <w:lang w:val="en-US"/>
        </w:rPr>
        <w:t xml:space="preserve">, although the financial institutions seemed fairly robust compared to banks in Germany or Greece. Italian banks continued issuing loans, </w:t>
      </w:r>
      <w:r w:rsidRPr="00F77623">
        <w:rPr>
          <w:rFonts w:cs="Arial"/>
          <w:lang w:val="en-US"/>
        </w:rPr>
        <w:t>mainly to finance the real economy</w:t>
      </w:r>
      <w:r>
        <w:rPr>
          <w:rFonts w:cs="Arial"/>
          <w:lang w:val="en-US"/>
        </w:rPr>
        <w:t xml:space="preserve">. </w:t>
      </w:r>
      <w:r w:rsidRPr="00F77623">
        <w:rPr>
          <w:rFonts w:cs="Arial"/>
          <w:lang w:val="en-US"/>
        </w:rPr>
        <w:t>In 2009, the total amount of bad debt was 60 billion</w:t>
      </w:r>
      <w:r>
        <w:rPr>
          <w:rFonts w:cs="Arial"/>
          <w:lang w:val="en-US"/>
        </w:rPr>
        <w:t xml:space="preserve"> EUR, which was considered</w:t>
      </w:r>
      <w:r w:rsidRPr="00F77623">
        <w:rPr>
          <w:lang w:val="en-US"/>
        </w:rPr>
        <w:t xml:space="preserve"> </w:t>
      </w:r>
      <w:r w:rsidRPr="00F77623">
        <w:rPr>
          <w:rFonts w:cs="Arial"/>
          <w:lang w:val="en-US"/>
        </w:rPr>
        <w:t xml:space="preserve">comparatively few. </w:t>
      </w:r>
      <w:r>
        <w:rPr>
          <w:rFonts w:cs="Arial"/>
          <w:lang w:val="en-US"/>
        </w:rPr>
        <w:t>As a result of the Euro crisis in 2011 more regulations were introduced and the European economy plunged into recession. Therefore the number of bankruptcies in Italy increased and private income fell</w:t>
      </w:r>
      <w:r w:rsidR="00C64B09">
        <w:rPr>
          <w:rFonts w:cs="Arial"/>
          <w:lang w:val="en-US"/>
        </w:rPr>
        <w:t xml:space="preserve"> </w:t>
      </w:r>
      <w:sdt>
        <w:sdtPr>
          <w:rPr>
            <w:rFonts w:cs="Arial"/>
            <w:lang w:val="en-US"/>
          </w:rPr>
          <w:id w:val="-847791533"/>
          <w:citation/>
        </w:sdtPr>
        <w:sdtEndPr/>
        <w:sdtContent>
          <w:r w:rsidR="00C64B09">
            <w:rPr>
              <w:rFonts w:cs="Arial"/>
              <w:lang w:val="en-US"/>
            </w:rPr>
            <w:fldChar w:fldCharType="begin"/>
          </w:r>
          <w:r w:rsidR="00C64B09" w:rsidRPr="00C64B09">
            <w:rPr>
              <w:rFonts w:cs="Arial"/>
              <w:lang w:val="en-US"/>
            </w:rPr>
            <w:instrText xml:space="preserve"> CITATION Bra16 \l 3079 </w:instrText>
          </w:r>
          <w:r w:rsidR="00C64B09">
            <w:rPr>
              <w:rFonts w:cs="Arial"/>
              <w:lang w:val="en-US"/>
            </w:rPr>
            <w:fldChar w:fldCharType="separate"/>
          </w:r>
          <w:r w:rsidR="00C64B09" w:rsidRPr="00C64B09">
            <w:rPr>
              <w:rFonts w:cs="Arial"/>
              <w:noProof/>
              <w:lang w:val="en-US"/>
            </w:rPr>
            <w:t>(Braun, 2016)</w:t>
          </w:r>
          <w:r w:rsidR="00C64B09">
            <w:rPr>
              <w:rFonts w:cs="Arial"/>
              <w:lang w:val="en-US"/>
            </w:rPr>
            <w:fldChar w:fldCharType="end"/>
          </w:r>
        </w:sdtContent>
      </w:sdt>
      <w:r>
        <w:rPr>
          <w:rFonts w:cs="Arial"/>
          <w:lang w:val="en-US"/>
        </w:rPr>
        <w:t xml:space="preserve">. Furthermore the amount of distressed dept has increased and currently adds up to 360 Billion. </w:t>
      </w:r>
      <w:r w:rsidRPr="00611774">
        <w:rPr>
          <w:rFonts w:cs="Arial"/>
          <w:lang w:val="en-US"/>
        </w:rPr>
        <w:t xml:space="preserve">Most of </w:t>
      </w:r>
      <w:r>
        <w:rPr>
          <w:rFonts w:cs="Arial"/>
          <w:lang w:val="en-US"/>
        </w:rPr>
        <w:t>these</w:t>
      </w:r>
      <w:r w:rsidRPr="00611774">
        <w:rPr>
          <w:rFonts w:cs="Arial"/>
          <w:lang w:val="en-US"/>
        </w:rPr>
        <w:t xml:space="preserve"> </w:t>
      </w:r>
      <w:r>
        <w:rPr>
          <w:rFonts w:cs="Arial"/>
          <w:lang w:val="en-US"/>
        </w:rPr>
        <w:t>bad loans</w:t>
      </w:r>
      <w:r w:rsidRPr="00611774">
        <w:rPr>
          <w:rFonts w:cs="Arial"/>
          <w:lang w:val="en-US"/>
        </w:rPr>
        <w:t xml:space="preserve"> </w:t>
      </w:r>
      <w:r>
        <w:rPr>
          <w:rFonts w:cs="Arial"/>
          <w:lang w:val="en-US"/>
        </w:rPr>
        <w:t>are</w:t>
      </w:r>
      <w:r w:rsidRPr="00611774">
        <w:rPr>
          <w:rFonts w:cs="Arial"/>
          <w:lang w:val="en-US"/>
        </w:rPr>
        <w:t xml:space="preserve"> </w:t>
      </w:r>
      <w:r>
        <w:rPr>
          <w:rFonts w:cs="Arial"/>
          <w:lang w:val="en-US"/>
        </w:rPr>
        <w:t>based upon</w:t>
      </w:r>
      <w:r w:rsidRPr="00611774">
        <w:rPr>
          <w:rFonts w:cs="Arial"/>
          <w:lang w:val="en-US"/>
        </w:rPr>
        <w:t xml:space="preserve"> credit transactions with the Italian corporate sector. </w:t>
      </w:r>
      <w:r>
        <w:rPr>
          <w:rFonts w:cs="Arial"/>
          <w:lang w:val="en-US"/>
        </w:rPr>
        <w:t>As a result, t</w:t>
      </w:r>
      <w:r w:rsidRPr="00611774">
        <w:rPr>
          <w:rFonts w:cs="Arial"/>
          <w:lang w:val="en-US"/>
        </w:rPr>
        <w:t>he insolvency risk of companies was transformed into the credit risk of commercial banks</w:t>
      </w:r>
      <w:r>
        <w:rPr>
          <w:rFonts w:cs="Arial"/>
          <w:lang w:val="en-US"/>
        </w:rPr>
        <w:t xml:space="preserve">. </w:t>
      </w:r>
      <w:r w:rsidRPr="0059532A">
        <w:rPr>
          <w:rFonts w:cs="Arial"/>
          <w:lang w:val="en-US"/>
        </w:rPr>
        <w:t xml:space="preserve">However, the current crisis in the Italian banking sector is only partially a result of a </w:t>
      </w:r>
      <w:r>
        <w:rPr>
          <w:rFonts w:cs="Arial"/>
          <w:lang w:val="en-US"/>
        </w:rPr>
        <w:t xml:space="preserve">risk-based </w:t>
      </w:r>
      <w:r w:rsidRPr="0059532A">
        <w:rPr>
          <w:rFonts w:cs="Arial"/>
          <w:lang w:val="en-US"/>
        </w:rPr>
        <w:t xml:space="preserve">business model. The risk of loan defaults is particularly high in </w:t>
      </w:r>
      <w:r w:rsidRPr="0059532A">
        <w:rPr>
          <w:rFonts w:cs="Arial"/>
          <w:lang w:val="en-US"/>
        </w:rPr>
        <w:lastRenderedPageBreak/>
        <w:t xml:space="preserve">times of economic weakness. </w:t>
      </w:r>
      <w:r>
        <w:rPr>
          <w:rFonts w:cs="Arial"/>
          <w:lang w:val="en-US"/>
        </w:rPr>
        <w:t xml:space="preserve">Nevertheless, as already mentioned </w:t>
      </w:r>
      <w:r w:rsidRPr="0059532A">
        <w:rPr>
          <w:rFonts w:cs="Arial"/>
          <w:lang w:val="en-US"/>
        </w:rPr>
        <w:t xml:space="preserve">the European Union introduced new regulations and is now taking a closer look at the larger banks. </w:t>
      </w:r>
      <w:r>
        <w:rPr>
          <w:rFonts w:cs="Arial"/>
          <w:lang w:val="en-US"/>
        </w:rPr>
        <w:t>In addition</w:t>
      </w:r>
      <w:r w:rsidRPr="0059532A">
        <w:rPr>
          <w:rFonts w:cs="Arial"/>
          <w:lang w:val="en-US"/>
        </w:rPr>
        <w:t xml:space="preserve"> there is the low interest rate policy of the European Central Bank. </w:t>
      </w:r>
      <w:r>
        <w:rPr>
          <w:rFonts w:cs="Arial"/>
          <w:lang w:val="en-US"/>
        </w:rPr>
        <w:t>All these factors affect financial institutions in critical situations and hence, can be seen as potential reasons for the necessity of public bank rescues in Italy</w:t>
      </w:r>
      <w:r w:rsidR="00F3654F">
        <w:rPr>
          <w:rFonts w:cs="Arial"/>
          <w:lang w:val="en-US"/>
        </w:rPr>
        <w:t xml:space="preserve"> </w:t>
      </w:r>
      <w:sdt>
        <w:sdtPr>
          <w:rPr>
            <w:rFonts w:cs="Arial"/>
            <w:lang w:val="en-US"/>
          </w:rPr>
          <w:id w:val="1593745579"/>
          <w:citation/>
        </w:sdtPr>
        <w:sdtEndPr/>
        <w:sdtContent>
          <w:r w:rsidR="00F3654F">
            <w:rPr>
              <w:rFonts w:cs="Arial"/>
              <w:lang w:val="en-US"/>
            </w:rPr>
            <w:fldChar w:fldCharType="begin"/>
          </w:r>
          <w:r w:rsidR="00F3654F" w:rsidRPr="00F3654F">
            <w:rPr>
              <w:rFonts w:cs="Arial"/>
              <w:lang w:val="en-US"/>
            </w:rPr>
            <w:instrText xml:space="preserve"> CITATION Sch161 \l 3079 </w:instrText>
          </w:r>
          <w:r w:rsidR="00F3654F">
            <w:rPr>
              <w:rFonts w:cs="Arial"/>
              <w:lang w:val="en-US"/>
            </w:rPr>
            <w:fldChar w:fldCharType="separate"/>
          </w:r>
          <w:r w:rsidR="00F3654F" w:rsidRPr="00F3654F">
            <w:rPr>
              <w:rFonts w:cs="Arial"/>
              <w:noProof/>
              <w:lang w:val="en-US"/>
            </w:rPr>
            <w:t>(Schrooten, 2016)</w:t>
          </w:r>
          <w:r w:rsidR="00F3654F">
            <w:rPr>
              <w:rFonts w:cs="Arial"/>
              <w:lang w:val="en-US"/>
            </w:rPr>
            <w:fldChar w:fldCharType="end"/>
          </w:r>
        </w:sdtContent>
      </w:sdt>
      <w:r>
        <w:rPr>
          <w:rFonts w:cs="Arial"/>
          <w:lang w:val="en-US"/>
        </w:rPr>
        <w:t xml:space="preserve">. </w:t>
      </w:r>
    </w:p>
    <w:p w14:paraId="14701933" w14:textId="29BE5C0D" w:rsidR="00481202" w:rsidRDefault="00481202" w:rsidP="00481202">
      <w:pPr>
        <w:spacing w:line="360" w:lineRule="auto"/>
        <w:rPr>
          <w:rFonts w:cs="Arial"/>
          <w:lang w:val="en-US"/>
        </w:rPr>
      </w:pPr>
      <w:r>
        <w:rPr>
          <w:rFonts w:cs="Arial"/>
          <w:lang w:val="en-US"/>
        </w:rPr>
        <w:t xml:space="preserve">The annual report of the Banca </w:t>
      </w:r>
      <w:proofErr w:type="spellStart"/>
      <w:r>
        <w:rPr>
          <w:rFonts w:cs="Arial"/>
          <w:lang w:val="en-US"/>
        </w:rPr>
        <w:t>D’Italia</w:t>
      </w:r>
      <w:proofErr w:type="spellEnd"/>
      <w:r>
        <w:rPr>
          <w:rFonts w:cs="Arial"/>
          <w:lang w:val="en-US"/>
        </w:rPr>
        <w:t xml:space="preserve"> in 2019 indicates that the total income of Italian banks slightly increased from 2017, though compared to 2008 the total revenue declined notably. For instance the net interest income in 2018 </w:t>
      </w:r>
      <w:r w:rsidRPr="000301DD">
        <w:rPr>
          <w:rFonts w:cs="Arial"/>
          <w:lang w:val="en-US"/>
        </w:rPr>
        <w:t>remained 13.1</w:t>
      </w:r>
      <w:r>
        <w:rPr>
          <w:rFonts w:cs="Arial"/>
          <w:lang w:val="en-US"/>
        </w:rPr>
        <w:t>%</w:t>
      </w:r>
      <w:r w:rsidRPr="000301DD">
        <w:rPr>
          <w:rFonts w:cs="Arial"/>
          <w:lang w:val="en-US"/>
        </w:rPr>
        <w:t xml:space="preserve"> lower than in 2011</w:t>
      </w:r>
      <w:r>
        <w:rPr>
          <w:rFonts w:cs="Arial"/>
          <w:lang w:val="en-US"/>
        </w:rPr>
        <w:t xml:space="preserve">. The earnings based on fees slightly increased over the last years. </w:t>
      </w:r>
      <w:r w:rsidRPr="0003200E">
        <w:rPr>
          <w:rFonts w:cs="Arial"/>
          <w:lang w:val="en-US"/>
        </w:rPr>
        <w:t>In 2018 nearly half of the significant banks’ fee income came from asset</w:t>
      </w:r>
      <w:r>
        <w:rPr>
          <w:rFonts w:cs="Arial"/>
          <w:lang w:val="en-US"/>
        </w:rPr>
        <w:t xml:space="preserve"> </w:t>
      </w:r>
      <w:r w:rsidRPr="0003200E">
        <w:rPr>
          <w:rFonts w:cs="Arial"/>
          <w:lang w:val="en-US"/>
        </w:rPr>
        <w:t>management activities, especially the placement and distribution of investment fund</w:t>
      </w:r>
      <w:r>
        <w:rPr>
          <w:rFonts w:cs="Arial"/>
          <w:lang w:val="en-US"/>
        </w:rPr>
        <w:t xml:space="preserve"> </w:t>
      </w:r>
      <w:r w:rsidRPr="0003200E">
        <w:rPr>
          <w:rFonts w:cs="Arial"/>
          <w:lang w:val="en-US"/>
        </w:rPr>
        <w:t>units and insurance policies of group entities or third parties</w:t>
      </w:r>
      <w:r>
        <w:rPr>
          <w:rFonts w:cs="Arial"/>
          <w:lang w:val="en-US"/>
        </w:rPr>
        <w:t xml:space="preserve"> </w:t>
      </w:r>
      <w:sdt>
        <w:sdtPr>
          <w:rPr>
            <w:rFonts w:cs="Arial"/>
            <w:lang w:val="en-US"/>
          </w:rPr>
          <w:id w:val="-600572609"/>
          <w:citation/>
        </w:sdtPr>
        <w:sdtEndPr/>
        <w:sdtContent>
          <w:r w:rsidR="00804371">
            <w:rPr>
              <w:rFonts w:cs="Arial"/>
              <w:lang w:val="en-US"/>
            </w:rPr>
            <w:fldChar w:fldCharType="begin"/>
          </w:r>
          <w:r w:rsidR="00804371" w:rsidRPr="00804371">
            <w:rPr>
              <w:rFonts w:cs="Arial"/>
              <w:lang w:val="en-US"/>
            </w:rPr>
            <w:instrText xml:space="preserve"> CITATION Ban19 \l 3079 </w:instrText>
          </w:r>
          <w:r w:rsidR="00804371">
            <w:rPr>
              <w:rFonts w:cs="Arial"/>
              <w:lang w:val="en-US"/>
            </w:rPr>
            <w:fldChar w:fldCharType="separate"/>
          </w:r>
          <w:r w:rsidR="00804371" w:rsidRPr="00804371">
            <w:rPr>
              <w:rFonts w:cs="Arial"/>
              <w:noProof/>
              <w:lang w:val="en-US"/>
            </w:rPr>
            <w:t>(Banca D'Italia, 2019)</w:t>
          </w:r>
          <w:r w:rsidR="00804371">
            <w:rPr>
              <w:rFonts w:cs="Arial"/>
              <w:lang w:val="en-US"/>
            </w:rPr>
            <w:fldChar w:fldCharType="end"/>
          </w:r>
        </w:sdtContent>
      </w:sdt>
      <w:r>
        <w:rPr>
          <w:rFonts w:cs="Arial"/>
          <w:lang w:val="en-US"/>
        </w:rPr>
        <w:t>.</w:t>
      </w:r>
    </w:p>
    <w:p w14:paraId="2B836EF4" w14:textId="0221AAAC" w:rsidR="00481202" w:rsidRDefault="009930AB" w:rsidP="00481202">
      <w:pPr>
        <w:spacing w:line="360" w:lineRule="auto"/>
        <w:rPr>
          <w:rFonts w:cs="Arial"/>
          <w:bCs/>
          <w:lang w:val="en-US"/>
        </w:rPr>
      </w:pPr>
      <w:r w:rsidRPr="009930AB">
        <w:rPr>
          <w:rFonts w:cs="Arial"/>
          <w:u w:val="single"/>
          <w:lang w:val="en-US"/>
        </w:rPr>
        <w:fldChar w:fldCharType="begin"/>
      </w:r>
      <w:r w:rsidRPr="009930AB">
        <w:rPr>
          <w:rFonts w:cs="Arial"/>
          <w:u w:val="single"/>
          <w:lang w:val="en-US"/>
        </w:rPr>
        <w:instrText xml:space="preserve"> REF _Ref40388031 \h </w:instrText>
      </w:r>
      <w:r w:rsidRPr="009930AB">
        <w:rPr>
          <w:rFonts w:cs="Arial"/>
          <w:u w:val="single"/>
          <w:lang w:val="en-US"/>
        </w:rPr>
      </w:r>
      <w:r w:rsidRPr="009930AB">
        <w:rPr>
          <w:rFonts w:cs="Arial"/>
          <w:u w:val="single"/>
          <w:lang w:val="en-US"/>
        </w:rPr>
        <w:fldChar w:fldCharType="separate"/>
      </w:r>
      <w:r w:rsidR="00B75C93" w:rsidRPr="007B7006">
        <w:rPr>
          <w:lang w:val="en-US"/>
        </w:rPr>
        <w:t xml:space="preserve">Figure </w:t>
      </w:r>
      <w:r w:rsidR="00B75C93">
        <w:rPr>
          <w:noProof/>
          <w:lang w:val="en-US"/>
        </w:rPr>
        <w:t>5</w:t>
      </w:r>
      <w:r w:rsidRPr="009930AB">
        <w:rPr>
          <w:rFonts w:cs="Arial"/>
          <w:u w:val="single"/>
          <w:lang w:val="en-US"/>
        </w:rPr>
        <w:fldChar w:fldCharType="end"/>
      </w:r>
      <w:r w:rsidR="00481202">
        <w:rPr>
          <w:rFonts w:cs="Arial"/>
          <w:lang w:val="en-US"/>
        </w:rPr>
        <w:t xml:space="preserve"> demonstrates, that Italian banking institutions charged the highest fees in 2009 across Europe. However, a</w:t>
      </w:r>
      <w:r w:rsidR="00481202">
        <w:rPr>
          <w:rFonts w:cs="Arial"/>
          <w:bCs/>
          <w:lang w:val="en-US"/>
        </w:rPr>
        <w:t xml:space="preserve">ccording to a study by the Banca </w:t>
      </w:r>
      <w:proofErr w:type="spellStart"/>
      <w:r w:rsidR="00481202">
        <w:rPr>
          <w:rFonts w:cs="Arial"/>
          <w:bCs/>
          <w:lang w:val="en-US"/>
        </w:rPr>
        <w:t>D’Italia</w:t>
      </w:r>
      <w:proofErr w:type="spellEnd"/>
      <w:r w:rsidR="00481202">
        <w:rPr>
          <w:rFonts w:cs="Arial"/>
          <w:bCs/>
          <w:lang w:val="en-US"/>
        </w:rPr>
        <w:t xml:space="preserve"> of 2019, the annual maintenance fees in Italy declined from 2011 to 2015. Since then</w:t>
      </w:r>
      <w:r w:rsidR="00D8077B">
        <w:rPr>
          <w:rFonts w:cs="Arial"/>
          <w:bCs/>
          <w:lang w:val="en-US"/>
        </w:rPr>
        <w:t>,</w:t>
      </w:r>
      <w:r w:rsidR="00481202">
        <w:rPr>
          <w:rFonts w:cs="Arial"/>
          <w:bCs/>
          <w:lang w:val="en-US"/>
        </w:rPr>
        <w:t xml:space="preserve"> they increased again and t</w:t>
      </w:r>
      <w:r w:rsidR="00481202" w:rsidRPr="001418D2">
        <w:rPr>
          <w:rFonts w:cs="Arial"/>
          <w:bCs/>
          <w:lang w:val="en-US"/>
        </w:rPr>
        <w:t xml:space="preserve">he cost of managing a bank account in 2018 </w:t>
      </w:r>
      <w:r w:rsidR="00481202">
        <w:rPr>
          <w:rFonts w:cs="Arial"/>
          <w:bCs/>
          <w:lang w:val="en-US"/>
        </w:rPr>
        <w:t>added up to approximately</w:t>
      </w:r>
      <w:r w:rsidR="00481202" w:rsidRPr="001418D2">
        <w:rPr>
          <w:rFonts w:cs="Arial"/>
          <w:bCs/>
          <w:lang w:val="en-US"/>
        </w:rPr>
        <w:t xml:space="preserve"> 8</w:t>
      </w:r>
      <w:r w:rsidR="00481202">
        <w:rPr>
          <w:rFonts w:cs="Arial"/>
          <w:bCs/>
          <w:lang w:val="en-US"/>
        </w:rPr>
        <w:t>7</w:t>
      </w:r>
      <w:r w:rsidR="00481202" w:rsidRPr="001418D2">
        <w:rPr>
          <w:rFonts w:cs="Arial"/>
          <w:bCs/>
          <w:lang w:val="en-US"/>
        </w:rPr>
        <w:t xml:space="preserve"> EUR</w:t>
      </w:r>
      <w:r w:rsidR="00D23074">
        <w:rPr>
          <w:rFonts w:cs="Arial"/>
          <w:bCs/>
          <w:lang w:val="en-US"/>
        </w:rPr>
        <w:t xml:space="preserve"> </w:t>
      </w:r>
      <w:sdt>
        <w:sdtPr>
          <w:rPr>
            <w:rFonts w:cs="Arial"/>
            <w:bCs/>
            <w:lang w:val="en-US"/>
          </w:rPr>
          <w:id w:val="7884426"/>
          <w:citation/>
        </w:sdtPr>
        <w:sdtEndPr/>
        <w:sdtContent>
          <w:r w:rsidR="00D23074">
            <w:rPr>
              <w:rFonts w:cs="Arial"/>
              <w:bCs/>
              <w:lang w:val="en-US"/>
            </w:rPr>
            <w:fldChar w:fldCharType="begin"/>
          </w:r>
          <w:r w:rsidR="00D23074" w:rsidRPr="00D23074">
            <w:rPr>
              <w:rFonts w:cs="Arial"/>
              <w:bCs/>
              <w:lang w:val="en-US"/>
            </w:rPr>
            <w:instrText xml:space="preserve"> CITATION Ban19 \l 3079 </w:instrText>
          </w:r>
          <w:r w:rsidR="00D23074">
            <w:rPr>
              <w:rFonts w:cs="Arial"/>
              <w:bCs/>
              <w:lang w:val="en-US"/>
            </w:rPr>
            <w:fldChar w:fldCharType="separate"/>
          </w:r>
          <w:r w:rsidR="00D23074" w:rsidRPr="00D23074">
            <w:rPr>
              <w:rFonts w:cs="Arial"/>
              <w:noProof/>
              <w:lang w:val="en-US"/>
            </w:rPr>
            <w:t>(Banca D'Italia, 2019)</w:t>
          </w:r>
          <w:r w:rsidR="00D23074">
            <w:rPr>
              <w:rFonts w:cs="Arial"/>
              <w:bCs/>
              <w:lang w:val="en-US"/>
            </w:rPr>
            <w:fldChar w:fldCharType="end"/>
          </w:r>
        </w:sdtContent>
      </w:sdt>
      <w:r w:rsidR="00481202">
        <w:rPr>
          <w:rFonts w:cs="Arial"/>
          <w:bCs/>
          <w:lang w:val="en-US"/>
        </w:rPr>
        <w:t xml:space="preserve">. </w:t>
      </w:r>
      <w:r w:rsidR="00481202" w:rsidRPr="00625CBE">
        <w:rPr>
          <w:rFonts w:cs="Arial"/>
          <w:bCs/>
          <w:lang w:val="en-US"/>
        </w:rPr>
        <w:t>Regarding these figures, it should be pointed out</w:t>
      </w:r>
      <w:r w:rsidR="00481202">
        <w:rPr>
          <w:rFonts w:cs="Arial"/>
          <w:bCs/>
          <w:lang w:val="en-US"/>
        </w:rPr>
        <w:t xml:space="preserve"> again, </w:t>
      </w:r>
      <w:r w:rsidR="00481202" w:rsidRPr="00625CBE">
        <w:rPr>
          <w:rFonts w:cs="Arial"/>
          <w:bCs/>
          <w:lang w:val="en-US"/>
        </w:rPr>
        <w:t>that direct comparisons of bank</w:t>
      </w:r>
      <w:r w:rsidR="00481202">
        <w:rPr>
          <w:rFonts w:cs="Arial"/>
          <w:bCs/>
          <w:lang w:val="en-US"/>
        </w:rPr>
        <w:t>ing</w:t>
      </w:r>
      <w:r w:rsidR="00481202" w:rsidRPr="00625CBE">
        <w:rPr>
          <w:rFonts w:cs="Arial"/>
          <w:bCs/>
          <w:lang w:val="en-US"/>
        </w:rPr>
        <w:t xml:space="preserve"> fees </w:t>
      </w:r>
      <w:r w:rsidR="00481202">
        <w:rPr>
          <w:rFonts w:cs="Arial"/>
          <w:bCs/>
          <w:lang w:val="en-US"/>
        </w:rPr>
        <w:t xml:space="preserve">are difficult to </w:t>
      </w:r>
      <w:r w:rsidR="00550759">
        <w:rPr>
          <w:rFonts w:cs="Arial"/>
          <w:bCs/>
          <w:lang w:val="en-US"/>
        </w:rPr>
        <w:t>make</w:t>
      </w:r>
      <w:r w:rsidR="00481202">
        <w:rPr>
          <w:rFonts w:cs="Arial"/>
          <w:bCs/>
          <w:lang w:val="en-US"/>
        </w:rPr>
        <w:t>, since offers significantly vary, relative to service and banking fee model</w:t>
      </w:r>
      <w:r w:rsidR="00270024">
        <w:rPr>
          <w:rFonts w:cs="Arial"/>
          <w:bCs/>
          <w:lang w:val="en-US"/>
        </w:rPr>
        <w:t>.</w:t>
      </w:r>
      <w:r w:rsidR="00481202" w:rsidRPr="00625CBE">
        <w:rPr>
          <w:rFonts w:cs="Arial"/>
          <w:bCs/>
          <w:lang w:val="en-US"/>
        </w:rPr>
        <w:t xml:space="preserve"> </w:t>
      </w:r>
    </w:p>
    <w:p w14:paraId="6599E409" w14:textId="733D88B6" w:rsidR="00257B9D" w:rsidRPr="007D756D" w:rsidRDefault="00257B9D" w:rsidP="00481202">
      <w:pPr>
        <w:spacing w:line="360" w:lineRule="auto"/>
        <w:rPr>
          <w:rFonts w:cs="Arial"/>
          <w:lang w:val="en-US"/>
        </w:rPr>
      </w:pPr>
      <w:r>
        <w:rPr>
          <w:rFonts w:cs="Arial"/>
          <w:bCs/>
          <w:lang w:val="en-US"/>
        </w:rPr>
        <w:t xml:space="preserve">However, the numbers in </w:t>
      </w:r>
      <w:r w:rsidR="00380F7C" w:rsidRPr="00380F7C">
        <w:rPr>
          <w:rFonts w:cs="Arial"/>
          <w:bCs/>
          <w:u w:val="single"/>
          <w:lang w:val="en-US"/>
        </w:rPr>
        <w:fldChar w:fldCharType="begin"/>
      </w:r>
      <w:r w:rsidR="00380F7C" w:rsidRPr="00380F7C">
        <w:rPr>
          <w:rFonts w:cs="Arial"/>
          <w:bCs/>
          <w:u w:val="single"/>
          <w:lang w:val="en-US"/>
        </w:rPr>
        <w:instrText xml:space="preserve"> REF _Ref40387719 \h </w:instrText>
      </w:r>
      <w:r w:rsidR="00380F7C" w:rsidRPr="00380F7C">
        <w:rPr>
          <w:rFonts w:cs="Arial"/>
          <w:bCs/>
          <w:u w:val="single"/>
          <w:lang w:val="en-US"/>
        </w:rPr>
      </w:r>
      <w:r w:rsidR="00380F7C" w:rsidRPr="00380F7C">
        <w:rPr>
          <w:rFonts w:cs="Arial"/>
          <w:bCs/>
          <w:u w:val="single"/>
          <w:lang w:val="en-US"/>
        </w:rPr>
        <w:fldChar w:fldCharType="separate"/>
      </w:r>
      <w:r w:rsidR="00B75C93" w:rsidRPr="007A5A05">
        <w:rPr>
          <w:lang w:val="en-US"/>
        </w:rPr>
        <w:t xml:space="preserve">Table </w:t>
      </w:r>
      <w:r w:rsidR="00B75C93">
        <w:rPr>
          <w:noProof/>
          <w:lang w:val="en-US"/>
        </w:rPr>
        <w:t>1</w:t>
      </w:r>
      <w:r w:rsidR="00380F7C" w:rsidRPr="00380F7C">
        <w:rPr>
          <w:rFonts w:cs="Arial"/>
          <w:bCs/>
          <w:u w:val="single"/>
          <w:lang w:val="en-US"/>
        </w:rPr>
        <w:fldChar w:fldCharType="end"/>
      </w:r>
      <w:r w:rsidR="00C80CD9">
        <w:rPr>
          <w:rFonts w:cs="Arial"/>
          <w:bCs/>
          <w:lang w:val="en-US"/>
        </w:rPr>
        <w:t xml:space="preserve">, to an extent explain </w:t>
      </w:r>
      <w:r w:rsidR="00BC59AF">
        <w:rPr>
          <w:rFonts w:cs="Arial"/>
          <w:bCs/>
          <w:lang w:val="en-US"/>
        </w:rPr>
        <w:t xml:space="preserve">the relatively high </w:t>
      </w:r>
      <w:r w:rsidR="005F338B">
        <w:rPr>
          <w:rFonts w:cs="Arial"/>
          <w:bCs/>
          <w:lang w:val="en-US"/>
        </w:rPr>
        <w:t xml:space="preserve">amounts of banking fees in Italy. </w:t>
      </w:r>
      <w:r w:rsidR="00833562">
        <w:rPr>
          <w:rFonts w:cs="Arial"/>
          <w:bCs/>
          <w:lang w:val="en-US"/>
        </w:rPr>
        <w:t>For instance</w:t>
      </w:r>
      <w:r w:rsidR="00B3424B">
        <w:rPr>
          <w:rFonts w:cs="Arial"/>
          <w:bCs/>
          <w:lang w:val="en-US"/>
        </w:rPr>
        <w:t>,</w:t>
      </w:r>
      <w:r w:rsidR="00833562">
        <w:rPr>
          <w:rFonts w:cs="Arial"/>
          <w:bCs/>
          <w:lang w:val="en-US"/>
        </w:rPr>
        <w:t xml:space="preserve"> a GDP per capita </w:t>
      </w:r>
      <w:r w:rsidR="00B3424B">
        <w:rPr>
          <w:rFonts w:cs="Arial"/>
          <w:bCs/>
          <w:lang w:val="en-US"/>
        </w:rPr>
        <w:t xml:space="preserve">value </w:t>
      </w:r>
      <w:r w:rsidR="00833562">
        <w:rPr>
          <w:rFonts w:cs="Arial"/>
          <w:bCs/>
          <w:lang w:val="en-US"/>
        </w:rPr>
        <w:t xml:space="preserve">below the EU average </w:t>
      </w:r>
      <w:r w:rsidR="00D21ECD">
        <w:rPr>
          <w:rFonts w:cs="Arial"/>
          <w:bCs/>
          <w:lang w:val="en-US"/>
        </w:rPr>
        <w:t xml:space="preserve">and a low economic growth rate </w:t>
      </w:r>
      <w:r w:rsidR="00654694">
        <w:rPr>
          <w:rFonts w:cs="Arial"/>
          <w:bCs/>
          <w:lang w:val="en-US"/>
        </w:rPr>
        <w:t xml:space="preserve">underline </w:t>
      </w:r>
      <w:r w:rsidR="00AC5FF7">
        <w:rPr>
          <w:rFonts w:cs="Arial"/>
          <w:bCs/>
          <w:lang w:val="en-US"/>
        </w:rPr>
        <w:t xml:space="preserve">the circumstances </w:t>
      </w:r>
      <w:r w:rsidR="00C95A18">
        <w:rPr>
          <w:rFonts w:cs="Arial"/>
          <w:bCs/>
          <w:lang w:val="en-US"/>
        </w:rPr>
        <w:t>described above.</w:t>
      </w:r>
      <w:r w:rsidR="000357E4">
        <w:rPr>
          <w:rFonts w:cs="Arial"/>
          <w:bCs/>
          <w:lang w:val="en-US"/>
        </w:rPr>
        <w:t xml:space="preserve"> </w:t>
      </w:r>
      <w:r w:rsidR="00992499">
        <w:rPr>
          <w:rFonts w:cs="Arial"/>
          <w:bCs/>
          <w:lang w:val="en-US"/>
        </w:rPr>
        <w:t xml:space="preserve">While </w:t>
      </w:r>
      <w:r w:rsidR="00764BB9">
        <w:rPr>
          <w:rFonts w:cs="Arial"/>
          <w:bCs/>
          <w:lang w:val="en-US"/>
        </w:rPr>
        <w:t>the economy</w:t>
      </w:r>
      <w:r w:rsidR="00C85A30">
        <w:rPr>
          <w:rFonts w:cs="Arial"/>
          <w:bCs/>
          <w:lang w:val="en-US"/>
        </w:rPr>
        <w:t xml:space="preserve"> in</w:t>
      </w:r>
      <w:r w:rsidR="00764BB9">
        <w:rPr>
          <w:rFonts w:cs="Arial"/>
          <w:bCs/>
          <w:lang w:val="en-US"/>
        </w:rPr>
        <w:t xml:space="preserve"> </w:t>
      </w:r>
      <w:r w:rsidR="00D17867">
        <w:rPr>
          <w:rFonts w:cs="Arial"/>
          <w:bCs/>
          <w:lang w:val="en-US"/>
        </w:rPr>
        <w:t xml:space="preserve">Austria, Germany and the Netherlands </w:t>
      </w:r>
      <w:r w:rsidR="00F22314">
        <w:rPr>
          <w:rFonts w:cs="Arial"/>
          <w:bCs/>
          <w:lang w:val="en-US"/>
        </w:rPr>
        <w:t xml:space="preserve">has </w:t>
      </w:r>
      <w:r w:rsidR="00666A70">
        <w:rPr>
          <w:rFonts w:cs="Arial"/>
          <w:bCs/>
          <w:lang w:val="en-US"/>
        </w:rPr>
        <w:t xml:space="preserve">constantly </w:t>
      </w:r>
      <w:r w:rsidR="00F22314">
        <w:rPr>
          <w:rFonts w:cs="Arial"/>
          <w:bCs/>
          <w:lang w:val="en-US"/>
        </w:rPr>
        <w:t xml:space="preserve">grown since the financial crisis in 2008, Italy </w:t>
      </w:r>
      <w:r w:rsidR="005A72CF">
        <w:rPr>
          <w:rFonts w:cs="Arial"/>
          <w:bCs/>
          <w:lang w:val="en-US"/>
        </w:rPr>
        <w:t xml:space="preserve">experienced </w:t>
      </w:r>
      <w:r w:rsidR="001F0984">
        <w:rPr>
          <w:rFonts w:cs="Arial"/>
          <w:bCs/>
          <w:lang w:val="en-US"/>
        </w:rPr>
        <w:t xml:space="preserve">another </w:t>
      </w:r>
      <w:r w:rsidR="005B68CE">
        <w:rPr>
          <w:rFonts w:cs="Arial"/>
          <w:bCs/>
          <w:lang w:val="en-US"/>
        </w:rPr>
        <w:t xml:space="preserve">slump </w:t>
      </w:r>
      <w:r w:rsidR="005A39E2">
        <w:rPr>
          <w:rFonts w:cs="Arial"/>
          <w:bCs/>
          <w:lang w:val="en-US"/>
        </w:rPr>
        <w:t>in 2012</w:t>
      </w:r>
      <w:r w:rsidR="00B54840">
        <w:rPr>
          <w:rFonts w:cs="Arial"/>
          <w:bCs/>
          <w:lang w:val="en-US"/>
        </w:rPr>
        <w:t xml:space="preserve"> </w:t>
      </w:r>
      <w:sdt>
        <w:sdtPr>
          <w:rPr>
            <w:rFonts w:cs="Arial"/>
            <w:bCs/>
            <w:lang w:val="en-US"/>
          </w:rPr>
          <w:id w:val="-918547815"/>
          <w:citation/>
        </w:sdtPr>
        <w:sdtEndPr/>
        <w:sdtContent>
          <w:r w:rsidR="00B54840">
            <w:rPr>
              <w:rFonts w:cs="Arial"/>
              <w:bCs/>
              <w:lang w:val="en-US"/>
            </w:rPr>
            <w:fldChar w:fldCharType="begin"/>
          </w:r>
          <w:r w:rsidR="00B54840" w:rsidRPr="00B54840">
            <w:rPr>
              <w:rFonts w:cs="Arial"/>
              <w:bCs/>
              <w:lang w:val="en-US"/>
            </w:rPr>
            <w:instrText xml:space="preserve"> CITATION Wor20 \l 3079 </w:instrText>
          </w:r>
          <w:r w:rsidR="00B54840">
            <w:rPr>
              <w:rFonts w:cs="Arial"/>
              <w:bCs/>
              <w:lang w:val="en-US"/>
            </w:rPr>
            <w:fldChar w:fldCharType="separate"/>
          </w:r>
          <w:r w:rsidR="00B54840" w:rsidRPr="00B54840">
            <w:rPr>
              <w:rFonts w:cs="Arial"/>
              <w:noProof/>
              <w:lang w:val="en-US"/>
            </w:rPr>
            <w:t>(World Bank, 2020)</w:t>
          </w:r>
          <w:r w:rsidR="00B54840">
            <w:rPr>
              <w:rFonts w:cs="Arial"/>
              <w:bCs/>
              <w:lang w:val="en-US"/>
            </w:rPr>
            <w:fldChar w:fldCharType="end"/>
          </w:r>
        </w:sdtContent>
      </w:sdt>
      <w:r w:rsidR="004929B2">
        <w:rPr>
          <w:rFonts w:cs="Arial"/>
          <w:bCs/>
          <w:lang w:val="en-US"/>
        </w:rPr>
        <w:t xml:space="preserve">. </w:t>
      </w:r>
      <w:r w:rsidR="0045585B">
        <w:rPr>
          <w:rFonts w:cs="Arial"/>
          <w:bCs/>
          <w:lang w:val="en-US"/>
        </w:rPr>
        <w:t xml:space="preserve">In addition, </w:t>
      </w:r>
      <w:r w:rsidR="00A67A9B">
        <w:rPr>
          <w:rFonts w:cs="Arial"/>
          <w:bCs/>
          <w:lang w:val="en-US"/>
        </w:rPr>
        <w:t xml:space="preserve">Italy </w:t>
      </w:r>
      <w:r w:rsidR="00103567">
        <w:rPr>
          <w:rFonts w:cs="Arial"/>
          <w:bCs/>
          <w:lang w:val="en-US"/>
        </w:rPr>
        <w:t xml:space="preserve">holds </w:t>
      </w:r>
      <w:r w:rsidR="00491A5B">
        <w:rPr>
          <w:rFonts w:cs="Arial"/>
          <w:bCs/>
          <w:lang w:val="en-US"/>
        </w:rPr>
        <w:t xml:space="preserve">one of </w:t>
      </w:r>
      <w:r w:rsidR="00103567">
        <w:rPr>
          <w:rFonts w:cs="Arial"/>
          <w:bCs/>
          <w:lang w:val="en-US"/>
        </w:rPr>
        <w:t>the highest branch density value</w:t>
      </w:r>
      <w:r w:rsidR="005C72AF">
        <w:rPr>
          <w:rFonts w:cs="Arial"/>
          <w:bCs/>
          <w:lang w:val="en-US"/>
        </w:rPr>
        <w:t xml:space="preserve">s </w:t>
      </w:r>
      <w:r w:rsidR="00EF1085">
        <w:rPr>
          <w:rFonts w:cs="Arial"/>
          <w:bCs/>
          <w:lang w:val="en-US"/>
        </w:rPr>
        <w:t xml:space="preserve">in Europe </w:t>
      </w:r>
      <w:r w:rsidR="000000EF">
        <w:rPr>
          <w:rFonts w:cs="Arial"/>
          <w:bCs/>
          <w:lang w:val="en-US"/>
        </w:rPr>
        <w:t xml:space="preserve">and </w:t>
      </w:r>
      <w:r w:rsidR="00CB4748">
        <w:rPr>
          <w:rFonts w:cs="Arial"/>
          <w:bCs/>
          <w:lang w:val="en-US"/>
        </w:rPr>
        <w:t xml:space="preserve">only </w:t>
      </w:r>
      <w:r w:rsidR="00CE5D37">
        <w:rPr>
          <w:rFonts w:cs="Arial"/>
          <w:bCs/>
          <w:lang w:val="en-US"/>
        </w:rPr>
        <w:t xml:space="preserve">36% </w:t>
      </w:r>
      <w:r w:rsidR="00D05851">
        <w:rPr>
          <w:rFonts w:cs="Arial"/>
          <w:bCs/>
          <w:lang w:val="en-US"/>
        </w:rPr>
        <w:t xml:space="preserve">of </w:t>
      </w:r>
      <w:r w:rsidR="007B20DC">
        <w:rPr>
          <w:rFonts w:cs="Arial"/>
          <w:bCs/>
          <w:lang w:val="en-US"/>
        </w:rPr>
        <w:t>bank customers are currently using online banking.</w:t>
      </w:r>
      <w:r w:rsidR="00246923">
        <w:rPr>
          <w:rFonts w:cs="Arial"/>
          <w:bCs/>
          <w:lang w:val="en-US"/>
        </w:rPr>
        <w:t xml:space="preserve"> </w:t>
      </w:r>
      <w:r w:rsidR="005B5207">
        <w:rPr>
          <w:rFonts w:cs="Arial"/>
          <w:bCs/>
          <w:lang w:val="en-US"/>
        </w:rPr>
        <w:t xml:space="preserve">All these factors combined </w:t>
      </w:r>
      <w:r w:rsidR="00BC330F">
        <w:rPr>
          <w:rFonts w:cs="Arial"/>
          <w:bCs/>
          <w:lang w:val="en-US"/>
        </w:rPr>
        <w:t xml:space="preserve">lead </w:t>
      </w:r>
      <w:r w:rsidR="00B91219">
        <w:rPr>
          <w:rFonts w:cs="Arial"/>
          <w:bCs/>
          <w:lang w:val="en-US"/>
        </w:rPr>
        <w:t xml:space="preserve">to </w:t>
      </w:r>
      <w:r w:rsidR="001D45BC">
        <w:rPr>
          <w:rFonts w:cs="Arial"/>
          <w:bCs/>
          <w:lang w:val="en-US"/>
        </w:rPr>
        <w:t>increasing banking fees</w:t>
      </w:r>
      <w:r w:rsidR="00056948">
        <w:rPr>
          <w:rFonts w:cs="Arial"/>
          <w:bCs/>
          <w:lang w:val="en-US"/>
        </w:rPr>
        <w:t xml:space="preserve">, which can be </w:t>
      </w:r>
      <w:r w:rsidR="009B66B4">
        <w:rPr>
          <w:rFonts w:cs="Arial"/>
          <w:bCs/>
          <w:lang w:val="en-US"/>
        </w:rPr>
        <w:t xml:space="preserve">observed </w:t>
      </w:r>
      <w:r w:rsidR="008518C7">
        <w:rPr>
          <w:rFonts w:cs="Arial"/>
          <w:bCs/>
          <w:lang w:val="en-US"/>
        </w:rPr>
        <w:t xml:space="preserve">in </w:t>
      </w:r>
      <w:r w:rsidR="00497206">
        <w:rPr>
          <w:rFonts w:cs="Arial"/>
          <w:bCs/>
          <w:lang w:val="en-US"/>
        </w:rPr>
        <w:t xml:space="preserve">the Italian banking </w:t>
      </w:r>
      <w:r w:rsidR="00D85618">
        <w:rPr>
          <w:rFonts w:cs="Arial"/>
          <w:bCs/>
          <w:lang w:val="en-US"/>
        </w:rPr>
        <w:t>sector</w:t>
      </w:r>
      <w:r w:rsidR="00E107DC">
        <w:rPr>
          <w:rFonts w:cs="Arial"/>
          <w:bCs/>
          <w:lang w:val="en-US"/>
        </w:rPr>
        <w:t>.</w:t>
      </w:r>
    </w:p>
    <w:p w14:paraId="6C444DAC" w14:textId="1284B9F3" w:rsidR="00481202" w:rsidRDefault="00481202" w:rsidP="001F370B">
      <w:pPr>
        <w:pStyle w:val="berschrift3"/>
        <w:rPr>
          <w:lang w:val="en-US"/>
        </w:rPr>
      </w:pPr>
      <w:bookmarkStart w:id="63" w:name="_Toc42077761"/>
      <w:r>
        <w:rPr>
          <w:lang w:val="en-US"/>
        </w:rPr>
        <w:t>Netherlands</w:t>
      </w:r>
      <w:bookmarkEnd w:id="63"/>
    </w:p>
    <w:p w14:paraId="02A73869" w14:textId="77777777" w:rsidR="0075717F" w:rsidRDefault="00481202" w:rsidP="00481202">
      <w:pPr>
        <w:spacing w:line="360" w:lineRule="auto"/>
        <w:rPr>
          <w:rFonts w:cs="Arial"/>
          <w:bCs/>
          <w:lang w:val="en-US"/>
        </w:rPr>
      </w:pPr>
      <w:r>
        <w:rPr>
          <w:rFonts w:cs="Arial"/>
          <w:bCs/>
          <w:lang w:val="en-US"/>
        </w:rPr>
        <w:t xml:space="preserve">The Dutch banking market particularly differs from the banking sector in Austria, Germany and Italy by its market concentration. According to </w:t>
      </w:r>
      <w:r w:rsidRPr="00D23C80">
        <w:rPr>
          <w:rFonts w:cs="Arial"/>
          <w:bCs/>
          <w:lang w:val="en-US"/>
        </w:rPr>
        <w:t xml:space="preserve">De </w:t>
      </w:r>
      <w:proofErr w:type="spellStart"/>
      <w:r w:rsidRPr="00D23C80">
        <w:rPr>
          <w:rFonts w:cs="Arial"/>
          <w:bCs/>
          <w:lang w:val="en-US"/>
        </w:rPr>
        <w:t>Nederlandsche</w:t>
      </w:r>
      <w:proofErr w:type="spellEnd"/>
      <w:r w:rsidRPr="00D23C80">
        <w:rPr>
          <w:rFonts w:cs="Arial"/>
          <w:bCs/>
          <w:lang w:val="en-US"/>
        </w:rPr>
        <w:t xml:space="preserve"> Bank</w:t>
      </w:r>
      <w:r>
        <w:rPr>
          <w:rFonts w:cs="Arial"/>
          <w:bCs/>
          <w:lang w:val="en-US"/>
        </w:rPr>
        <w:t xml:space="preserve">, the Dutch national bank, the five largest banks in the Netherlands </w:t>
      </w:r>
      <w:r w:rsidRPr="008F2B3E">
        <w:rPr>
          <w:rFonts w:cs="Arial"/>
          <w:bCs/>
          <w:lang w:val="en-US"/>
        </w:rPr>
        <w:t xml:space="preserve">account for about 85% of the balance sheet </w:t>
      </w:r>
      <w:r>
        <w:rPr>
          <w:rFonts w:cs="Arial"/>
          <w:bCs/>
          <w:lang w:val="en-US"/>
        </w:rPr>
        <w:t xml:space="preserve">in </w:t>
      </w:r>
      <w:r w:rsidRPr="008F2B3E">
        <w:rPr>
          <w:rFonts w:cs="Arial"/>
          <w:bCs/>
          <w:lang w:val="en-US"/>
        </w:rPr>
        <w:t>total</w:t>
      </w:r>
      <w:r>
        <w:rPr>
          <w:rFonts w:cs="Arial"/>
          <w:bCs/>
          <w:lang w:val="en-US"/>
        </w:rPr>
        <w:t xml:space="preserve">. In addition </w:t>
      </w:r>
      <w:r w:rsidRPr="00EE3DD4">
        <w:rPr>
          <w:rFonts w:cs="Arial"/>
          <w:bCs/>
          <w:lang w:val="en-US"/>
        </w:rPr>
        <w:t xml:space="preserve">Rabobank, ING and ABN </w:t>
      </w:r>
      <w:proofErr w:type="spellStart"/>
      <w:r w:rsidRPr="00EE3DD4">
        <w:rPr>
          <w:rFonts w:cs="Arial"/>
          <w:bCs/>
          <w:lang w:val="en-US"/>
        </w:rPr>
        <w:t>Amro</w:t>
      </w:r>
      <w:proofErr w:type="spellEnd"/>
      <w:r>
        <w:rPr>
          <w:rFonts w:cs="Arial"/>
          <w:bCs/>
          <w:lang w:val="en-US"/>
        </w:rPr>
        <w:t xml:space="preserve"> </w:t>
      </w:r>
      <w:r w:rsidRPr="00EE3DD4">
        <w:rPr>
          <w:rFonts w:cs="Arial"/>
          <w:bCs/>
          <w:lang w:val="en-US"/>
        </w:rPr>
        <w:t xml:space="preserve">control 60% to 80% of the banking </w:t>
      </w:r>
      <w:r>
        <w:rPr>
          <w:rFonts w:cs="Arial"/>
          <w:bCs/>
          <w:lang w:val="en-US"/>
        </w:rPr>
        <w:t>m</w:t>
      </w:r>
      <w:r w:rsidRPr="00EE3DD4">
        <w:rPr>
          <w:rFonts w:cs="Arial"/>
          <w:bCs/>
          <w:lang w:val="en-US"/>
        </w:rPr>
        <w:t>arkets for</w:t>
      </w:r>
      <w:r>
        <w:rPr>
          <w:rFonts w:cs="Arial"/>
          <w:bCs/>
          <w:lang w:val="en-US"/>
        </w:rPr>
        <w:t xml:space="preserve"> </w:t>
      </w:r>
      <w:r w:rsidRPr="00EE3DD4">
        <w:rPr>
          <w:rFonts w:cs="Arial"/>
          <w:bCs/>
          <w:lang w:val="en-US"/>
        </w:rPr>
        <w:t>mortgages, business loans and savings</w:t>
      </w:r>
      <w:r w:rsidR="00983FDB">
        <w:rPr>
          <w:rFonts w:cs="Arial"/>
          <w:bCs/>
          <w:lang w:val="en-US"/>
        </w:rPr>
        <w:t xml:space="preserve"> and s</w:t>
      </w:r>
      <w:r>
        <w:rPr>
          <w:rFonts w:cs="Arial"/>
          <w:bCs/>
          <w:lang w:val="en-US"/>
        </w:rPr>
        <w:t>ince the financial crisis in 2008 their combined market share regarding mortgage lending has even grown. Over the last decades Dutch traditional commercial banks developed into universal institutions, offering a variety of services, which enabled the trend towards an oligopolistic market</w:t>
      </w:r>
      <w:r w:rsidR="00167006">
        <w:rPr>
          <w:rFonts w:cs="Arial"/>
          <w:bCs/>
          <w:lang w:val="en-US"/>
        </w:rPr>
        <w:t xml:space="preserve"> </w:t>
      </w:r>
      <w:sdt>
        <w:sdtPr>
          <w:rPr>
            <w:rFonts w:cs="Arial"/>
            <w:bCs/>
            <w:lang w:val="en-US"/>
          </w:rPr>
          <w:id w:val="-529343384"/>
          <w:citation/>
        </w:sdtPr>
        <w:sdtEndPr/>
        <w:sdtContent>
          <w:r w:rsidR="00167006">
            <w:rPr>
              <w:rFonts w:cs="Arial"/>
              <w:bCs/>
              <w:lang w:val="en-US"/>
            </w:rPr>
            <w:fldChar w:fldCharType="begin"/>
          </w:r>
          <w:r w:rsidR="00167006" w:rsidRPr="00167006">
            <w:rPr>
              <w:rFonts w:cs="Arial"/>
              <w:bCs/>
              <w:lang w:val="en-US"/>
            </w:rPr>
            <w:instrText xml:space="preserve"> CITATION DeN15 \l 3079 </w:instrText>
          </w:r>
          <w:r w:rsidR="00167006">
            <w:rPr>
              <w:rFonts w:cs="Arial"/>
              <w:bCs/>
              <w:lang w:val="en-US"/>
            </w:rPr>
            <w:fldChar w:fldCharType="separate"/>
          </w:r>
          <w:r w:rsidR="00167006" w:rsidRPr="00167006">
            <w:rPr>
              <w:rFonts w:cs="Arial"/>
              <w:noProof/>
              <w:lang w:val="en-US"/>
            </w:rPr>
            <w:t>(DeNederlandsche Bank, 2015)</w:t>
          </w:r>
          <w:r w:rsidR="00167006">
            <w:rPr>
              <w:rFonts w:cs="Arial"/>
              <w:bCs/>
              <w:lang w:val="en-US"/>
            </w:rPr>
            <w:fldChar w:fldCharType="end"/>
          </w:r>
        </w:sdtContent>
      </w:sdt>
      <w:r w:rsidR="00167006">
        <w:rPr>
          <w:rFonts w:cs="Arial"/>
          <w:bCs/>
          <w:lang w:val="en-US"/>
        </w:rPr>
        <w:t>.</w:t>
      </w:r>
    </w:p>
    <w:p w14:paraId="1364A0D2" w14:textId="2704EA8F" w:rsidR="00481202" w:rsidRDefault="00481202" w:rsidP="00481202">
      <w:pPr>
        <w:spacing w:line="360" w:lineRule="auto"/>
        <w:rPr>
          <w:rFonts w:cs="Arial"/>
          <w:bCs/>
          <w:lang w:val="en-US"/>
        </w:rPr>
      </w:pPr>
      <w:r>
        <w:rPr>
          <w:rFonts w:cs="Arial"/>
          <w:bCs/>
          <w:lang w:val="en-US"/>
        </w:rPr>
        <w:lastRenderedPageBreak/>
        <w:t xml:space="preserve">In addition the banking sector in the Netherlands is considered </w:t>
      </w:r>
      <w:r w:rsidRPr="008F2B3E">
        <w:rPr>
          <w:rFonts w:cs="Arial"/>
          <w:bCs/>
          <w:lang w:val="en-US"/>
        </w:rPr>
        <w:t>relatively competitive</w:t>
      </w:r>
      <w:r>
        <w:rPr>
          <w:rFonts w:cs="Arial"/>
          <w:bCs/>
          <w:lang w:val="en-US"/>
        </w:rPr>
        <w:t xml:space="preserve"> and</w:t>
      </w:r>
      <w:r w:rsidRPr="008F2B3E">
        <w:rPr>
          <w:rFonts w:cs="Arial"/>
          <w:bCs/>
          <w:lang w:val="en-US"/>
        </w:rPr>
        <w:t xml:space="preserve"> </w:t>
      </w:r>
      <w:r>
        <w:rPr>
          <w:rFonts w:cs="Arial"/>
          <w:bCs/>
          <w:lang w:val="en-US"/>
        </w:rPr>
        <w:t>the l</w:t>
      </w:r>
      <w:r w:rsidRPr="008F2B3E">
        <w:rPr>
          <w:rFonts w:cs="Arial"/>
          <w:bCs/>
          <w:lang w:val="en-US"/>
        </w:rPr>
        <w:t>arge banks are internationally active in order to serve the open and export-oriented Dutch economy.</w:t>
      </w:r>
    </w:p>
    <w:p w14:paraId="167A49F8" w14:textId="510982F5" w:rsidR="00481202" w:rsidRPr="00AB457A" w:rsidRDefault="00481202" w:rsidP="00481202">
      <w:pPr>
        <w:spacing w:line="360" w:lineRule="auto"/>
        <w:rPr>
          <w:lang w:val="en-US"/>
        </w:rPr>
      </w:pPr>
      <w:r>
        <w:rPr>
          <w:rFonts w:cs="Arial"/>
          <w:bCs/>
          <w:lang w:val="en-US"/>
        </w:rPr>
        <w:t xml:space="preserve">A closer analysis of the three market leaders mentioned above shows that these financial institutions operate significantly less branches. In 2019 the Rabobank maintains 367 branches, while ING and ABN </w:t>
      </w:r>
      <w:proofErr w:type="spellStart"/>
      <w:r>
        <w:rPr>
          <w:rFonts w:cs="Arial"/>
          <w:bCs/>
          <w:lang w:val="en-US"/>
        </w:rPr>
        <w:t>Amro</w:t>
      </w:r>
      <w:proofErr w:type="spellEnd"/>
      <w:r>
        <w:rPr>
          <w:rFonts w:cs="Arial"/>
          <w:bCs/>
          <w:lang w:val="en-US"/>
        </w:rPr>
        <w:t xml:space="preserve"> offer their services in 231, respectively 162 branches. By comparison, the </w:t>
      </w:r>
      <w:proofErr w:type="spellStart"/>
      <w:r>
        <w:rPr>
          <w:rFonts w:cs="Arial"/>
          <w:bCs/>
          <w:lang w:val="en-US"/>
        </w:rPr>
        <w:t>Erste</w:t>
      </w:r>
      <w:proofErr w:type="spellEnd"/>
      <w:r>
        <w:rPr>
          <w:rFonts w:cs="Arial"/>
          <w:bCs/>
          <w:lang w:val="en-US"/>
        </w:rPr>
        <w:t xml:space="preserve"> Bank in Austria alone operates around 1,000 branches </w:t>
      </w:r>
      <w:sdt>
        <w:sdtPr>
          <w:rPr>
            <w:rFonts w:cs="Arial"/>
            <w:bCs/>
            <w:lang w:val="en-US"/>
          </w:rPr>
          <w:id w:val="-1739386349"/>
          <w:citation/>
        </w:sdtPr>
        <w:sdtEndPr/>
        <w:sdtContent>
          <w:r w:rsidR="003F4DB0">
            <w:rPr>
              <w:rFonts w:cs="Arial"/>
              <w:bCs/>
              <w:lang w:val="en-US"/>
            </w:rPr>
            <w:fldChar w:fldCharType="begin"/>
          </w:r>
          <w:r w:rsidR="003F4DB0" w:rsidRPr="003F4DB0">
            <w:rPr>
              <w:rFonts w:cs="Arial"/>
              <w:bCs/>
              <w:lang w:val="en-US"/>
            </w:rPr>
            <w:instrText xml:space="preserve"> CITATION deB20 \l 3079 </w:instrText>
          </w:r>
          <w:r w:rsidR="003F4DB0">
            <w:rPr>
              <w:rFonts w:cs="Arial"/>
              <w:bCs/>
              <w:lang w:val="en-US"/>
            </w:rPr>
            <w:fldChar w:fldCharType="separate"/>
          </w:r>
          <w:r w:rsidR="003F4DB0" w:rsidRPr="003F4DB0">
            <w:rPr>
              <w:rFonts w:cs="Arial"/>
              <w:noProof/>
              <w:lang w:val="en-US"/>
            </w:rPr>
            <w:t>(de Best, 2020)</w:t>
          </w:r>
          <w:r w:rsidR="003F4DB0">
            <w:rPr>
              <w:rFonts w:cs="Arial"/>
              <w:bCs/>
              <w:lang w:val="en-US"/>
            </w:rPr>
            <w:fldChar w:fldCharType="end"/>
          </w:r>
        </w:sdtContent>
      </w:sdt>
      <w:r>
        <w:rPr>
          <w:rFonts w:cs="Arial"/>
          <w:bCs/>
          <w:lang w:val="en-US"/>
        </w:rPr>
        <w:t xml:space="preserve">. These circumstances confirm the figures regarding branch density in </w:t>
      </w:r>
      <w:r w:rsidR="00886A0D" w:rsidRPr="00886A0D">
        <w:rPr>
          <w:rFonts w:cs="Arial"/>
          <w:bCs/>
          <w:u w:val="single"/>
          <w:lang w:val="en-US"/>
        </w:rPr>
        <w:fldChar w:fldCharType="begin"/>
      </w:r>
      <w:r w:rsidR="00886A0D" w:rsidRPr="00886A0D">
        <w:rPr>
          <w:rFonts w:cs="Arial"/>
          <w:bCs/>
          <w:u w:val="single"/>
          <w:lang w:val="en-US"/>
        </w:rPr>
        <w:instrText xml:space="preserve"> REF _Ref40387719 \h </w:instrText>
      </w:r>
      <w:r w:rsidR="00886A0D" w:rsidRPr="00886A0D">
        <w:rPr>
          <w:rFonts w:cs="Arial"/>
          <w:bCs/>
          <w:u w:val="single"/>
          <w:lang w:val="en-US"/>
        </w:rPr>
      </w:r>
      <w:r w:rsidR="00886A0D" w:rsidRPr="00886A0D">
        <w:rPr>
          <w:rFonts w:cs="Arial"/>
          <w:bCs/>
          <w:u w:val="single"/>
          <w:lang w:val="en-US"/>
        </w:rPr>
        <w:fldChar w:fldCharType="separate"/>
      </w:r>
      <w:r w:rsidR="00B75C93" w:rsidRPr="007A5A05">
        <w:rPr>
          <w:lang w:val="en-US"/>
        </w:rPr>
        <w:t xml:space="preserve">Table </w:t>
      </w:r>
      <w:r w:rsidR="00B75C93">
        <w:rPr>
          <w:noProof/>
          <w:lang w:val="en-US"/>
        </w:rPr>
        <w:t>1</w:t>
      </w:r>
      <w:r w:rsidR="00886A0D" w:rsidRPr="00886A0D">
        <w:rPr>
          <w:rFonts w:cs="Arial"/>
          <w:bCs/>
          <w:u w:val="single"/>
          <w:lang w:val="en-US"/>
        </w:rPr>
        <w:fldChar w:fldCharType="end"/>
      </w:r>
      <w:r>
        <w:rPr>
          <w:rFonts w:cs="Arial"/>
          <w:bCs/>
          <w:lang w:val="en-US"/>
        </w:rPr>
        <w:t xml:space="preserve">, where the Austrian value is </w:t>
      </w:r>
      <w:r w:rsidRPr="00BD2A32">
        <w:rPr>
          <w:rFonts w:cs="Arial"/>
          <w:bCs/>
          <w:lang w:val="en-US"/>
        </w:rPr>
        <w:t>almost 5 times higher than the Dutch</w:t>
      </w:r>
      <w:r>
        <w:rPr>
          <w:rFonts w:cs="Arial"/>
          <w:bCs/>
          <w:lang w:val="en-US"/>
        </w:rPr>
        <w:t xml:space="preserve"> value. Since bank branches are traditionally considered significant fixed cost objects, this may be one reason for relatively low banking fees in the Netherlands. </w:t>
      </w:r>
      <w:r w:rsidR="007221B1">
        <w:rPr>
          <w:rFonts w:cs="Arial"/>
          <w:bCs/>
          <w:lang w:val="en-US"/>
        </w:rPr>
        <w:t>In addition</w:t>
      </w:r>
      <w:r w:rsidR="00801676">
        <w:rPr>
          <w:rFonts w:cs="Arial"/>
          <w:bCs/>
          <w:lang w:val="en-US"/>
        </w:rPr>
        <w:t>,</w:t>
      </w:r>
      <w:r w:rsidR="00FC4A0A">
        <w:rPr>
          <w:rFonts w:cs="Arial"/>
          <w:bCs/>
          <w:lang w:val="en-US"/>
        </w:rPr>
        <w:t xml:space="preserve"> </w:t>
      </w:r>
      <w:r w:rsidR="00FC4A0A" w:rsidRPr="00FC4A0A">
        <w:rPr>
          <w:rFonts w:cs="Arial"/>
          <w:bCs/>
          <w:u w:val="single"/>
          <w:lang w:val="en-US"/>
        </w:rPr>
        <w:fldChar w:fldCharType="begin"/>
      </w:r>
      <w:r w:rsidR="00FC4A0A" w:rsidRPr="00FC4A0A">
        <w:rPr>
          <w:rFonts w:cs="Arial"/>
          <w:bCs/>
          <w:u w:val="single"/>
          <w:lang w:val="en-US"/>
        </w:rPr>
        <w:instrText xml:space="preserve"> REF _Ref40387900 \h </w:instrText>
      </w:r>
      <w:r w:rsidR="00FC4A0A" w:rsidRPr="00FC4A0A">
        <w:rPr>
          <w:rFonts w:cs="Arial"/>
          <w:bCs/>
          <w:u w:val="single"/>
          <w:lang w:val="en-US"/>
        </w:rPr>
      </w:r>
      <w:r w:rsidR="00FC4A0A" w:rsidRPr="00FC4A0A">
        <w:rPr>
          <w:rFonts w:cs="Arial"/>
          <w:bCs/>
          <w:u w:val="single"/>
          <w:lang w:val="en-US"/>
        </w:rPr>
        <w:fldChar w:fldCharType="separate"/>
      </w:r>
      <w:r w:rsidR="00B75C93" w:rsidRPr="00737F4D">
        <w:rPr>
          <w:lang w:val="en-US"/>
        </w:rPr>
        <w:t xml:space="preserve">Figure </w:t>
      </w:r>
      <w:r w:rsidR="00B75C93">
        <w:rPr>
          <w:noProof/>
          <w:lang w:val="en-US"/>
        </w:rPr>
        <w:t>3</w:t>
      </w:r>
      <w:r w:rsidR="00FC4A0A" w:rsidRPr="00FC4A0A">
        <w:rPr>
          <w:rFonts w:cs="Arial"/>
          <w:bCs/>
          <w:u w:val="single"/>
          <w:lang w:val="en-US"/>
        </w:rPr>
        <w:fldChar w:fldCharType="end"/>
      </w:r>
      <w:r w:rsidR="00244EF1">
        <w:rPr>
          <w:rFonts w:cs="Arial"/>
          <w:bCs/>
          <w:lang w:val="en-US"/>
        </w:rPr>
        <w:t xml:space="preserve"> </w:t>
      </w:r>
      <w:r w:rsidR="00807C49">
        <w:rPr>
          <w:rFonts w:cs="Arial"/>
          <w:bCs/>
          <w:lang w:val="en-US"/>
        </w:rPr>
        <w:t>shows</w:t>
      </w:r>
      <w:r w:rsidR="00B546D5">
        <w:rPr>
          <w:rFonts w:cs="Arial"/>
          <w:bCs/>
          <w:lang w:val="en-US"/>
        </w:rPr>
        <w:t>,</w:t>
      </w:r>
      <w:r w:rsidR="00807C49">
        <w:rPr>
          <w:rFonts w:cs="Arial"/>
          <w:bCs/>
          <w:lang w:val="en-US"/>
        </w:rPr>
        <w:t xml:space="preserve"> that </w:t>
      </w:r>
      <w:r w:rsidR="00B546D5">
        <w:rPr>
          <w:rFonts w:cs="Arial"/>
          <w:bCs/>
          <w:lang w:val="en-US"/>
        </w:rPr>
        <w:t>internet banking</w:t>
      </w:r>
      <w:r w:rsidR="00762419">
        <w:rPr>
          <w:rFonts w:cs="Arial"/>
          <w:bCs/>
          <w:lang w:val="en-US"/>
        </w:rPr>
        <w:t xml:space="preserve"> is widely-used in the Netherlands</w:t>
      </w:r>
      <w:r w:rsidR="00CF1E51">
        <w:rPr>
          <w:rFonts w:cs="Arial"/>
          <w:bCs/>
          <w:lang w:val="en-US"/>
        </w:rPr>
        <w:t>, since 91%</w:t>
      </w:r>
      <w:r w:rsidR="00721CB2">
        <w:rPr>
          <w:rFonts w:cs="Arial"/>
          <w:bCs/>
          <w:lang w:val="en-US"/>
        </w:rPr>
        <w:t xml:space="preserve"> of </w:t>
      </w:r>
      <w:r w:rsidR="0025064E">
        <w:rPr>
          <w:rFonts w:cs="Arial"/>
          <w:bCs/>
          <w:lang w:val="en-US"/>
        </w:rPr>
        <w:t xml:space="preserve">the Dutch bank customers declare </w:t>
      </w:r>
      <w:r w:rsidR="000017E4">
        <w:rPr>
          <w:rFonts w:cs="Arial"/>
          <w:bCs/>
          <w:lang w:val="en-US"/>
        </w:rPr>
        <w:t xml:space="preserve">to </w:t>
      </w:r>
      <w:r w:rsidR="00E517EA">
        <w:rPr>
          <w:rFonts w:cs="Arial"/>
          <w:bCs/>
          <w:lang w:val="en-US"/>
        </w:rPr>
        <w:t>manage their bank account online.</w:t>
      </w:r>
      <w:r w:rsidR="00AB457A" w:rsidRPr="00AB457A">
        <w:rPr>
          <w:lang w:val="en-US"/>
        </w:rPr>
        <w:t xml:space="preserve"> </w:t>
      </w:r>
      <w:r w:rsidR="00657A38">
        <w:rPr>
          <w:lang w:val="en-US"/>
        </w:rPr>
        <w:t xml:space="preserve">Another </w:t>
      </w:r>
      <w:r w:rsidR="00C67440">
        <w:rPr>
          <w:lang w:val="en-US"/>
        </w:rPr>
        <w:t xml:space="preserve">indicator for </w:t>
      </w:r>
      <w:r w:rsidR="009237B9">
        <w:rPr>
          <w:lang w:val="en-US"/>
        </w:rPr>
        <w:t>low banking fees is t</w:t>
      </w:r>
      <w:r w:rsidR="002E4028">
        <w:rPr>
          <w:lang w:val="en-US"/>
        </w:rPr>
        <w:t xml:space="preserve">he relatively high GDP </w:t>
      </w:r>
      <w:r w:rsidR="00417CD5">
        <w:rPr>
          <w:lang w:val="en-US"/>
        </w:rPr>
        <w:t xml:space="preserve">growth rate </w:t>
      </w:r>
      <w:r w:rsidR="008D2B4D">
        <w:rPr>
          <w:lang w:val="en-US"/>
        </w:rPr>
        <w:t xml:space="preserve">in 2018. </w:t>
      </w:r>
    </w:p>
    <w:p w14:paraId="6C7472FA" w14:textId="0297FA3E" w:rsidR="00481202" w:rsidRDefault="00481202" w:rsidP="00481202">
      <w:pPr>
        <w:spacing w:line="360" w:lineRule="auto"/>
        <w:rPr>
          <w:rFonts w:cs="Arial"/>
          <w:bCs/>
          <w:lang w:val="en-US"/>
        </w:rPr>
      </w:pPr>
      <w:r>
        <w:rPr>
          <w:rFonts w:cs="Arial"/>
          <w:bCs/>
          <w:lang w:val="en-US"/>
        </w:rPr>
        <w:t xml:space="preserve">Developments regarding Dutch banks’ income structure, indicate a stable level of revenues based on net fee and commission amongst the leading financial institutions. Although the net fee income of the ING bank increased by almost 25% in 2018 compared to 2013, the numbers of the Rabobank and ABN </w:t>
      </w:r>
      <w:proofErr w:type="spellStart"/>
      <w:r>
        <w:rPr>
          <w:rFonts w:cs="Arial"/>
          <w:bCs/>
          <w:lang w:val="en-US"/>
        </w:rPr>
        <w:t>Amro</w:t>
      </w:r>
      <w:proofErr w:type="spellEnd"/>
      <w:r>
        <w:rPr>
          <w:rFonts w:cs="Arial"/>
          <w:bCs/>
          <w:lang w:val="en-US"/>
        </w:rPr>
        <w:t xml:space="preserve"> remained basically the same</w:t>
      </w:r>
      <w:r w:rsidR="00527239">
        <w:rPr>
          <w:rFonts w:cs="Arial"/>
          <w:bCs/>
          <w:lang w:val="en-US"/>
        </w:rPr>
        <w:t xml:space="preserve"> </w:t>
      </w:r>
      <w:sdt>
        <w:sdtPr>
          <w:rPr>
            <w:rFonts w:cs="Arial"/>
            <w:bCs/>
            <w:lang w:val="en-US"/>
          </w:rPr>
          <w:id w:val="751471241"/>
          <w:citation/>
        </w:sdtPr>
        <w:sdtEndPr/>
        <w:sdtContent>
          <w:r w:rsidR="00527239">
            <w:rPr>
              <w:rFonts w:cs="Arial"/>
              <w:bCs/>
              <w:lang w:val="en-US"/>
            </w:rPr>
            <w:fldChar w:fldCharType="begin"/>
          </w:r>
          <w:r w:rsidR="00F34CD3">
            <w:rPr>
              <w:rFonts w:cs="Arial"/>
              <w:bCs/>
              <w:lang w:val="en-US"/>
            </w:rPr>
            <w:instrText xml:space="preserve">CITATION deB201 \t  \l 3079 </w:instrText>
          </w:r>
          <w:r w:rsidR="00527239">
            <w:rPr>
              <w:rFonts w:cs="Arial"/>
              <w:bCs/>
              <w:lang w:val="en-US"/>
            </w:rPr>
            <w:fldChar w:fldCharType="separate"/>
          </w:r>
          <w:r w:rsidR="00F34CD3" w:rsidRPr="00F34CD3">
            <w:rPr>
              <w:rFonts w:cs="Arial"/>
              <w:noProof/>
              <w:lang w:val="en-US"/>
            </w:rPr>
            <w:t>(de Best, 2020)</w:t>
          </w:r>
          <w:r w:rsidR="00527239">
            <w:rPr>
              <w:rFonts w:cs="Arial"/>
              <w:bCs/>
              <w:lang w:val="en-US"/>
            </w:rPr>
            <w:fldChar w:fldCharType="end"/>
          </w:r>
        </w:sdtContent>
      </w:sdt>
      <w:r>
        <w:rPr>
          <w:rFonts w:cs="Arial"/>
          <w:bCs/>
          <w:lang w:val="en-US"/>
        </w:rPr>
        <w:t>.</w:t>
      </w:r>
    </w:p>
    <w:p w14:paraId="31B96617" w14:textId="17D8F500" w:rsidR="0099572D" w:rsidRDefault="0099572D" w:rsidP="0099572D">
      <w:pPr>
        <w:pStyle w:val="berschrift1"/>
        <w:rPr>
          <w:lang w:val="en-US"/>
        </w:rPr>
      </w:pPr>
      <w:bookmarkStart w:id="64" w:name="_Toc42077762"/>
      <w:r>
        <w:rPr>
          <w:lang w:val="en-US"/>
        </w:rPr>
        <w:t>Conclusion</w:t>
      </w:r>
      <w:bookmarkEnd w:id="64"/>
    </w:p>
    <w:p w14:paraId="6E7E1E6E" w14:textId="77777777" w:rsidR="00237ADD" w:rsidRPr="00237ADD" w:rsidRDefault="00237ADD" w:rsidP="00237ADD">
      <w:pPr>
        <w:spacing w:line="360" w:lineRule="auto"/>
        <w:rPr>
          <w:rFonts w:cs="Arial"/>
          <w:bCs/>
          <w:lang w:val="en-US"/>
        </w:rPr>
      </w:pPr>
      <w:r w:rsidRPr="00237ADD">
        <w:rPr>
          <w:rFonts w:cs="Arial"/>
          <w:bCs/>
          <w:lang w:val="en-US"/>
        </w:rPr>
        <w:t>This paper focused on the development, particularly the increase, of banking fees in the recent years in Europe, while improving technology and digital innovations have led to cost reduction possibilities. Furthermore self-service models in the banking sector have flourished as well, which results in more and more customers complaining about unjustified prices. However, a critical evaluation needs to include more than only these factors and should consider different points of view.</w:t>
      </w:r>
    </w:p>
    <w:p w14:paraId="776241A4" w14:textId="2DDFC70F" w:rsidR="00237ADD" w:rsidRPr="00237ADD" w:rsidRDefault="00237ADD" w:rsidP="00237ADD">
      <w:pPr>
        <w:spacing w:line="360" w:lineRule="auto"/>
        <w:rPr>
          <w:rFonts w:cs="Arial"/>
          <w:bCs/>
          <w:lang w:val="en-US"/>
        </w:rPr>
      </w:pPr>
      <w:r w:rsidRPr="00237ADD">
        <w:rPr>
          <w:rFonts w:cs="Arial"/>
          <w:bCs/>
          <w:lang w:val="en-US"/>
        </w:rPr>
        <w:t>Since charges represent a revenue stream for financial institutions, the income structure of banks is a critical issue when it comes to fees. Although most banking enterprises primarily rely on net interest income, fee-based earnings constitute a significant share of the total income of banks. In fact, fees and commissions, on average, represent almost 30% of euro area banks’ net revenue. Despite various regulations regarding bank charges by the European Union, the amount of fees charged can be defined by banks themselves and therefore provides a stable and flexible kind of income stream.</w:t>
      </w:r>
    </w:p>
    <w:p w14:paraId="0F7D2F23" w14:textId="77777777" w:rsidR="00237ADD" w:rsidRPr="00237ADD" w:rsidRDefault="00237ADD" w:rsidP="00237ADD">
      <w:pPr>
        <w:spacing w:line="360" w:lineRule="auto"/>
        <w:rPr>
          <w:rFonts w:cs="Arial"/>
          <w:bCs/>
          <w:lang w:val="en-US"/>
        </w:rPr>
      </w:pPr>
      <w:r w:rsidRPr="00237ADD">
        <w:rPr>
          <w:rFonts w:cs="Arial"/>
          <w:bCs/>
          <w:lang w:val="en-US"/>
        </w:rPr>
        <w:t xml:space="preserve">As already mentioned, the most significant part of the banks’ total revenue is based on net interest income. However, this source of income heavily relies on external developments, that cannot be controlled by banks themselves. For instance, key interest rates are considered highly influential when it comes to banking fees. In Europe the EURIBOR was at 5% in 2008, </w:t>
      </w:r>
      <w:r w:rsidRPr="00237ADD">
        <w:rPr>
          <w:rFonts w:cs="Arial"/>
          <w:bCs/>
          <w:lang w:val="en-US"/>
        </w:rPr>
        <w:lastRenderedPageBreak/>
        <w:t>dropped under zero in 2016 and has not recovered notably since. Therefore, interest rates for loans are low and since banks’ income based on interest decreases, financial institutions usually tend to increase charges instead. In addition, the existing literature indicates, that banking fees vary with the economic cycle and the GDP growth rate. The Italian financial industry, where the highest amounts of fees within the EU are charged, demonstrates, that crises regarding the real economy directly affect the banking system and its enterprises.</w:t>
      </w:r>
    </w:p>
    <w:p w14:paraId="5085FD3F" w14:textId="325473FA" w:rsidR="00237ADD" w:rsidRPr="00237ADD" w:rsidRDefault="00237ADD" w:rsidP="00237ADD">
      <w:pPr>
        <w:spacing w:line="360" w:lineRule="auto"/>
        <w:rPr>
          <w:rFonts w:cs="Arial"/>
          <w:bCs/>
          <w:lang w:val="en-US"/>
        </w:rPr>
      </w:pPr>
      <w:r w:rsidRPr="00237ADD">
        <w:rPr>
          <w:rFonts w:cs="Arial"/>
          <w:bCs/>
          <w:lang w:val="en-US"/>
        </w:rPr>
        <w:t>Another significant factor regarding the development of bank fees is the market competitiveness. Due to new innovations in areas like internet banking or payment, a whole new industry, called FinTech, emerged and bore innovative financial companies, which directly compete against traditional banking institutions. Hence, banks’ cost advantages decrease, in return traditional banking services’ profitability declined and services, that involve fee and commission charging, flourished. Moreover</w:t>
      </w:r>
      <w:r w:rsidR="006A6234">
        <w:rPr>
          <w:rFonts w:cs="Arial"/>
          <w:bCs/>
          <w:lang w:val="en-US"/>
        </w:rPr>
        <w:t>,</w:t>
      </w:r>
      <w:r w:rsidRPr="00237ADD">
        <w:rPr>
          <w:rFonts w:cs="Arial"/>
          <w:bCs/>
          <w:lang w:val="en-US"/>
        </w:rPr>
        <w:t xml:space="preserve"> established banks are forced to invest in novel technologies to stay competitive. Therefore, parts of the saved costs are turned into essential innovations and entire business models are adapted.</w:t>
      </w:r>
    </w:p>
    <w:p w14:paraId="793BCD33" w14:textId="419381FC" w:rsidR="0099572D" w:rsidRPr="00527239" w:rsidRDefault="00237ADD" w:rsidP="00237ADD">
      <w:pPr>
        <w:spacing w:line="360" w:lineRule="auto"/>
        <w:rPr>
          <w:rFonts w:cs="Arial"/>
          <w:bCs/>
          <w:lang w:val="en-US"/>
        </w:rPr>
      </w:pPr>
      <w:r w:rsidRPr="00237ADD">
        <w:rPr>
          <w:rFonts w:cs="Arial"/>
          <w:bCs/>
          <w:lang w:val="en-US"/>
        </w:rPr>
        <w:t>Considering all aspects</w:t>
      </w:r>
      <w:r w:rsidR="002528F7">
        <w:rPr>
          <w:rFonts w:cs="Arial"/>
          <w:bCs/>
          <w:lang w:val="en-US"/>
        </w:rPr>
        <w:t>,</w:t>
      </w:r>
      <w:r w:rsidRPr="00237ADD">
        <w:rPr>
          <w:rFonts w:cs="Arial"/>
          <w:bCs/>
          <w:lang w:val="en-US"/>
        </w:rPr>
        <w:t xml:space="preserve"> the development of banking fees is determined by various factors and cannot be attributed the technological progress </w:t>
      </w:r>
      <w:r w:rsidR="0001349F">
        <w:rPr>
          <w:rFonts w:cs="Arial"/>
          <w:bCs/>
          <w:lang w:val="en-US"/>
        </w:rPr>
        <w:t>on its own</w:t>
      </w:r>
      <w:r w:rsidRPr="00237ADD">
        <w:rPr>
          <w:rFonts w:cs="Arial"/>
          <w:bCs/>
          <w:lang w:val="en-US"/>
        </w:rPr>
        <w:t>.</w:t>
      </w:r>
      <w:r w:rsidR="00505621">
        <w:rPr>
          <w:rFonts w:cs="Arial"/>
          <w:bCs/>
          <w:lang w:val="en-US"/>
        </w:rPr>
        <w:t xml:space="preserve"> However</w:t>
      </w:r>
      <w:r w:rsidR="00B027B4">
        <w:rPr>
          <w:rFonts w:cs="Arial"/>
          <w:bCs/>
          <w:lang w:val="en-US"/>
        </w:rPr>
        <w:t xml:space="preserve">, a </w:t>
      </w:r>
      <w:r w:rsidR="00DD1B3E">
        <w:rPr>
          <w:rFonts w:cs="Arial"/>
          <w:bCs/>
          <w:lang w:val="en-US"/>
        </w:rPr>
        <w:t xml:space="preserve">general evaluation </w:t>
      </w:r>
      <w:r w:rsidR="00CE0907">
        <w:rPr>
          <w:rFonts w:cs="Arial"/>
          <w:bCs/>
          <w:lang w:val="en-US"/>
        </w:rPr>
        <w:t>of banking fees across Europe</w:t>
      </w:r>
      <w:r w:rsidR="001601B4">
        <w:rPr>
          <w:rFonts w:cs="Arial"/>
          <w:bCs/>
          <w:lang w:val="en-US"/>
        </w:rPr>
        <w:t>,</w:t>
      </w:r>
      <w:r w:rsidR="00864586">
        <w:rPr>
          <w:rFonts w:cs="Arial"/>
          <w:bCs/>
          <w:lang w:val="en-US"/>
        </w:rPr>
        <w:t xml:space="preserve"> or even a country</w:t>
      </w:r>
      <w:r w:rsidR="001601B4">
        <w:rPr>
          <w:rFonts w:cs="Arial"/>
          <w:bCs/>
          <w:lang w:val="en-US"/>
        </w:rPr>
        <w:t>,</w:t>
      </w:r>
      <w:r w:rsidR="00864586">
        <w:rPr>
          <w:rFonts w:cs="Arial"/>
          <w:bCs/>
          <w:lang w:val="en-US"/>
        </w:rPr>
        <w:t xml:space="preserve"> </w:t>
      </w:r>
      <w:r w:rsidR="0065679B">
        <w:rPr>
          <w:rFonts w:cs="Arial"/>
          <w:bCs/>
          <w:lang w:val="en-US"/>
        </w:rPr>
        <w:t xml:space="preserve">is hard to perform, due to </w:t>
      </w:r>
      <w:r w:rsidR="0052579C">
        <w:rPr>
          <w:rFonts w:cs="Arial"/>
          <w:bCs/>
          <w:lang w:val="en-US"/>
        </w:rPr>
        <w:t xml:space="preserve">a variety of </w:t>
      </w:r>
      <w:r w:rsidR="00FE6355">
        <w:rPr>
          <w:rFonts w:cs="Arial"/>
          <w:bCs/>
          <w:lang w:val="en-US"/>
        </w:rPr>
        <w:t>financial products with corresponding charges</w:t>
      </w:r>
      <w:r w:rsidR="0094638D">
        <w:rPr>
          <w:rFonts w:cs="Arial"/>
          <w:bCs/>
          <w:lang w:val="en-US"/>
        </w:rPr>
        <w:t xml:space="preserve"> </w:t>
      </w:r>
      <w:r w:rsidR="00DA6622">
        <w:rPr>
          <w:rFonts w:cs="Arial"/>
          <w:bCs/>
          <w:lang w:val="en-US"/>
        </w:rPr>
        <w:t xml:space="preserve">and </w:t>
      </w:r>
      <w:r w:rsidR="00353C91">
        <w:rPr>
          <w:rFonts w:cs="Arial"/>
          <w:bCs/>
          <w:lang w:val="en-US"/>
        </w:rPr>
        <w:t xml:space="preserve">different </w:t>
      </w:r>
      <w:r w:rsidR="001A4312">
        <w:rPr>
          <w:rFonts w:cs="Arial"/>
          <w:bCs/>
          <w:lang w:val="en-US"/>
        </w:rPr>
        <w:t xml:space="preserve">external </w:t>
      </w:r>
      <w:r w:rsidR="004F43CD">
        <w:rPr>
          <w:rFonts w:cs="Arial"/>
          <w:bCs/>
          <w:lang w:val="en-US"/>
        </w:rPr>
        <w:t>factors.</w:t>
      </w:r>
      <w:r w:rsidR="00CB1007">
        <w:rPr>
          <w:rFonts w:cs="Arial"/>
          <w:bCs/>
          <w:lang w:val="en-US"/>
        </w:rPr>
        <w:t xml:space="preserve"> </w:t>
      </w:r>
      <w:r w:rsidR="00715EC0">
        <w:rPr>
          <w:rFonts w:cs="Arial"/>
          <w:bCs/>
          <w:lang w:val="en-US"/>
        </w:rPr>
        <w:t xml:space="preserve">The </w:t>
      </w:r>
      <w:r w:rsidR="006A0246">
        <w:rPr>
          <w:rFonts w:cs="Arial"/>
          <w:bCs/>
          <w:lang w:val="en-US"/>
        </w:rPr>
        <w:t>determinants</w:t>
      </w:r>
      <w:r w:rsidR="00715EC0">
        <w:rPr>
          <w:rFonts w:cs="Arial"/>
          <w:bCs/>
          <w:lang w:val="en-US"/>
        </w:rPr>
        <w:t xml:space="preserve"> of fees, listed in this paper,</w:t>
      </w:r>
      <w:r w:rsidR="00716510">
        <w:rPr>
          <w:rFonts w:cs="Arial"/>
          <w:bCs/>
          <w:lang w:val="en-US"/>
        </w:rPr>
        <w:t xml:space="preserve"> </w:t>
      </w:r>
      <w:r w:rsidR="00D32C5E">
        <w:rPr>
          <w:rFonts w:cs="Arial"/>
          <w:bCs/>
          <w:lang w:val="en-US"/>
        </w:rPr>
        <w:t xml:space="preserve">explain </w:t>
      </w:r>
      <w:r w:rsidR="00F0175B">
        <w:rPr>
          <w:rFonts w:cs="Arial"/>
          <w:bCs/>
          <w:lang w:val="en-US"/>
        </w:rPr>
        <w:t xml:space="preserve">certain </w:t>
      </w:r>
      <w:r w:rsidR="00A85F77">
        <w:rPr>
          <w:rFonts w:cs="Arial"/>
          <w:bCs/>
          <w:lang w:val="en-US"/>
        </w:rPr>
        <w:t xml:space="preserve">developments </w:t>
      </w:r>
      <w:r w:rsidR="001C1081">
        <w:rPr>
          <w:rFonts w:cs="Arial"/>
          <w:bCs/>
          <w:lang w:val="en-US"/>
        </w:rPr>
        <w:t xml:space="preserve">and </w:t>
      </w:r>
      <w:r w:rsidR="005E797C">
        <w:rPr>
          <w:rFonts w:cs="Arial"/>
          <w:bCs/>
          <w:lang w:val="en-US"/>
        </w:rPr>
        <w:t xml:space="preserve">therefore </w:t>
      </w:r>
      <w:r w:rsidR="00A255FD">
        <w:rPr>
          <w:rFonts w:cs="Arial"/>
          <w:bCs/>
          <w:lang w:val="en-US"/>
        </w:rPr>
        <w:t xml:space="preserve">justify </w:t>
      </w:r>
      <w:r w:rsidR="006B6F57">
        <w:rPr>
          <w:rFonts w:cs="Arial"/>
          <w:bCs/>
          <w:lang w:val="en-US"/>
        </w:rPr>
        <w:t xml:space="preserve">the amount of </w:t>
      </w:r>
      <w:r w:rsidR="00B116B1">
        <w:rPr>
          <w:rFonts w:cs="Arial"/>
          <w:bCs/>
          <w:lang w:val="en-US"/>
        </w:rPr>
        <w:t>fees charged</w:t>
      </w:r>
      <w:r w:rsidR="005F4391">
        <w:rPr>
          <w:rFonts w:cs="Arial"/>
          <w:bCs/>
          <w:lang w:val="en-US"/>
        </w:rPr>
        <w:t xml:space="preserve"> for the most part.</w:t>
      </w:r>
    </w:p>
    <w:p w14:paraId="662DBC22" w14:textId="03975353" w:rsidR="006B5E84" w:rsidRPr="00527239" w:rsidRDefault="006B5E84">
      <w:pPr>
        <w:jc w:val="left"/>
        <w:rPr>
          <w:rFonts w:cs="Arial"/>
          <w:bCs/>
          <w:lang w:val="en-US"/>
        </w:rPr>
      </w:pPr>
      <w:r w:rsidRPr="00527239">
        <w:rPr>
          <w:rFonts w:cs="Arial"/>
          <w:bCs/>
          <w:lang w:val="en-US"/>
        </w:rPr>
        <w:br w:type="page"/>
      </w:r>
    </w:p>
    <w:bookmarkStart w:id="65" w:name="_Toc42077763" w:displacedByCustomXml="next"/>
    <w:sdt>
      <w:sdtPr>
        <w:rPr>
          <w:rFonts w:ascii="Arial" w:eastAsiaTheme="minorHAnsi" w:hAnsi="Arial" w:cstheme="minorBidi"/>
          <w:b w:val="0"/>
          <w:sz w:val="22"/>
          <w:szCs w:val="22"/>
          <w:lang w:val="de-DE"/>
        </w:rPr>
        <w:id w:val="1273439519"/>
        <w:docPartObj>
          <w:docPartGallery w:val="Bibliographies"/>
          <w:docPartUnique/>
        </w:docPartObj>
      </w:sdtPr>
      <w:sdtEndPr>
        <w:rPr>
          <w:lang w:val="de-AT"/>
        </w:rPr>
      </w:sdtEndPr>
      <w:sdtContent>
        <w:p w14:paraId="6408D221" w14:textId="4BB408AA" w:rsidR="006B5E84" w:rsidRDefault="006B5E84">
          <w:pPr>
            <w:pStyle w:val="berschrift1"/>
          </w:pPr>
          <w:r>
            <w:rPr>
              <w:lang w:val="de-DE"/>
            </w:rPr>
            <w:t>References</w:t>
          </w:r>
          <w:bookmarkEnd w:id="65"/>
        </w:p>
        <w:sdt>
          <w:sdtPr>
            <w:id w:val="111145805"/>
            <w:bibliography/>
          </w:sdtPr>
          <w:sdtEndPr>
            <w:rPr>
              <w:i/>
              <w:iCs/>
            </w:rPr>
          </w:sdtEndPr>
          <w:sdtContent>
            <w:p w14:paraId="53E43643" w14:textId="6722BF51" w:rsidR="0038343F" w:rsidRPr="0038343F" w:rsidRDefault="006B5E84" w:rsidP="0038343F">
              <w:pPr>
                <w:pStyle w:val="Literaturverzeichnis"/>
                <w:ind w:left="720" w:hanging="720"/>
                <w:rPr>
                  <w:i/>
                  <w:iCs/>
                  <w:noProof/>
                  <w:sz w:val="20"/>
                  <w:szCs w:val="20"/>
                  <w:lang w:val="en-US"/>
                </w:rPr>
              </w:pPr>
              <w:r w:rsidRPr="0038343F">
                <w:rPr>
                  <w:i/>
                  <w:iCs/>
                  <w:sz w:val="10"/>
                  <w:szCs w:val="10"/>
                </w:rPr>
                <w:fldChar w:fldCharType="begin"/>
              </w:r>
              <w:r w:rsidRPr="0038343F">
                <w:rPr>
                  <w:i/>
                  <w:iCs/>
                  <w:sz w:val="10"/>
                  <w:szCs w:val="10"/>
                </w:rPr>
                <w:instrText>BIBLIOGRAPHY</w:instrText>
              </w:r>
              <w:r w:rsidRPr="0038343F">
                <w:rPr>
                  <w:i/>
                  <w:iCs/>
                  <w:sz w:val="10"/>
                  <w:szCs w:val="10"/>
                </w:rPr>
                <w:fldChar w:fldCharType="separate"/>
              </w:r>
              <w:r w:rsidR="0038343F" w:rsidRPr="0038343F">
                <w:rPr>
                  <w:i/>
                  <w:iCs/>
                  <w:noProof/>
                  <w:sz w:val="18"/>
                  <w:szCs w:val="18"/>
                </w:rPr>
                <w:t xml:space="preserve">Abele, K. (2020, April 28). Die EU Senkt Die Bankgebühren Und Die Kosten Für Den Kreditkarteneinsatz. </w:t>
              </w:r>
              <w:r w:rsidR="0038343F" w:rsidRPr="0038343F">
                <w:rPr>
                  <w:i/>
                  <w:iCs/>
                  <w:noProof/>
                  <w:sz w:val="18"/>
                  <w:szCs w:val="18"/>
                  <w:lang w:val="en-US"/>
                </w:rPr>
                <w:t>Retrieved from European Commission - Germany: https://ec.europa.eu/germany/eu60/bankgebuehren_de</w:t>
              </w:r>
              <w:r w:rsidR="00DA179C">
                <w:rPr>
                  <w:i/>
                  <w:iCs/>
                  <w:noProof/>
                  <w:sz w:val="18"/>
                  <w:szCs w:val="18"/>
                  <w:lang w:val="en-US"/>
                </w:rPr>
                <w:t xml:space="preserve"> (2020, May 7)</w:t>
              </w:r>
            </w:p>
            <w:p w14:paraId="75027CC8" w14:textId="77777777" w:rsidR="0038343F" w:rsidRPr="0038343F" w:rsidRDefault="0038343F" w:rsidP="0038343F">
              <w:pPr>
                <w:pStyle w:val="Literaturverzeichnis"/>
                <w:ind w:left="720" w:hanging="720"/>
                <w:rPr>
                  <w:i/>
                  <w:iCs/>
                  <w:noProof/>
                  <w:sz w:val="18"/>
                  <w:szCs w:val="18"/>
                  <w:lang w:val="en-US"/>
                </w:rPr>
              </w:pPr>
              <w:r w:rsidRPr="0038343F">
                <w:rPr>
                  <w:i/>
                  <w:iCs/>
                  <w:noProof/>
                  <w:sz w:val="18"/>
                  <w:szCs w:val="18"/>
                  <w:lang w:val="en-US"/>
                </w:rPr>
                <w:t>Agarwal, H., &amp; Agarwal, R. (2017). First Industrial Revolution and Second Industrial Revolution: Technological Differences and the Differences in Banking and Financing of the Firms. Dubai: Saudi Journal of Humanities and Social Sciences.</w:t>
              </w:r>
            </w:p>
            <w:p w14:paraId="7B79F9B1" w14:textId="7924977C" w:rsidR="0038343F" w:rsidRPr="0038343F" w:rsidRDefault="0038343F" w:rsidP="0038343F">
              <w:pPr>
                <w:pStyle w:val="Literaturverzeichnis"/>
                <w:ind w:left="720" w:hanging="720"/>
                <w:rPr>
                  <w:i/>
                  <w:iCs/>
                  <w:noProof/>
                  <w:sz w:val="18"/>
                  <w:szCs w:val="18"/>
                  <w:lang w:val="en-US"/>
                </w:rPr>
              </w:pPr>
              <w:r w:rsidRPr="0038343F">
                <w:rPr>
                  <w:i/>
                  <w:iCs/>
                  <w:noProof/>
                  <w:sz w:val="18"/>
                  <w:szCs w:val="18"/>
                  <w:lang w:val="en-US"/>
                </w:rPr>
                <w:t>Amadeo, K. (2020, March 17). Stock Market Crash of 1929 Facts, Causes, and Impact. Retrieved from The Balance: https://www.thebalance.com/stock-market-crash-of-1929-causes-effects-and-facts-3305891</w:t>
              </w:r>
              <w:r w:rsidR="00E74203">
                <w:rPr>
                  <w:i/>
                  <w:iCs/>
                  <w:noProof/>
                  <w:sz w:val="18"/>
                  <w:szCs w:val="18"/>
                  <w:lang w:val="en-US"/>
                </w:rPr>
                <w:t xml:space="preserve"> (2020, March 17)</w:t>
              </w:r>
            </w:p>
            <w:p w14:paraId="116CF104" w14:textId="77777777" w:rsidR="0038343F" w:rsidRPr="0038343F" w:rsidRDefault="0038343F" w:rsidP="0038343F">
              <w:pPr>
                <w:pStyle w:val="Literaturverzeichnis"/>
                <w:ind w:left="720" w:hanging="720"/>
                <w:rPr>
                  <w:i/>
                  <w:iCs/>
                  <w:noProof/>
                  <w:sz w:val="18"/>
                  <w:szCs w:val="18"/>
                  <w:lang w:val="en-US"/>
                </w:rPr>
              </w:pPr>
              <w:r w:rsidRPr="0038343F">
                <w:rPr>
                  <w:i/>
                  <w:iCs/>
                  <w:noProof/>
                  <w:sz w:val="18"/>
                  <w:szCs w:val="18"/>
                  <w:lang w:val="en-US"/>
                </w:rPr>
                <w:t>Arnaboldi, F., &amp; Claeys, P. (2008). Internet Banking In Europe: A Comparative Analysis. Milan: Research Institute of Applied Economics.</w:t>
              </w:r>
            </w:p>
            <w:p w14:paraId="1B66E7B8" w14:textId="77777777" w:rsidR="0038343F" w:rsidRPr="0038343F" w:rsidRDefault="0038343F" w:rsidP="0038343F">
              <w:pPr>
                <w:pStyle w:val="Literaturverzeichnis"/>
                <w:ind w:left="720" w:hanging="720"/>
                <w:rPr>
                  <w:i/>
                  <w:iCs/>
                  <w:noProof/>
                  <w:sz w:val="18"/>
                  <w:szCs w:val="18"/>
                  <w:lang w:val="en-US"/>
                </w:rPr>
              </w:pPr>
              <w:r w:rsidRPr="0038343F">
                <w:rPr>
                  <w:i/>
                  <w:iCs/>
                  <w:noProof/>
                  <w:sz w:val="18"/>
                  <w:szCs w:val="18"/>
                </w:rPr>
                <w:t xml:space="preserve">Arner, D. W., Barberis, J., &amp; Buckley, R. P. (2016). </w:t>
              </w:r>
              <w:r w:rsidRPr="0038343F">
                <w:rPr>
                  <w:i/>
                  <w:iCs/>
                  <w:noProof/>
                  <w:sz w:val="18"/>
                  <w:szCs w:val="18"/>
                  <w:lang w:val="en-US"/>
                </w:rPr>
                <w:t>The Evolution Of FinTech: A New Post-Crisis Paradigm. Sydney: SSRN Electronic Journal.</w:t>
              </w:r>
            </w:p>
            <w:p w14:paraId="55D43956" w14:textId="77777777" w:rsidR="0038343F" w:rsidRPr="0038343F" w:rsidRDefault="0038343F" w:rsidP="0038343F">
              <w:pPr>
                <w:pStyle w:val="Literaturverzeichnis"/>
                <w:ind w:left="720" w:hanging="720"/>
                <w:rPr>
                  <w:i/>
                  <w:iCs/>
                  <w:noProof/>
                  <w:sz w:val="18"/>
                  <w:szCs w:val="18"/>
                  <w:lang w:val="it-IT"/>
                </w:rPr>
              </w:pPr>
              <w:r w:rsidRPr="0038343F">
                <w:rPr>
                  <w:i/>
                  <w:iCs/>
                  <w:noProof/>
                  <w:sz w:val="18"/>
                  <w:szCs w:val="18"/>
                  <w:lang w:val="en-US"/>
                </w:rPr>
                <w:t xml:space="preserve">Ayadi, R., De Groen, W. P., Sassi, I., Mathlouthi, W., Rey, H., &amp; Aubry, O. (2016). Banking Business Models Monitor 2015 - Europe. </w:t>
              </w:r>
              <w:r w:rsidRPr="0038343F">
                <w:rPr>
                  <w:i/>
                  <w:iCs/>
                  <w:noProof/>
                  <w:sz w:val="18"/>
                  <w:szCs w:val="18"/>
                  <w:lang w:val="it-IT"/>
                </w:rPr>
                <w:t>Montreal: International Research Centre.</w:t>
              </w:r>
            </w:p>
            <w:p w14:paraId="49A87A9F" w14:textId="77777777" w:rsidR="0038343F" w:rsidRPr="0038343F" w:rsidRDefault="0038343F" w:rsidP="0038343F">
              <w:pPr>
                <w:pStyle w:val="Literaturverzeichnis"/>
                <w:ind w:left="720" w:hanging="720"/>
                <w:rPr>
                  <w:i/>
                  <w:iCs/>
                  <w:noProof/>
                  <w:sz w:val="18"/>
                  <w:szCs w:val="18"/>
                  <w:lang w:val="it-IT"/>
                </w:rPr>
              </w:pPr>
              <w:r w:rsidRPr="0038343F">
                <w:rPr>
                  <w:i/>
                  <w:iCs/>
                  <w:noProof/>
                  <w:sz w:val="18"/>
                  <w:szCs w:val="18"/>
                  <w:lang w:val="it-IT"/>
                </w:rPr>
                <w:t>Banca D'Italia. (2019). Annual Report. Rome: Banca D'Italia.</w:t>
              </w:r>
            </w:p>
            <w:p w14:paraId="5F75128E" w14:textId="495C6BC4" w:rsidR="0038343F" w:rsidRPr="0038343F" w:rsidRDefault="0038343F" w:rsidP="0038343F">
              <w:pPr>
                <w:pStyle w:val="Literaturverzeichnis"/>
                <w:ind w:left="720" w:hanging="720"/>
                <w:rPr>
                  <w:i/>
                  <w:iCs/>
                  <w:noProof/>
                  <w:sz w:val="18"/>
                  <w:szCs w:val="18"/>
                </w:rPr>
              </w:pPr>
              <w:r w:rsidRPr="0038343F">
                <w:rPr>
                  <w:i/>
                  <w:iCs/>
                  <w:noProof/>
                  <w:sz w:val="18"/>
                  <w:szCs w:val="18"/>
                </w:rPr>
                <w:t>Bankenrechner AK. (2020, April 13). Bankenrechner AK. Retrieved from Bankenrechner: https://www.bankenrechner.at/girokonto</w:t>
              </w:r>
              <w:r w:rsidR="00AB2BA6">
                <w:rPr>
                  <w:i/>
                  <w:iCs/>
                  <w:noProof/>
                  <w:sz w:val="18"/>
                  <w:szCs w:val="18"/>
                </w:rPr>
                <w:t xml:space="preserve"> (2020, April 13)</w:t>
              </w:r>
            </w:p>
            <w:p w14:paraId="2955C7E6" w14:textId="4A1E2912" w:rsidR="0038343F" w:rsidRPr="0038343F" w:rsidRDefault="0038343F" w:rsidP="0038343F">
              <w:pPr>
                <w:pStyle w:val="Literaturverzeichnis"/>
                <w:ind w:left="720" w:hanging="720"/>
                <w:rPr>
                  <w:i/>
                  <w:iCs/>
                  <w:noProof/>
                  <w:sz w:val="18"/>
                  <w:szCs w:val="18"/>
                  <w:lang w:val="en-US"/>
                </w:rPr>
              </w:pPr>
              <w:r w:rsidRPr="0038343F">
                <w:rPr>
                  <w:i/>
                  <w:iCs/>
                  <w:noProof/>
                  <w:sz w:val="18"/>
                  <w:szCs w:val="18"/>
                </w:rPr>
                <w:t xml:space="preserve">Bankenverband. (2019, January 18). Kreditinstitute Und Bankstellen. </w:t>
              </w:r>
              <w:r w:rsidRPr="0038343F">
                <w:rPr>
                  <w:i/>
                  <w:iCs/>
                  <w:noProof/>
                  <w:sz w:val="18"/>
                  <w:szCs w:val="18"/>
                  <w:lang w:val="en-US"/>
                </w:rPr>
                <w:t>Retrieved from Bankenverband: https://bankenverband.de/statistik/banken-deutschland/kreditinstitute-und-bankstellen/</w:t>
              </w:r>
              <w:r w:rsidR="00E4772F">
                <w:rPr>
                  <w:i/>
                  <w:iCs/>
                  <w:noProof/>
                  <w:sz w:val="18"/>
                  <w:szCs w:val="18"/>
                  <w:lang w:val="en-US"/>
                </w:rPr>
                <w:t xml:space="preserve"> (2020, March 29)</w:t>
              </w:r>
            </w:p>
            <w:p w14:paraId="5AE29520" w14:textId="462815FB" w:rsidR="0038343F" w:rsidRPr="0038343F" w:rsidRDefault="0038343F" w:rsidP="0038343F">
              <w:pPr>
                <w:pStyle w:val="Literaturverzeichnis"/>
                <w:ind w:left="720" w:hanging="720"/>
                <w:rPr>
                  <w:i/>
                  <w:iCs/>
                  <w:noProof/>
                  <w:sz w:val="18"/>
                  <w:szCs w:val="18"/>
                  <w:lang w:val="en-US"/>
                </w:rPr>
              </w:pPr>
              <w:r w:rsidRPr="0038343F">
                <w:rPr>
                  <w:i/>
                  <w:iCs/>
                  <w:noProof/>
                  <w:sz w:val="18"/>
                  <w:szCs w:val="18"/>
                  <w:lang w:val="en-US"/>
                </w:rPr>
                <w:t>Bátiz-Lazo, B. (2015, March 26). A Brief History of the ATM. Retrieved from The Atlantic: https://www.theatlantic.com/technology/archive/2015/03/a-brief-history-of-the-atm/388547/</w:t>
              </w:r>
              <w:r w:rsidR="0028798C">
                <w:rPr>
                  <w:i/>
                  <w:iCs/>
                  <w:noProof/>
                  <w:sz w:val="18"/>
                  <w:szCs w:val="18"/>
                  <w:lang w:val="en-US"/>
                </w:rPr>
                <w:t xml:space="preserve"> (2020, March 20)</w:t>
              </w:r>
            </w:p>
            <w:p w14:paraId="417FCCE8" w14:textId="77777777" w:rsidR="0038343F" w:rsidRPr="0038343F" w:rsidRDefault="0038343F" w:rsidP="0038343F">
              <w:pPr>
                <w:pStyle w:val="Literaturverzeichnis"/>
                <w:ind w:left="720" w:hanging="720"/>
                <w:rPr>
                  <w:i/>
                  <w:iCs/>
                  <w:noProof/>
                  <w:sz w:val="18"/>
                  <w:szCs w:val="18"/>
                  <w:lang w:val="en-US"/>
                </w:rPr>
              </w:pPr>
              <w:r w:rsidRPr="0038343F">
                <w:rPr>
                  <w:i/>
                  <w:iCs/>
                  <w:noProof/>
                  <w:sz w:val="18"/>
                  <w:szCs w:val="18"/>
                  <w:lang w:val="en-US"/>
                </w:rPr>
                <w:t>Beck, T., &amp; Casu, B. (2016). European Banking: An Overview. Palgrave Macmillan, London: The Palgrave Handbook of European Banking.</w:t>
              </w:r>
            </w:p>
            <w:p w14:paraId="5EE4C9C7" w14:textId="77777777" w:rsidR="0038343F" w:rsidRPr="0038343F" w:rsidRDefault="0038343F" w:rsidP="0038343F">
              <w:pPr>
                <w:pStyle w:val="Literaturverzeichnis"/>
                <w:ind w:left="720" w:hanging="720"/>
                <w:rPr>
                  <w:i/>
                  <w:iCs/>
                  <w:noProof/>
                  <w:sz w:val="18"/>
                  <w:szCs w:val="18"/>
                  <w:lang w:val="en-US"/>
                </w:rPr>
              </w:pPr>
              <w:r w:rsidRPr="0038343F">
                <w:rPr>
                  <w:i/>
                  <w:iCs/>
                  <w:noProof/>
                  <w:sz w:val="18"/>
                  <w:szCs w:val="18"/>
                  <w:lang w:val="en-US"/>
                </w:rPr>
                <w:t>Beck, T., &amp; Demirgüc-Kunt, A. (2009, May). Financial Institutions and Markets across Countries and over Time. World Bank Policy Research Working Paper, 4943.</w:t>
              </w:r>
            </w:p>
            <w:p w14:paraId="0A1DCDE8" w14:textId="4F72BB05" w:rsidR="0038343F" w:rsidRPr="0038343F" w:rsidRDefault="0038343F" w:rsidP="0038343F">
              <w:pPr>
                <w:pStyle w:val="Literaturverzeichnis"/>
                <w:ind w:left="720" w:hanging="720"/>
                <w:rPr>
                  <w:i/>
                  <w:iCs/>
                  <w:noProof/>
                  <w:sz w:val="18"/>
                  <w:szCs w:val="18"/>
                  <w:lang w:val="en-US"/>
                </w:rPr>
              </w:pPr>
              <w:r w:rsidRPr="0038343F">
                <w:rPr>
                  <w:i/>
                  <w:iCs/>
                  <w:noProof/>
                  <w:sz w:val="18"/>
                  <w:szCs w:val="18"/>
                  <w:lang w:val="en-US"/>
                </w:rPr>
                <w:t>Bellens, J. (2016, June 15). How Retail Banks Must Rethink Their Customer Relationships. Retrieved from EY: https://www.ey.com/en_gl/banking-capital-markets/how-retail-banks-must-rethink-their-customer-relationships</w:t>
              </w:r>
              <w:r w:rsidR="00F861CE">
                <w:rPr>
                  <w:i/>
                  <w:iCs/>
                  <w:noProof/>
                  <w:sz w:val="18"/>
                  <w:szCs w:val="18"/>
                  <w:lang w:val="en-US"/>
                </w:rPr>
                <w:t xml:space="preserve"> (2020, April 12)</w:t>
              </w:r>
            </w:p>
            <w:p w14:paraId="3471055D" w14:textId="77777777" w:rsidR="0038343F" w:rsidRPr="0038343F" w:rsidRDefault="0038343F" w:rsidP="0038343F">
              <w:pPr>
                <w:pStyle w:val="Literaturverzeichnis"/>
                <w:ind w:left="720" w:hanging="720"/>
                <w:rPr>
                  <w:i/>
                  <w:iCs/>
                  <w:noProof/>
                  <w:sz w:val="18"/>
                  <w:szCs w:val="18"/>
                  <w:lang w:val="en-US"/>
                </w:rPr>
              </w:pPr>
              <w:r w:rsidRPr="0038343F">
                <w:rPr>
                  <w:i/>
                  <w:iCs/>
                  <w:noProof/>
                  <w:sz w:val="18"/>
                  <w:szCs w:val="18"/>
                  <w:lang w:val="en-US"/>
                </w:rPr>
                <w:t>Bloomberg, J. (2018, April 29). Digitization, Digitalization, And Digital Transformation: Confuse Them At Your Peril. Forbes.</w:t>
              </w:r>
            </w:p>
            <w:p w14:paraId="6EE79095" w14:textId="77777777" w:rsidR="0038343F" w:rsidRPr="0038343F" w:rsidRDefault="0038343F" w:rsidP="0038343F">
              <w:pPr>
                <w:pStyle w:val="Literaturverzeichnis"/>
                <w:ind w:left="720" w:hanging="720"/>
                <w:rPr>
                  <w:i/>
                  <w:iCs/>
                  <w:noProof/>
                  <w:sz w:val="18"/>
                  <w:szCs w:val="18"/>
                </w:rPr>
              </w:pPr>
              <w:r w:rsidRPr="0038343F">
                <w:rPr>
                  <w:i/>
                  <w:iCs/>
                  <w:noProof/>
                  <w:sz w:val="18"/>
                  <w:szCs w:val="18"/>
                  <w:lang w:val="en-US"/>
                </w:rPr>
                <w:t xml:space="preserve">Bondarenko, A. V., Evdokimova, Y. V., &amp; Shinkareva, O. V. (2019). Digital Banks: Development Trends. </w:t>
              </w:r>
              <w:r w:rsidRPr="0038343F">
                <w:rPr>
                  <w:i/>
                  <w:iCs/>
                  <w:noProof/>
                  <w:sz w:val="18"/>
                  <w:szCs w:val="18"/>
                </w:rPr>
                <w:t>Moscow: Atlantis Press.</w:t>
              </w:r>
            </w:p>
            <w:p w14:paraId="44A28F20" w14:textId="54E298DB" w:rsidR="0038343F" w:rsidRPr="0038343F" w:rsidRDefault="0038343F" w:rsidP="0038343F">
              <w:pPr>
                <w:pStyle w:val="Literaturverzeichnis"/>
                <w:ind w:left="720" w:hanging="720"/>
                <w:rPr>
                  <w:i/>
                  <w:iCs/>
                  <w:noProof/>
                  <w:sz w:val="18"/>
                  <w:szCs w:val="18"/>
                  <w:lang w:val="en-US"/>
                </w:rPr>
              </w:pPr>
              <w:r w:rsidRPr="0038343F">
                <w:rPr>
                  <w:i/>
                  <w:iCs/>
                  <w:noProof/>
                  <w:sz w:val="18"/>
                  <w:szCs w:val="18"/>
                </w:rPr>
                <w:t xml:space="preserve">Brandt, M. (2017, October 9). Deutschland bei Filialdichte im Mittelfeld. </w:t>
              </w:r>
              <w:r w:rsidRPr="0038343F">
                <w:rPr>
                  <w:i/>
                  <w:iCs/>
                  <w:noProof/>
                  <w:sz w:val="18"/>
                  <w:szCs w:val="18"/>
                  <w:lang w:val="en-US"/>
                </w:rPr>
                <w:t>Retrieved from Statista: https://de.statista.com/infografik/11387/bankfilialen-je-10000-einwohner-in-europa/</w:t>
              </w:r>
              <w:r w:rsidR="006F7B90">
                <w:rPr>
                  <w:i/>
                  <w:iCs/>
                  <w:noProof/>
                  <w:sz w:val="18"/>
                  <w:szCs w:val="18"/>
                  <w:lang w:val="en-US"/>
                </w:rPr>
                <w:t xml:space="preserve"> (2020, April 20)</w:t>
              </w:r>
            </w:p>
            <w:p w14:paraId="2B59A727" w14:textId="77777777" w:rsidR="0038343F" w:rsidRPr="0038343F" w:rsidRDefault="0038343F" w:rsidP="0038343F">
              <w:pPr>
                <w:pStyle w:val="Literaturverzeichnis"/>
                <w:ind w:left="720" w:hanging="720"/>
                <w:rPr>
                  <w:i/>
                  <w:iCs/>
                  <w:noProof/>
                  <w:sz w:val="18"/>
                  <w:szCs w:val="18"/>
                  <w:lang w:val="en-US"/>
                </w:rPr>
              </w:pPr>
              <w:r w:rsidRPr="0038343F">
                <w:rPr>
                  <w:i/>
                  <w:iCs/>
                  <w:noProof/>
                  <w:sz w:val="18"/>
                  <w:szCs w:val="18"/>
                </w:rPr>
                <w:t xml:space="preserve">Braun, M. (2016, July 11). Krise? Aber doch nicht in Italien! </w:t>
              </w:r>
              <w:r w:rsidRPr="0038343F">
                <w:rPr>
                  <w:i/>
                  <w:iCs/>
                  <w:noProof/>
                  <w:sz w:val="18"/>
                  <w:szCs w:val="18"/>
                  <w:lang w:val="en-US"/>
                </w:rPr>
                <w:t>Zeit.</w:t>
              </w:r>
            </w:p>
            <w:p w14:paraId="296E458E" w14:textId="0A694574" w:rsidR="0038343F" w:rsidRPr="003D4041" w:rsidRDefault="0038343F" w:rsidP="0038343F">
              <w:pPr>
                <w:pStyle w:val="Literaturverzeichnis"/>
                <w:ind w:left="720" w:hanging="720"/>
                <w:rPr>
                  <w:i/>
                  <w:iCs/>
                  <w:noProof/>
                  <w:sz w:val="18"/>
                  <w:szCs w:val="18"/>
                  <w:lang w:val="en-US"/>
                </w:rPr>
              </w:pPr>
              <w:r w:rsidRPr="0038343F">
                <w:rPr>
                  <w:i/>
                  <w:iCs/>
                  <w:noProof/>
                  <w:sz w:val="18"/>
                  <w:szCs w:val="18"/>
                  <w:lang w:val="en-US"/>
                </w:rPr>
                <w:t xml:space="preserve">Britannica, T. E. (2017, July 18). Savings Bank. </w:t>
              </w:r>
              <w:r w:rsidRPr="003D4041">
                <w:rPr>
                  <w:i/>
                  <w:iCs/>
                  <w:noProof/>
                  <w:sz w:val="18"/>
                  <w:szCs w:val="18"/>
                  <w:lang w:val="en-US"/>
                </w:rPr>
                <w:t>Retrieved from Encyclopædia Britannica: https://www.britannica.com/topic/savings-bank</w:t>
              </w:r>
              <w:r w:rsidR="003D4041" w:rsidRPr="003D4041">
                <w:rPr>
                  <w:i/>
                  <w:iCs/>
                  <w:noProof/>
                  <w:sz w:val="18"/>
                  <w:szCs w:val="18"/>
                  <w:lang w:val="en-US"/>
                </w:rPr>
                <w:t xml:space="preserve"> (2020, March </w:t>
              </w:r>
              <w:r w:rsidR="003D4041">
                <w:rPr>
                  <w:i/>
                  <w:iCs/>
                  <w:noProof/>
                  <w:sz w:val="18"/>
                  <w:szCs w:val="18"/>
                  <w:lang w:val="en-US"/>
                </w:rPr>
                <w:t>22</w:t>
              </w:r>
              <w:r w:rsidR="003D4041" w:rsidRPr="003D4041">
                <w:rPr>
                  <w:i/>
                  <w:iCs/>
                  <w:noProof/>
                  <w:sz w:val="18"/>
                  <w:szCs w:val="18"/>
                  <w:lang w:val="en-US"/>
                </w:rPr>
                <w:t>)</w:t>
              </w:r>
            </w:p>
            <w:p w14:paraId="066F2FE2" w14:textId="77777777" w:rsidR="0038343F" w:rsidRPr="0038343F" w:rsidRDefault="0038343F" w:rsidP="0038343F">
              <w:pPr>
                <w:pStyle w:val="Literaturverzeichnis"/>
                <w:ind w:left="720" w:hanging="720"/>
                <w:rPr>
                  <w:i/>
                  <w:iCs/>
                  <w:noProof/>
                  <w:sz w:val="18"/>
                  <w:szCs w:val="18"/>
                  <w:lang w:val="en-US"/>
                </w:rPr>
              </w:pPr>
              <w:r w:rsidRPr="0038343F">
                <w:rPr>
                  <w:i/>
                  <w:iCs/>
                  <w:noProof/>
                  <w:sz w:val="18"/>
                  <w:szCs w:val="18"/>
                </w:rPr>
                <w:t xml:space="preserve">Buch, C., &amp; Dages, G. B. (2018). </w:t>
              </w:r>
              <w:r w:rsidRPr="0038343F">
                <w:rPr>
                  <w:i/>
                  <w:iCs/>
                  <w:noProof/>
                  <w:sz w:val="18"/>
                  <w:szCs w:val="18"/>
                  <w:lang w:val="en-US"/>
                </w:rPr>
                <w:t>Structural Changes In Banking After The Crisis. Bank for International Settlements.</w:t>
              </w:r>
            </w:p>
            <w:p w14:paraId="728C95AA" w14:textId="77777777" w:rsidR="0038343F" w:rsidRPr="0038343F" w:rsidRDefault="0038343F" w:rsidP="0038343F">
              <w:pPr>
                <w:pStyle w:val="Literaturverzeichnis"/>
                <w:ind w:left="720" w:hanging="720"/>
                <w:rPr>
                  <w:i/>
                  <w:iCs/>
                  <w:noProof/>
                  <w:sz w:val="18"/>
                  <w:szCs w:val="18"/>
                  <w:lang w:val="en-US"/>
                </w:rPr>
              </w:pPr>
              <w:r w:rsidRPr="0038343F">
                <w:rPr>
                  <w:i/>
                  <w:iCs/>
                  <w:noProof/>
                  <w:sz w:val="18"/>
                  <w:szCs w:val="18"/>
                  <w:lang w:val="en-US"/>
                </w:rPr>
                <w:t>Campbell, D., &amp; Frei, F. (2009). Cost Structure, Customer Proﬁtability, and Retention Implications of Self-Service Distribution Channels: Evidence from Customer Behavior in an Online Banking Channel. Boston: Harvard Business School.</w:t>
              </w:r>
            </w:p>
            <w:p w14:paraId="16568D2D" w14:textId="77777777" w:rsidR="0038343F" w:rsidRPr="0038343F" w:rsidRDefault="0038343F" w:rsidP="0038343F">
              <w:pPr>
                <w:pStyle w:val="Literaturverzeichnis"/>
                <w:ind w:left="720" w:hanging="720"/>
                <w:rPr>
                  <w:i/>
                  <w:iCs/>
                  <w:noProof/>
                  <w:sz w:val="18"/>
                  <w:szCs w:val="18"/>
                  <w:lang w:val="en-US"/>
                </w:rPr>
              </w:pPr>
              <w:r w:rsidRPr="0038343F">
                <w:rPr>
                  <w:i/>
                  <w:iCs/>
                  <w:noProof/>
                  <w:sz w:val="18"/>
                  <w:szCs w:val="18"/>
                  <w:lang w:val="en-US"/>
                </w:rPr>
                <w:t>Chavan, J. (2013, June 1). Internet Banking - Benefits And Challenges In An Emerging Economy. International Journal of Research in Business Management, Vol. 1, pp. 19-26.</w:t>
              </w:r>
            </w:p>
            <w:p w14:paraId="1172B8EA" w14:textId="064DCA57" w:rsidR="0038343F" w:rsidRPr="0038343F" w:rsidRDefault="0038343F" w:rsidP="0038343F">
              <w:pPr>
                <w:pStyle w:val="Literaturverzeichnis"/>
                <w:ind w:left="720" w:hanging="720"/>
                <w:rPr>
                  <w:i/>
                  <w:iCs/>
                  <w:noProof/>
                  <w:sz w:val="18"/>
                  <w:szCs w:val="18"/>
                  <w:lang w:val="en-US"/>
                </w:rPr>
              </w:pPr>
              <w:r w:rsidRPr="0038343F">
                <w:rPr>
                  <w:i/>
                  <w:iCs/>
                  <w:noProof/>
                  <w:sz w:val="18"/>
                  <w:szCs w:val="18"/>
                  <w:lang w:val="en-US"/>
                </w:rPr>
                <w:lastRenderedPageBreak/>
                <w:t>Chen, J. (2019, September 5). Bretton Woods Agreement and System. Retrieved from Investopedia: https://www.investopedia.com/terms/b/brettonwoodsagreement.asp</w:t>
              </w:r>
              <w:r w:rsidR="003E78DC">
                <w:rPr>
                  <w:i/>
                  <w:iCs/>
                  <w:noProof/>
                  <w:sz w:val="18"/>
                  <w:szCs w:val="18"/>
                  <w:lang w:val="en-US"/>
                </w:rPr>
                <w:t xml:space="preserve"> (2020, March 25)</w:t>
              </w:r>
            </w:p>
            <w:p w14:paraId="792C9A02" w14:textId="5F4FCAAC" w:rsidR="0038343F" w:rsidRPr="0038343F" w:rsidRDefault="0038343F" w:rsidP="0038343F">
              <w:pPr>
                <w:pStyle w:val="Literaturverzeichnis"/>
                <w:ind w:left="720" w:hanging="720"/>
                <w:rPr>
                  <w:i/>
                  <w:iCs/>
                  <w:noProof/>
                  <w:sz w:val="18"/>
                  <w:szCs w:val="18"/>
                  <w:lang w:val="en-US"/>
                </w:rPr>
              </w:pPr>
              <w:r w:rsidRPr="0038343F">
                <w:rPr>
                  <w:i/>
                  <w:iCs/>
                  <w:noProof/>
                  <w:sz w:val="18"/>
                  <w:szCs w:val="18"/>
                  <w:lang w:val="en-US"/>
                </w:rPr>
                <w:t>Clark, D. (2020, March 25). Population Of Selected European Countries 2020. Retrieved from Statista: https://www.statista.com/statistics/685846/population-of-selected-european-countries/</w:t>
              </w:r>
              <w:r w:rsidR="00884FF7">
                <w:rPr>
                  <w:i/>
                  <w:iCs/>
                  <w:noProof/>
                  <w:sz w:val="18"/>
                  <w:szCs w:val="18"/>
                  <w:lang w:val="en-US"/>
                </w:rPr>
                <w:t xml:space="preserve"> (2020, May </w:t>
              </w:r>
              <w:r w:rsidR="00D7189A">
                <w:rPr>
                  <w:i/>
                  <w:iCs/>
                  <w:noProof/>
                  <w:sz w:val="18"/>
                  <w:szCs w:val="18"/>
                  <w:lang w:val="en-US"/>
                </w:rPr>
                <w:t>2</w:t>
              </w:r>
              <w:r w:rsidR="00884FF7">
                <w:rPr>
                  <w:i/>
                  <w:iCs/>
                  <w:noProof/>
                  <w:sz w:val="18"/>
                  <w:szCs w:val="18"/>
                  <w:lang w:val="en-US"/>
                </w:rPr>
                <w:t>)</w:t>
              </w:r>
            </w:p>
            <w:p w14:paraId="3F1D36FD" w14:textId="39D6AE65" w:rsidR="0038343F" w:rsidRPr="0038343F" w:rsidRDefault="0038343F" w:rsidP="0038343F">
              <w:pPr>
                <w:pStyle w:val="Literaturverzeichnis"/>
                <w:ind w:left="720" w:hanging="720"/>
                <w:rPr>
                  <w:i/>
                  <w:iCs/>
                  <w:noProof/>
                  <w:sz w:val="18"/>
                  <w:szCs w:val="18"/>
                  <w:lang w:val="en-US"/>
                </w:rPr>
              </w:pPr>
              <w:r w:rsidRPr="0038343F">
                <w:rPr>
                  <w:i/>
                  <w:iCs/>
                  <w:noProof/>
                  <w:sz w:val="18"/>
                  <w:szCs w:val="18"/>
                  <w:lang w:val="en-US"/>
                </w:rPr>
                <w:t>de Best, R. (2020, January 20). Banking Activities In The Netherlands - Statistics &amp; Facts. Retrieved from Statista: https://www.statista.com/topics/3442/the-banking-sector-in-the-netherlands/</w:t>
              </w:r>
              <w:r w:rsidR="009125EF">
                <w:rPr>
                  <w:i/>
                  <w:iCs/>
                  <w:noProof/>
                  <w:sz w:val="18"/>
                  <w:szCs w:val="18"/>
                  <w:lang w:val="en-US"/>
                </w:rPr>
                <w:t xml:space="preserve"> (2020, May 5)</w:t>
              </w:r>
            </w:p>
            <w:p w14:paraId="5ED34FEA" w14:textId="280C1F78" w:rsidR="0038343F" w:rsidRPr="0038343F" w:rsidRDefault="0038343F" w:rsidP="0038343F">
              <w:pPr>
                <w:pStyle w:val="Literaturverzeichnis"/>
                <w:ind w:left="720" w:hanging="720"/>
                <w:rPr>
                  <w:i/>
                  <w:iCs/>
                  <w:noProof/>
                  <w:sz w:val="18"/>
                  <w:szCs w:val="18"/>
                  <w:lang w:val="en-US"/>
                </w:rPr>
              </w:pPr>
              <w:r w:rsidRPr="0038343F">
                <w:rPr>
                  <w:i/>
                  <w:iCs/>
                  <w:noProof/>
                  <w:sz w:val="18"/>
                  <w:szCs w:val="18"/>
                  <w:lang w:val="en-US"/>
                </w:rPr>
                <w:t>de Best, R. (2020, April 28). Biggest Banks Of The Netherlands 2020 Based On Number Of Branches. Retrieved from Statista: https://www.statista.com/statistics/671040/leading-banks-in-the-netherlands-by-number-of-offices/</w:t>
              </w:r>
              <w:r w:rsidR="00BE2243">
                <w:rPr>
                  <w:i/>
                  <w:iCs/>
                  <w:noProof/>
                  <w:sz w:val="18"/>
                  <w:szCs w:val="18"/>
                  <w:lang w:val="en-US"/>
                </w:rPr>
                <w:t xml:space="preserve"> (2020, May 5)</w:t>
              </w:r>
            </w:p>
            <w:p w14:paraId="6BADB333" w14:textId="77777777" w:rsidR="0038343F" w:rsidRPr="0038343F" w:rsidRDefault="0038343F" w:rsidP="0038343F">
              <w:pPr>
                <w:pStyle w:val="Literaturverzeichnis"/>
                <w:ind w:left="720" w:hanging="720"/>
                <w:rPr>
                  <w:i/>
                  <w:iCs/>
                  <w:noProof/>
                  <w:sz w:val="18"/>
                  <w:szCs w:val="18"/>
                </w:rPr>
              </w:pPr>
              <w:r w:rsidRPr="0038343F">
                <w:rPr>
                  <w:i/>
                  <w:iCs/>
                  <w:noProof/>
                  <w:sz w:val="18"/>
                  <w:szCs w:val="18"/>
                </w:rPr>
                <w:t>Demary, M., &amp; Bauer, M. (2014). Europäische Bankenunion Stand Der Uumsetzung Und Nachbesserungsbedarf. Cologne: Institut der Deutschen Wirtschaft Köln/ Konrad Adenauer Stiftung.</w:t>
              </w:r>
            </w:p>
            <w:p w14:paraId="01C09AA6" w14:textId="77777777" w:rsidR="0038343F" w:rsidRPr="0038343F" w:rsidRDefault="0038343F" w:rsidP="0038343F">
              <w:pPr>
                <w:pStyle w:val="Literaturverzeichnis"/>
                <w:ind w:left="720" w:hanging="720"/>
                <w:rPr>
                  <w:i/>
                  <w:iCs/>
                  <w:noProof/>
                  <w:sz w:val="18"/>
                  <w:szCs w:val="18"/>
                  <w:lang w:val="de-DE"/>
                </w:rPr>
              </w:pPr>
              <w:r w:rsidRPr="0038343F">
                <w:rPr>
                  <w:i/>
                  <w:iCs/>
                  <w:noProof/>
                  <w:sz w:val="18"/>
                  <w:szCs w:val="18"/>
                  <w:lang w:val="de-DE"/>
                </w:rPr>
                <w:t xml:space="preserve">DeNederlandsche Bank. </w:t>
              </w:r>
              <w:r w:rsidRPr="0038343F">
                <w:rPr>
                  <w:i/>
                  <w:iCs/>
                  <w:noProof/>
                  <w:sz w:val="18"/>
                  <w:szCs w:val="18"/>
                  <w:lang w:val="en-US"/>
                </w:rPr>
                <w:t xml:space="preserve">(2015). Perspective On The Structure Of The Dutch Banking Sector. </w:t>
              </w:r>
              <w:r w:rsidRPr="0038343F">
                <w:rPr>
                  <w:i/>
                  <w:iCs/>
                  <w:noProof/>
                  <w:sz w:val="18"/>
                  <w:szCs w:val="18"/>
                  <w:lang w:val="de-DE"/>
                </w:rPr>
                <w:t>Amsterdam: DeNederlandsche Bank.</w:t>
              </w:r>
            </w:p>
            <w:p w14:paraId="54F9942A" w14:textId="77777777" w:rsidR="0038343F" w:rsidRPr="0038343F" w:rsidRDefault="0038343F" w:rsidP="0038343F">
              <w:pPr>
                <w:pStyle w:val="Literaturverzeichnis"/>
                <w:ind w:left="720" w:hanging="720"/>
                <w:rPr>
                  <w:i/>
                  <w:iCs/>
                  <w:noProof/>
                  <w:sz w:val="18"/>
                  <w:szCs w:val="18"/>
                  <w:lang w:val="en-US"/>
                </w:rPr>
              </w:pPr>
              <w:r w:rsidRPr="0038343F">
                <w:rPr>
                  <w:i/>
                  <w:iCs/>
                  <w:noProof/>
                  <w:sz w:val="18"/>
                  <w:szCs w:val="18"/>
                </w:rPr>
                <w:t xml:space="preserve">Der Standard. (2020, January 3). Jede Vierte Bankfiliale Seit Dem Jahr 2000 Geschlossen. </w:t>
              </w:r>
              <w:r w:rsidRPr="0038343F">
                <w:rPr>
                  <w:i/>
                  <w:iCs/>
                  <w:noProof/>
                  <w:sz w:val="18"/>
                  <w:szCs w:val="18"/>
                  <w:lang w:val="en-US"/>
                </w:rPr>
                <w:t>Der Standard.</w:t>
              </w:r>
            </w:p>
            <w:p w14:paraId="05B60281" w14:textId="77777777" w:rsidR="0038343F" w:rsidRPr="0038343F" w:rsidRDefault="0038343F" w:rsidP="0038343F">
              <w:pPr>
                <w:pStyle w:val="Literaturverzeichnis"/>
                <w:ind w:left="720" w:hanging="720"/>
                <w:rPr>
                  <w:i/>
                  <w:iCs/>
                  <w:noProof/>
                  <w:sz w:val="18"/>
                  <w:szCs w:val="18"/>
                  <w:lang w:val="en-US"/>
                </w:rPr>
              </w:pPr>
              <w:r w:rsidRPr="0038343F">
                <w:rPr>
                  <w:i/>
                  <w:iCs/>
                  <w:noProof/>
                  <w:sz w:val="18"/>
                  <w:szCs w:val="18"/>
                  <w:lang w:val="en-US"/>
                </w:rPr>
                <w:t>Dvorák, P., &amp; Hanousek, J. (2009). Paying For Banking Services: What Determines The Fees. Prague: Charles University/ CERGE-EI.</w:t>
              </w:r>
            </w:p>
            <w:p w14:paraId="328AC0EB" w14:textId="77777777" w:rsidR="0038343F" w:rsidRPr="0038343F" w:rsidRDefault="0038343F" w:rsidP="0038343F">
              <w:pPr>
                <w:pStyle w:val="Literaturverzeichnis"/>
                <w:ind w:left="720" w:hanging="720"/>
                <w:rPr>
                  <w:i/>
                  <w:iCs/>
                  <w:noProof/>
                  <w:sz w:val="18"/>
                  <w:szCs w:val="18"/>
                  <w:lang w:val="en-US"/>
                </w:rPr>
              </w:pPr>
              <w:r w:rsidRPr="0038343F">
                <w:rPr>
                  <w:i/>
                  <w:iCs/>
                  <w:noProof/>
                  <w:sz w:val="18"/>
                  <w:szCs w:val="18"/>
                  <w:lang w:val="en-US"/>
                </w:rPr>
                <w:t>Emter, L., Schmitz, M., &amp; Tirpák, M. (2018). Cross-Border Banking In The EU Since The Crisis: What Is Driving The Great Retrenchment. Frankfurt: European Central Bank.</w:t>
              </w:r>
            </w:p>
            <w:p w14:paraId="1017B7BD" w14:textId="77777777" w:rsidR="0038343F" w:rsidRPr="0038343F" w:rsidRDefault="0038343F" w:rsidP="0038343F">
              <w:pPr>
                <w:pStyle w:val="Literaturverzeichnis"/>
                <w:ind w:left="720" w:hanging="720"/>
                <w:rPr>
                  <w:i/>
                  <w:iCs/>
                  <w:noProof/>
                  <w:sz w:val="18"/>
                  <w:szCs w:val="18"/>
                  <w:lang w:val="en-US"/>
                </w:rPr>
              </w:pPr>
              <w:r w:rsidRPr="0038343F">
                <w:rPr>
                  <w:i/>
                  <w:iCs/>
                  <w:noProof/>
                  <w:sz w:val="18"/>
                  <w:szCs w:val="18"/>
                  <w:lang w:val="en-US"/>
                </w:rPr>
                <w:t>EURIBOR-Rates. (2020, April 16). Euribor Grafiken - Historische Euribor Werte. Retrieved from EURIBOR-Rates: https://www.euribor-rates.eu/de/euribor-grafik/</w:t>
              </w:r>
            </w:p>
            <w:p w14:paraId="78F08242" w14:textId="052CA07A" w:rsidR="0038343F" w:rsidRPr="0038343F" w:rsidRDefault="0038343F" w:rsidP="0038343F">
              <w:pPr>
                <w:pStyle w:val="Literaturverzeichnis"/>
                <w:ind w:left="720" w:hanging="720"/>
                <w:rPr>
                  <w:i/>
                  <w:iCs/>
                  <w:noProof/>
                  <w:sz w:val="18"/>
                  <w:szCs w:val="18"/>
                  <w:lang w:val="en-US"/>
                </w:rPr>
              </w:pPr>
              <w:r w:rsidRPr="0038343F">
                <w:rPr>
                  <w:i/>
                  <w:iCs/>
                  <w:noProof/>
                  <w:sz w:val="18"/>
                  <w:szCs w:val="18"/>
                  <w:lang w:val="en-US"/>
                </w:rPr>
                <w:t>EUR-Lex. (2018, August 30). Fees for card-based payments. Retrieved from Eur-Lex Europa: https://eur-lex.europa.eu/legal-content/EN/TXT/?uri=LEGISSUM:24040603_1</w:t>
              </w:r>
              <w:r w:rsidR="002E4220">
                <w:rPr>
                  <w:i/>
                  <w:iCs/>
                  <w:noProof/>
                  <w:sz w:val="18"/>
                  <w:szCs w:val="18"/>
                  <w:lang w:val="en-US"/>
                </w:rPr>
                <w:t xml:space="preserve"> (2020, April 10)</w:t>
              </w:r>
            </w:p>
            <w:p w14:paraId="3DC20B72" w14:textId="57E37174" w:rsidR="0038343F" w:rsidRPr="0038343F" w:rsidRDefault="0038343F" w:rsidP="0038343F">
              <w:pPr>
                <w:pStyle w:val="Literaturverzeichnis"/>
                <w:ind w:left="720" w:hanging="720"/>
                <w:rPr>
                  <w:i/>
                  <w:iCs/>
                  <w:noProof/>
                  <w:sz w:val="18"/>
                  <w:szCs w:val="18"/>
                  <w:lang w:val="en-US"/>
                </w:rPr>
              </w:pPr>
              <w:r w:rsidRPr="0038343F">
                <w:rPr>
                  <w:i/>
                  <w:iCs/>
                  <w:noProof/>
                  <w:sz w:val="18"/>
                  <w:szCs w:val="18"/>
                  <w:lang w:val="en-US"/>
                </w:rPr>
                <w:t>EUR-Lex. (2019, May 14). Single Euro Payments Area Regulation. Retrieved from Eur-Lex Europa: https://eur-lex.europa.eu/legal-content/EN/TXT/?uri=LEGISSUM:4373224</w:t>
              </w:r>
              <w:r w:rsidR="007044EF">
                <w:rPr>
                  <w:i/>
                  <w:iCs/>
                  <w:noProof/>
                  <w:sz w:val="18"/>
                  <w:szCs w:val="18"/>
                  <w:lang w:val="en-US"/>
                </w:rPr>
                <w:t xml:space="preserve"> </w:t>
              </w:r>
              <w:r w:rsidR="007044EF">
                <w:rPr>
                  <w:i/>
                  <w:iCs/>
                  <w:noProof/>
                  <w:sz w:val="18"/>
                  <w:szCs w:val="18"/>
                  <w:lang w:val="en-US"/>
                </w:rPr>
                <w:t>(2020, April 10)</w:t>
              </w:r>
            </w:p>
            <w:p w14:paraId="583DFCCA" w14:textId="77777777" w:rsidR="0038343F" w:rsidRPr="0038343F" w:rsidRDefault="0038343F" w:rsidP="0038343F">
              <w:pPr>
                <w:pStyle w:val="Literaturverzeichnis"/>
                <w:ind w:left="720" w:hanging="720"/>
                <w:rPr>
                  <w:i/>
                  <w:iCs/>
                  <w:noProof/>
                  <w:sz w:val="18"/>
                  <w:szCs w:val="18"/>
                  <w:lang w:val="en-US"/>
                </w:rPr>
              </w:pPr>
              <w:r w:rsidRPr="0038343F">
                <w:rPr>
                  <w:i/>
                  <w:iCs/>
                  <w:noProof/>
                  <w:sz w:val="18"/>
                  <w:szCs w:val="18"/>
                  <w:lang w:val="en-US"/>
                </w:rPr>
                <w:t>European Banking Federation. (2019). Banking in Europe: EBF Facts And Figures 2019. Brussels: European Banking Federation.</w:t>
              </w:r>
            </w:p>
            <w:p w14:paraId="5D17AC32" w14:textId="346F2E17" w:rsidR="0038343F" w:rsidRPr="0038343F" w:rsidRDefault="0038343F" w:rsidP="0038343F">
              <w:pPr>
                <w:pStyle w:val="Literaturverzeichnis"/>
                <w:ind w:left="720" w:hanging="720"/>
                <w:rPr>
                  <w:i/>
                  <w:iCs/>
                  <w:noProof/>
                  <w:sz w:val="18"/>
                  <w:szCs w:val="18"/>
                  <w:lang w:val="en-US"/>
                </w:rPr>
              </w:pPr>
              <w:r w:rsidRPr="0038343F">
                <w:rPr>
                  <w:i/>
                  <w:iCs/>
                  <w:noProof/>
                  <w:sz w:val="18"/>
                  <w:szCs w:val="18"/>
                  <w:lang w:val="en-US"/>
                </w:rPr>
                <w:t>European Union. (2020, January 27). Payments, transfers and cheques. Retrieved from Europa: https://europa.eu/youreurope/citizens/consumers/financial-products-and-services/payments-transfers-cheques/index_en.htm</w:t>
              </w:r>
              <w:r w:rsidR="00BB14DC">
                <w:rPr>
                  <w:i/>
                  <w:iCs/>
                  <w:noProof/>
                  <w:sz w:val="18"/>
                  <w:szCs w:val="18"/>
                  <w:lang w:val="en-US"/>
                </w:rPr>
                <w:t xml:space="preserve"> (2020, Apirl 15)</w:t>
              </w:r>
            </w:p>
            <w:p w14:paraId="7035D9B2" w14:textId="74648A38" w:rsidR="0038343F" w:rsidRPr="0038343F" w:rsidRDefault="0038343F" w:rsidP="0038343F">
              <w:pPr>
                <w:pStyle w:val="Literaturverzeichnis"/>
                <w:ind w:left="720" w:hanging="720"/>
                <w:rPr>
                  <w:i/>
                  <w:iCs/>
                  <w:noProof/>
                  <w:sz w:val="18"/>
                  <w:szCs w:val="18"/>
                  <w:lang w:val="en-US"/>
                </w:rPr>
              </w:pPr>
              <w:r w:rsidRPr="0038343F">
                <w:rPr>
                  <w:i/>
                  <w:iCs/>
                  <w:noProof/>
                  <w:sz w:val="18"/>
                  <w:szCs w:val="18"/>
                </w:rPr>
                <w:t xml:space="preserve">Focus. (2020, February 7). Schock Fuer Kunden: Europas Groeßte Direktbank ING Verlangt Gebühren Von Geringverdienern. </w:t>
              </w:r>
              <w:r w:rsidRPr="0038343F">
                <w:rPr>
                  <w:i/>
                  <w:iCs/>
                  <w:noProof/>
                  <w:sz w:val="18"/>
                  <w:szCs w:val="18"/>
                  <w:lang w:val="en-US"/>
                </w:rPr>
                <w:t>Retrieved from Focus: https://www.focus.de/finanzen/boerse/bankkonto-ing-verlangt-gebuehren-von-geringverdienern_id_11636814.html</w:t>
              </w:r>
              <w:r w:rsidR="00AE2AD3">
                <w:rPr>
                  <w:i/>
                  <w:iCs/>
                  <w:noProof/>
                  <w:sz w:val="18"/>
                  <w:szCs w:val="18"/>
                  <w:lang w:val="en-US"/>
                </w:rPr>
                <w:t xml:space="preserve"> (2020, April 25)</w:t>
              </w:r>
            </w:p>
            <w:p w14:paraId="5CED7234" w14:textId="77777777" w:rsidR="0038343F" w:rsidRPr="0038343F" w:rsidRDefault="0038343F" w:rsidP="0038343F">
              <w:pPr>
                <w:pStyle w:val="Literaturverzeichnis"/>
                <w:ind w:left="720" w:hanging="720"/>
                <w:rPr>
                  <w:i/>
                  <w:iCs/>
                  <w:noProof/>
                  <w:sz w:val="18"/>
                  <w:szCs w:val="18"/>
                </w:rPr>
              </w:pPr>
              <w:r w:rsidRPr="0038343F">
                <w:rPr>
                  <w:i/>
                  <w:iCs/>
                  <w:noProof/>
                  <w:sz w:val="18"/>
                  <w:szCs w:val="18"/>
                </w:rPr>
                <w:t>Fuchs, M., Vondra, K., Wittenberger, T., &amp; Roitner, A. (2019). Fakten Zu Oesterreich Und Seinen Banken. Vienna: Oesterreichische Nationalbank.</w:t>
              </w:r>
            </w:p>
            <w:p w14:paraId="1C432E80" w14:textId="36DBEA31" w:rsidR="0038343F" w:rsidRPr="00594A52" w:rsidRDefault="0038343F" w:rsidP="0038343F">
              <w:pPr>
                <w:pStyle w:val="Literaturverzeichnis"/>
                <w:ind w:left="720" w:hanging="720"/>
                <w:rPr>
                  <w:i/>
                  <w:iCs/>
                  <w:noProof/>
                  <w:sz w:val="18"/>
                  <w:szCs w:val="18"/>
                  <w:lang w:val="en-US"/>
                </w:rPr>
              </w:pPr>
              <w:r w:rsidRPr="0038343F">
                <w:rPr>
                  <w:i/>
                  <w:iCs/>
                  <w:noProof/>
                  <w:sz w:val="18"/>
                  <w:szCs w:val="18"/>
                </w:rPr>
                <w:t xml:space="preserve">Gartner. (2020, April 04). Digitalization. </w:t>
              </w:r>
              <w:r w:rsidRPr="00594A52">
                <w:rPr>
                  <w:i/>
                  <w:iCs/>
                  <w:noProof/>
                  <w:sz w:val="18"/>
                  <w:szCs w:val="18"/>
                  <w:lang w:val="en-US"/>
                </w:rPr>
                <w:t>Retrieved from Gartner: https://www.gartner.com/en/information-technology/glossary/digitalization</w:t>
              </w:r>
              <w:r w:rsidR="00594A52" w:rsidRPr="00594A52">
                <w:rPr>
                  <w:i/>
                  <w:iCs/>
                  <w:noProof/>
                  <w:sz w:val="18"/>
                  <w:szCs w:val="18"/>
                  <w:lang w:val="en-US"/>
                </w:rPr>
                <w:t xml:space="preserve"> </w:t>
              </w:r>
              <w:r w:rsidR="00594A52">
                <w:rPr>
                  <w:i/>
                  <w:iCs/>
                  <w:noProof/>
                  <w:sz w:val="18"/>
                  <w:szCs w:val="18"/>
                  <w:lang w:val="en-US"/>
                </w:rPr>
                <w:t>(2020, March 20)</w:t>
              </w:r>
            </w:p>
            <w:p w14:paraId="585BB6C5" w14:textId="513ADAD6" w:rsidR="0038343F" w:rsidRPr="0038343F" w:rsidRDefault="0038343F" w:rsidP="0038343F">
              <w:pPr>
                <w:pStyle w:val="Literaturverzeichnis"/>
                <w:ind w:left="720" w:hanging="720"/>
                <w:rPr>
                  <w:i/>
                  <w:iCs/>
                  <w:noProof/>
                  <w:sz w:val="18"/>
                  <w:szCs w:val="18"/>
                  <w:lang w:val="en-US"/>
                </w:rPr>
              </w:pPr>
              <w:r w:rsidRPr="0038343F">
                <w:rPr>
                  <w:i/>
                  <w:iCs/>
                  <w:noProof/>
                  <w:sz w:val="18"/>
                  <w:szCs w:val="18"/>
                  <w:lang w:val="en-US"/>
                </w:rPr>
                <w:t>Green, J. (Regisseur). (2013). The Great Depression: Crash Course US History [</w:t>
              </w:r>
              <w:r w:rsidR="00013B02">
                <w:rPr>
                  <w:i/>
                  <w:iCs/>
                  <w:noProof/>
                  <w:sz w:val="18"/>
                  <w:szCs w:val="18"/>
                  <w:lang w:val="en-US"/>
                </w:rPr>
                <w:t>Documentation</w:t>
              </w:r>
              <w:r w:rsidRPr="0038343F">
                <w:rPr>
                  <w:i/>
                  <w:iCs/>
                  <w:noProof/>
                  <w:sz w:val="18"/>
                  <w:szCs w:val="18"/>
                  <w:lang w:val="en-US"/>
                </w:rPr>
                <w:t>].</w:t>
              </w:r>
            </w:p>
            <w:p w14:paraId="517F8E57" w14:textId="77777777" w:rsidR="0038343F" w:rsidRPr="0038343F" w:rsidRDefault="0038343F" w:rsidP="0038343F">
              <w:pPr>
                <w:pStyle w:val="Literaturverzeichnis"/>
                <w:ind w:left="720" w:hanging="720"/>
                <w:rPr>
                  <w:i/>
                  <w:iCs/>
                  <w:noProof/>
                  <w:sz w:val="18"/>
                  <w:szCs w:val="18"/>
                  <w:lang w:val="en-US"/>
                </w:rPr>
              </w:pPr>
              <w:r w:rsidRPr="0038343F">
                <w:rPr>
                  <w:i/>
                  <w:iCs/>
                  <w:noProof/>
                  <w:sz w:val="18"/>
                  <w:szCs w:val="18"/>
                  <w:lang w:val="en-US"/>
                </w:rPr>
                <w:t>Haubrich, J. G., &amp; Young, T. (2019). Trends In The Noninterest Income Of Banks . Cleveland: Federal Reserve Bank Of Cleveland.</w:t>
              </w:r>
            </w:p>
            <w:p w14:paraId="2584733A" w14:textId="77777777" w:rsidR="0038343F" w:rsidRPr="0038343F" w:rsidRDefault="0038343F" w:rsidP="0038343F">
              <w:pPr>
                <w:pStyle w:val="Literaturverzeichnis"/>
                <w:ind w:left="720" w:hanging="720"/>
                <w:rPr>
                  <w:i/>
                  <w:iCs/>
                  <w:noProof/>
                  <w:sz w:val="18"/>
                  <w:szCs w:val="18"/>
                  <w:lang w:val="en-US"/>
                </w:rPr>
              </w:pPr>
              <w:r w:rsidRPr="0038343F">
                <w:rPr>
                  <w:i/>
                  <w:iCs/>
                  <w:noProof/>
                  <w:sz w:val="18"/>
                  <w:szCs w:val="18"/>
                  <w:lang w:val="en-US"/>
                </w:rPr>
                <w:t>Iona, A., Leonida, L., &amp; Silipo, D. B. (2015). The Banking System And Savings Allocation In Italy. In A. Mammone, E. G. Parini , &amp; G. A. Veltri, The Routledge Handbook of Contemporary Italy: History, Politics, Society (pp. 285-292). Abdingdon: Routledge.</w:t>
              </w:r>
            </w:p>
            <w:p w14:paraId="654546D1" w14:textId="77777777" w:rsidR="0038343F" w:rsidRPr="0038343F" w:rsidRDefault="0038343F" w:rsidP="0038343F">
              <w:pPr>
                <w:pStyle w:val="Literaturverzeichnis"/>
                <w:ind w:left="720" w:hanging="720"/>
                <w:rPr>
                  <w:i/>
                  <w:iCs/>
                  <w:noProof/>
                  <w:sz w:val="18"/>
                  <w:szCs w:val="18"/>
                  <w:lang w:val="en-US"/>
                </w:rPr>
              </w:pPr>
              <w:r w:rsidRPr="0038343F">
                <w:rPr>
                  <w:i/>
                  <w:iCs/>
                  <w:noProof/>
                  <w:sz w:val="18"/>
                  <w:szCs w:val="18"/>
                  <w:lang w:val="en-US"/>
                </w:rPr>
                <w:t>Johnson, H. G. (1983, September 13). Banking in the '80s: Electronics ushering in faster, safer services. Price Waterhouse Review.</w:t>
              </w:r>
            </w:p>
            <w:p w14:paraId="2DBABC75" w14:textId="77777777" w:rsidR="0038343F" w:rsidRPr="0038343F" w:rsidRDefault="0038343F" w:rsidP="0038343F">
              <w:pPr>
                <w:pStyle w:val="Literaturverzeichnis"/>
                <w:ind w:left="720" w:hanging="720"/>
                <w:rPr>
                  <w:i/>
                  <w:iCs/>
                  <w:noProof/>
                  <w:sz w:val="18"/>
                  <w:szCs w:val="18"/>
                  <w:lang w:val="en-US"/>
                </w:rPr>
              </w:pPr>
              <w:r w:rsidRPr="0038343F">
                <w:rPr>
                  <w:i/>
                  <w:iCs/>
                  <w:noProof/>
                  <w:sz w:val="18"/>
                  <w:szCs w:val="18"/>
                  <w:lang w:val="en-US"/>
                </w:rPr>
                <w:t>Koch, P., Floetotto, M., Weigl, U., Ferlic, F., Seilern-Aspang, D., &amp; Spreng, S. (2019). The Road To Success - Perspectives On German Banking. Munich: McKinsey &amp; Company.</w:t>
              </w:r>
            </w:p>
            <w:p w14:paraId="6FDCA9FF" w14:textId="77777777" w:rsidR="0038343F" w:rsidRPr="0038343F" w:rsidRDefault="0038343F" w:rsidP="0038343F">
              <w:pPr>
                <w:pStyle w:val="Literaturverzeichnis"/>
                <w:ind w:left="720" w:hanging="720"/>
                <w:rPr>
                  <w:i/>
                  <w:iCs/>
                  <w:noProof/>
                  <w:sz w:val="18"/>
                  <w:szCs w:val="18"/>
                  <w:lang w:val="en-US"/>
                </w:rPr>
              </w:pPr>
              <w:r w:rsidRPr="0038343F">
                <w:rPr>
                  <w:i/>
                  <w:iCs/>
                  <w:noProof/>
                  <w:sz w:val="18"/>
                  <w:szCs w:val="18"/>
                  <w:lang w:val="en-US"/>
                </w:rPr>
                <w:t>Koehler, M. (2013). Does Non-Interest Income Make Banks More Risky: Retail- Versus Investment-Oriented Banks . Frankfurt: Deutsche Bundesbank.</w:t>
              </w:r>
            </w:p>
            <w:p w14:paraId="7F727F23" w14:textId="77777777" w:rsidR="0038343F" w:rsidRPr="0038343F" w:rsidRDefault="0038343F" w:rsidP="0038343F">
              <w:pPr>
                <w:pStyle w:val="Literaturverzeichnis"/>
                <w:ind w:left="720" w:hanging="720"/>
                <w:rPr>
                  <w:i/>
                  <w:iCs/>
                  <w:noProof/>
                  <w:sz w:val="18"/>
                  <w:szCs w:val="18"/>
                  <w:lang w:val="en-US"/>
                </w:rPr>
              </w:pPr>
              <w:r w:rsidRPr="0038343F">
                <w:rPr>
                  <w:i/>
                  <w:iCs/>
                  <w:noProof/>
                  <w:sz w:val="18"/>
                  <w:szCs w:val="18"/>
                  <w:lang w:val="en-US"/>
                </w:rPr>
                <w:lastRenderedPageBreak/>
                <w:t>Kok, C., Mirza, H., &amp; Pancaro, C. (2017). Macro Stress Testing Euro Area Banks' Fees And Commissions . Frankfurt: European Central Bank.</w:t>
              </w:r>
            </w:p>
            <w:p w14:paraId="66846A4F" w14:textId="77777777" w:rsidR="0038343F" w:rsidRPr="0038343F" w:rsidRDefault="0038343F" w:rsidP="0038343F">
              <w:pPr>
                <w:pStyle w:val="Literaturverzeichnis"/>
                <w:ind w:left="720" w:hanging="720"/>
                <w:rPr>
                  <w:i/>
                  <w:iCs/>
                  <w:noProof/>
                  <w:sz w:val="18"/>
                  <w:szCs w:val="18"/>
                </w:rPr>
              </w:pPr>
              <w:r w:rsidRPr="0038343F">
                <w:rPr>
                  <w:i/>
                  <w:iCs/>
                  <w:noProof/>
                  <w:sz w:val="18"/>
                  <w:szCs w:val="18"/>
                </w:rPr>
                <w:t>Korntheuer, M., Prantner, C., &amp; Rupprecht, B. (2019). Bankmonitoring Ueber Spesen. Vienna: Arbeiterkammer.</w:t>
              </w:r>
            </w:p>
            <w:p w14:paraId="00EF37A3" w14:textId="77777777" w:rsidR="0038343F" w:rsidRPr="0038343F" w:rsidRDefault="0038343F" w:rsidP="0038343F">
              <w:pPr>
                <w:pStyle w:val="Literaturverzeichnis"/>
                <w:ind w:left="720" w:hanging="720"/>
                <w:rPr>
                  <w:i/>
                  <w:iCs/>
                  <w:noProof/>
                  <w:sz w:val="18"/>
                  <w:szCs w:val="18"/>
                  <w:lang w:val="en-US"/>
                </w:rPr>
              </w:pPr>
              <w:r w:rsidRPr="0038343F">
                <w:rPr>
                  <w:i/>
                  <w:iCs/>
                  <w:noProof/>
                  <w:sz w:val="18"/>
                  <w:szCs w:val="18"/>
                </w:rPr>
                <w:t xml:space="preserve">Maguire, E., Moreno, K. W., Moreno, H. S., Gagnon, R., McGrath, S., &amp; Armstrong, D. (2019). Schnellere Wertschöpfung Dank Intelligent Automation. </w:t>
              </w:r>
              <w:r w:rsidRPr="0038343F">
                <w:rPr>
                  <w:i/>
                  <w:iCs/>
                  <w:noProof/>
                  <w:sz w:val="18"/>
                  <w:szCs w:val="18"/>
                  <w:lang w:val="en-US"/>
                </w:rPr>
                <w:t>Washington: Forbes Insights/ Kofax.</w:t>
              </w:r>
            </w:p>
            <w:p w14:paraId="74362102" w14:textId="77777777" w:rsidR="0038343F" w:rsidRPr="0038343F" w:rsidRDefault="0038343F" w:rsidP="0038343F">
              <w:pPr>
                <w:pStyle w:val="Literaturverzeichnis"/>
                <w:ind w:left="720" w:hanging="720"/>
                <w:rPr>
                  <w:i/>
                  <w:iCs/>
                  <w:noProof/>
                  <w:sz w:val="18"/>
                  <w:szCs w:val="18"/>
                  <w:lang w:val="en-US"/>
                </w:rPr>
              </w:pPr>
              <w:r w:rsidRPr="0038343F">
                <w:rPr>
                  <w:i/>
                  <w:iCs/>
                  <w:noProof/>
                  <w:sz w:val="18"/>
                  <w:szCs w:val="18"/>
                  <w:lang w:val="en-US"/>
                </w:rPr>
                <w:t>Meola, A. (8. August 2019). The Digital Trends Disrupting The Banking Industry In 2020. Business Insider.</w:t>
              </w:r>
            </w:p>
            <w:p w14:paraId="5B9D3DCA" w14:textId="25EA470D" w:rsidR="0038343F" w:rsidRPr="0038343F" w:rsidRDefault="0038343F" w:rsidP="0038343F">
              <w:pPr>
                <w:pStyle w:val="Literaturverzeichnis"/>
                <w:ind w:left="720" w:hanging="720"/>
                <w:rPr>
                  <w:i/>
                  <w:iCs/>
                  <w:noProof/>
                  <w:sz w:val="18"/>
                  <w:szCs w:val="18"/>
                  <w:lang w:val="en-US"/>
                </w:rPr>
              </w:pPr>
              <w:r w:rsidRPr="0038343F">
                <w:rPr>
                  <w:i/>
                  <w:iCs/>
                  <w:noProof/>
                  <w:sz w:val="18"/>
                  <w:szCs w:val="18"/>
                  <w:lang w:val="en-US"/>
                </w:rPr>
                <w:t>N26. (2019, April 12). Banking Basics - Bank Fees. Retrieved from N26 Blog: https://n26.com/en-eu/blog/banking-basics-bank-fees</w:t>
              </w:r>
              <w:r w:rsidR="00516B60">
                <w:rPr>
                  <w:i/>
                  <w:iCs/>
                  <w:noProof/>
                  <w:sz w:val="18"/>
                  <w:szCs w:val="18"/>
                  <w:lang w:val="en-US"/>
                </w:rPr>
                <w:t xml:space="preserve"> (2020, March 19)</w:t>
              </w:r>
            </w:p>
            <w:p w14:paraId="3A5861B3" w14:textId="77777777" w:rsidR="0038343F" w:rsidRPr="0038343F" w:rsidRDefault="0038343F" w:rsidP="0038343F">
              <w:pPr>
                <w:pStyle w:val="Literaturverzeichnis"/>
                <w:ind w:left="720" w:hanging="720"/>
                <w:rPr>
                  <w:i/>
                  <w:iCs/>
                  <w:noProof/>
                  <w:sz w:val="18"/>
                  <w:szCs w:val="18"/>
                  <w:lang w:val="en-US"/>
                </w:rPr>
              </w:pPr>
              <w:r w:rsidRPr="0038343F">
                <w:rPr>
                  <w:i/>
                  <w:iCs/>
                  <w:noProof/>
                  <w:sz w:val="18"/>
                  <w:szCs w:val="18"/>
                  <w:lang w:val="es-ES"/>
                </w:rPr>
                <w:t xml:space="preserve">Nikolaidou, M., Anagnostopoulos, D., &amp; Tsalgatidou, A. (2008). </w:t>
              </w:r>
              <w:r w:rsidRPr="0038343F">
                <w:rPr>
                  <w:i/>
                  <w:iCs/>
                  <w:noProof/>
                  <w:sz w:val="18"/>
                  <w:szCs w:val="18"/>
                  <w:lang w:val="en-US"/>
                </w:rPr>
                <w:t>Business Processes Modelling And Automation In The Banking Sector: A Case Study. Athens: International Journal Of Simulation, Vol. 2, No. 2.</w:t>
              </w:r>
            </w:p>
            <w:p w14:paraId="6BA8D868" w14:textId="01B43348" w:rsidR="0038343F" w:rsidRPr="0038343F" w:rsidRDefault="0038343F" w:rsidP="0038343F">
              <w:pPr>
                <w:pStyle w:val="Literaturverzeichnis"/>
                <w:ind w:left="720" w:hanging="720"/>
                <w:rPr>
                  <w:i/>
                  <w:iCs/>
                  <w:noProof/>
                  <w:sz w:val="18"/>
                  <w:szCs w:val="18"/>
                  <w:lang w:val="en-US"/>
                </w:rPr>
              </w:pPr>
              <w:r w:rsidRPr="0038343F">
                <w:rPr>
                  <w:i/>
                  <w:iCs/>
                  <w:noProof/>
                  <w:sz w:val="18"/>
                  <w:szCs w:val="18"/>
                  <w:lang w:val="en-US"/>
                </w:rPr>
                <w:t>Pritchard, J. (2020, April 3). Get Up to Speed on the Different Types of Banks. Retrieved from The Balance: https://www.thebalance.com/types-of-banks-315214</w:t>
              </w:r>
              <w:r w:rsidR="00E94980">
                <w:rPr>
                  <w:i/>
                  <w:iCs/>
                  <w:noProof/>
                  <w:sz w:val="18"/>
                  <w:szCs w:val="18"/>
                  <w:lang w:val="en-US"/>
                </w:rPr>
                <w:t xml:space="preserve"> (2020, April 12)</w:t>
              </w:r>
            </w:p>
            <w:p w14:paraId="4782F974" w14:textId="5B96C9D5" w:rsidR="0038343F" w:rsidRPr="0038343F" w:rsidRDefault="0038343F" w:rsidP="0038343F">
              <w:pPr>
                <w:pStyle w:val="Literaturverzeichnis"/>
                <w:ind w:left="720" w:hanging="720"/>
                <w:rPr>
                  <w:i/>
                  <w:iCs/>
                  <w:noProof/>
                  <w:sz w:val="18"/>
                  <w:szCs w:val="18"/>
                  <w:lang w:val="en-US"/>
                </w:rPr>
              </w:pPr>
              <w:r w:rsidRPr="0038343F">
                <w:rPr>
                  <w:i/>
                  <w:iCs/>
                  <w:noProof/>
                  <w:sz w:val="18"/>
                  <w:szCs w:val="18"/>
                </w:rPr>
                <w:t xml:space="preserve">Rabe, L. (2020, January 17). Anteil Der Nutzer Von Online-Banking In Europa Nach Ausgewaehlten Laendern 2019. </w:t>
              </w:r>
              <w:r w:rsidRPr="0038343F">
                <w:rPr>
                  <w:i/>
                  <w:iCs/>
                  <w:noProof/>
                  <w:sz w:val="18"/>
                  <w:szCs w:val="18"/>
                  <w:lang w:val="en-US"/>
                </w:rPr>
                <w:t>Retrieved from Statista: https://de.statista.com/statistik/daten/studie/4102/umfrage/online-banking-in-europa/</w:t>
              </w:r>
              <w:r w:rsidR="00A902C6">
                <w:rPr>
                  <w:i/>
                  <w:iCs/>
                  <w:noProof/>
                  <w:sz w:val="18"/>
                  <w:szCs w:val="18"/>
                  <w:lang w:val="en-US"/>
                </w:rPr>
                <w:t xml:space="preserve"> (2020, Apirl 27)</w:t>
              </w:r>
            </w:p>
            <w:p w14:paraId="06A8B1BC" w14:textId="77777777" w:rsidR="0038343F" w:rsidRPr="0038343F" w:rsidRDefault="0038343F" w:rsidP="0038343F">
              <w:pPr>
                <w:pStyle w:val="Literaturverzeichnis"/>
                <w:ind w:left="720" w:hanging="720"/>
                <w:rPr>
                  <w:i/>
                  <w:iCs/>
                  <w:noProof/>
                  <w:sz w:val="18"/>
                  <w:szCs w:val="18"/>
                  <w:lang w:val="en-US"/>
                </w:rPr>
              </w:pPr>
              <w:r w:rsidRPr="0038343F">
                <w:rPr>
                  <w:i/>
                  <w:iCs/>
                  <w:noProof/>
                  <w:sz w:val="18"/>
                  <w:szCs w:val="18"/>
                  <w:lang w:val="en-US"/>
                </w:rPr>
                <w:t>Rosenberg, E. (2020, February 14). How To Decide If An Online-Only Bank Is Right For You. Business Insider.</w:t>
              </w:r>
            </w:p>
            <w:p w14:paraId="10B71D91" w14:textId="77777777" w:rsidR="0038343F" w:rsidRPr="0038343F" w:rsidRDefault="0038343F" w:rsidP="0038343F">
              <w:pPr>
                <w:pStyle w:val="Literaturverzeichnis"/>
                <w:ind w:left="720" w:hanging="720"/>
                <w:rPr>
                  <w:i/>
                  <w:iCs/>
                  <w:noProof/>
                  <w:sz w:val="18"/>
                  <w:szCs w:val="18"/>
                  <w:lang w:val="en-US"/>
                </w:rPr>
              </w:pPr>
              <w:r w:rsidRPr="0038343F">
                <w:rPr>
                  <w:i/>
                  <w:iCs/>
                  <w:noProof/>
                  <w:sz w:val="18"/>
                  <w:szCs w:val="18"/>
                  <w:lang w:val="en-US"/>
                </w:rPr>
                <w:t>Sannes, R. (2001). Self-Service Banking: Value Creation Models And Information Exchange. Special Series on Information Exchange in Electronic Markets, Vol. 4, No. 3, 139-148.</w:t>
              </w:r>
            </w:p>
            <w:p w14:paraId="5BF5F3DA" w14:textId="77777777" w:rsidR="0038343F" w:rsidRPr="0038343F" w:rsidRDefault="0038343F" w:rsidP="0038343F">
              <w:pPr>
                <w:pStyle w:val="Literaturverzeichnis"/>
                <w:ind w:left="720" w:hanging="720"/>
                <w:rPr>
                  <w:i/>
                  <w:iCs/>
                  <w:noProof/>
                  <w:sz w:val="18"/>
                  <w:szCs w:val="18"/>
                  <w:lang w:val="en-US"/>
                </w:rPr>
              </w:pPr>
              <w:r w:rsidRPr="0038343F">
                <w:rPr>
                  <w:i/>
                  <w:iCs/>
                  <w:noProof/>
                  <w:sz w:val="18"/>
                  <w:szCs w:val="18"/>
                </w:rPr>
                <w:t xml:space="preserve">Schmidt, J., Drews, P., &amp; Schirmer, I. (2017). </w:t>
              </w:r>
              <w:r w:rsidRPr="0038343F">
                <w:rPr>
                  <w:i/>
                  <w:iCs/>
                  <w:noProof/>
                  <w:sz w:val="18"/>
                  <w:szCs w:val="18"/>
                  <w:lang w:val="en-US"/>
                </w:rPr>
                <w:t>Digitalization Of The Banking Industry: A Multiple Stakeholder Analysis On Strategic Alignment. Boston: Twenty-Third Americas Conference on Information Systems.</w:t>
              </w:r>
            </w:p>
            <w:p w14:paraId="0598EA89" w14:textId="77777777" w:rsidR="0038343F" w:rsidRPr="0038343F" w:rsidRDefault="0038343F" w:rsidP="0038343F">
              <w:pPr>
                <w:pStyle w:val="Literaturverzeichnis"/>
                <w:ind w:left="720" w:hanging="720"/>
                <w:rPr>
                  <w:i/>
                  <w:iCs/>
                  <w:noProof/>
                  <w:sz w:val="18"/>
                  <w:szCs w:val="18"/>
                </w:rPr>
              </w:pPr>
              <w:r w:rsidRPr="0038343F">
                <w:rPr>
                  <w:i/>
                  <w:iCs/>
                  <w:noProof/>
                  <w:sz w:val="18"/>
                  <w:szCs w:val="18"/>
                  <w:lang w:val="en-US"/>
                </w:rPr>
                <w:t xml:space="preserve">Schrooten, M. (2016). </w:t>
              </w:r>
              <w:r w:rsidRPr="0038343F">
                <w:rPr>
                  <w:i/>
                  <w:iCs/>
                  <w:noProof/>
                  <w:sz w:val="18"/>
                  <w:szCs w:val="18"/>
                </w:rPr>
                <w:t>Italiens Bankensektor: Unter Druck. Heidelberg: Springer.</w:t>
              </w:r>
            </w:p>
            <w:p w14:paraId="566A324E" w14:textId="77777777" w:rsidR="0038343F" w:rsidRPr="0038343F" w:rsidRDefault="0038343F" w:rsidP="0038343F">
              <w:pPr>
                <w:pStyle w:val="Literaturverzeichnis"/>
                <w:ind w:left="720" w:hanging="720"/>
                <w:rPr>
                  <w:i/>
                  <w:iCs/>
                  <w:noProof/>
                  <w:sz w:val="18"/>
                  <w:szCs w:val="18"/>
                  <w:lang w:val="en-US"/>
                </w:rPr>
              </w:pPr>
              <w:r w:rsidRPr="0038343F">
                <w:rPr>
                  <w:i/>
                  <w:iCs/>
                  <w:noProof/>
                  <w:sz w:val="18"/>
                  <w:szCs w:val="18"/>
                  <w:lang w:val="en-US"/>
                </w:rPr>
                <w:t>Schueffel, P. (2016). Taming The Beast: A Scientific Definition Of Fintech . Fribourg, Switzerland: Journal of Innovation Management.</w:t>
              </w:r>
            </w:p>
            <w:p w14:paraId="4318BE71" w14:textId="0D1FF6D3" w:rsidR="0038343F" w:rsidRPr="0038343F" w:rsidRDefault="0038343F" w:rsidP="0038343F">
              <w:pPr>
                <w:pStyle w:val="Literaturverzeichnis"/>
                <w:ind w:left="720" w:hanging="720"/>
                <w:rPr>
                  <w:i/>
                  <w:iCs/>
                  <w:noProof/>
                  <w:sz w:val="18"/>
                  <w:szCs w:val="18"/>
                  <w:lang w:val="en-US"/>
                </w:rPr>
              </w:pPr>
              <w:r w:rsidRPr="0038343F">
                <w:rPr>
                  <w:i/>
                  <w:iCs/>
                  <w:noProof/>
                  <w:sz w:val="18"/>
                  <w:szCs w:val="18"/>
                  <w:lang w:val="en-US"/>
                </w:rPr>
                <w:t xml:space="preserve">Statista Research Department. (2009, September 23). </w:t>
              </w:r>
              <w:r w:rsidRPr="0038343F">
                <w:rPr>
                  <w:i/>
                  <w:iCs/>
                  <w:noProof/>
                  <w:sz w:val="18"/>
                  <w:szCs w:val="18"/>
                </w:rPr>
                <w:t xml:space="preserve">Durchschnittliche jährliche Bankgebühren in Europa nach Ländern. </w:t>
              </w:r>
              <w:r w:rsidRPr="0038343F">
                <w:rPr>
                  <w:i/>
                  <w:iCs/>
                  <w:noProof/>
                  <w:sz w:val="18"/>
                  <w:szCs w:val="18"/>
                  <w:lang w:val="en-US"/>
                </w:rPr>
                <w:t>Retrieved from Statista: https://de.statista.com/statistik/daten/studie/38133/umfrage/durchschnittliche-jaehrliche-bankgebuehren-in-europa-nach-laendern/</w:t>
              </w:r>
              <w:r w:rsidR="00CE2293">
                <w:rPr>
                  <w:i/>
                  <w:iCs/>
                  <w:noProof/>
                  <w:sz w:val="18"/>
                  <w:szCs w:val="18"/>
                  <w:lang w:val="en-US"/>
                </w:rPr>
                <w:t xml:space="preserve"> (2020, April 17)</w:t>
              </w:r>
            </w:p>
            <w:p w14:paraId="274EC24E" w14:textId="289EA233" w:rsidR="0038343F" w:rsidRPr="000D0B7D" w:rsidRDefault="0038343F" w:rsidP="0038343F">
              <w:pPr>
                <w:pStyle w:val="Literaturverzeichnis"/>
                <w:ind w:left="720" w:hanging="720"/>
                <w:rPr>
                  <w:i/>
                  <w:iCs/>
                  <w:noProof/>
                  <w:sz w:val="18"/>
                  <w:szCs w:val="18"/>
                </w:rPr>
              </w:pPr>
              <w:r w:rsidRPr="0038343F">
                <w:rPr>
                  <w:i/>
                  <w:iCs/>
                  <w:noProof/>
                  <w:sz w:val="18"/>
                  <w:szCs w:val="18"/>
                  <w:lang w:val="en-US"/>
                </w:rPr>
                <w:t xml:space="preserve">Statista Research Department. </w:t>
              </w:r>
              <w:r w:rsidRPr="000D0B7D">
                <w:rPr>
                  <w:i/>
                  <w:iCs/>
                  <w:noProof/>
                  <w:sz w:val="18"/>
                  <w:szCs w:val="18"/>
                </w:rPr>
                <w:t>(2020, February 24). www.statista.com. Retrieved from Kredite an Unternehmen und Privatpersonen bis 2019: https://de.statista.com/statistik/daten/studie/72495/umfrage/kredite-der-banken-in-deutschland-an-unternehmen-und-privatpersonen/</w:t>
              </w:r>
              <w:r w:rsidR="000D0B7D" w:rsidRPr="000D0B7D">
                <w:rPr>
                  <w:i/>
                  <w:iCs/>
                  <w:noProof/>
                  <w:sz w:val="18"/>
                  <w:szCs w:val="18"/>
                </w:rPr>
                <w:t xml:space="preserve"> </w:t>
              </w:r>
              <w:r w:rsidR="000D0B7D">
                <w:rPr>
                  <w:i/>
                  <w:iCs/>
                  <w:noProof/>
                  <w:sz w:val="18"/>
                  <w:szCs w:val="18"/>
                </w:rPr>
                <w:t xml:space="preserve">(2020, </w:t>
              </w:r>
              <w:r w:rsidR="00997A78">
                <w:rPr>
                  <w:i/>
                  <w:iCs/>
                  <w:noProof/>
                  <w:sz w:val="18"/>
                  <w:szCs w:val="18"/>
                </w:rPr>
                <w:t>May 3</w:t>
              </w:r>
              <w:r w:rsidR="000D0B7D">
                <w:rPr>
                  <w:i/>
                  <w:iCs/>
                  <w:noProof/>
                  <w:sz w:val="18"/>
                  <w:szCs w:val="18"/>
                </w:rPr>
                <w:t>)</w:t>
              </w:r>
            </w:p>
            <w:p w14:paraId="1380E83B" w14:textId="77777777" w:rsidR="0038343F" w:rsidRPr="0038343F" w:rsidRDefault="0038343F" w:rsidP="0038343F">
              <w:pPr>
                <w:pStyle w:val="Literaturverzeichnis"/>
                <w:ind w:left="720" w:hanging="720"/>
                <w:rPr>
                  <w:i/>
                  <w:iCs/>
                  <w:noProof/>
                  <w:sz w:val="18"/>
                  <w:szCs w:val="18"/>
                  <w:lang w:val="en-US"/>
                </w:rPr>
              </w:pPr>
              <w:r w:rsidRPr="0038343F">
                <w:rPr>
                  <w:i/>
                  <w:iCs/>
                  <w:noProof/>
                  <w:sz w:val="18"/>
                  <w:szCs w:val="18"/>
                </w:rPr>
                <w:t xml:space="preserve">Swoboda, U. (2000). Direct Banking - Wie Virtuelle Institute Das Bankgeschäft Revolutionieren. </w:t>
              </w:r>
              <w:r w:rsidRPr="0038343F">
                <w:rPr>
                  <w:i/>
                  <w:iCs/>
                  <w:noProof/>
                  <w:sz w:val="18"/>
                  <w:szCs w:val="18"/>
                  <w:lang w:val="en-US"/>
                </w:rPr>
                <w:t>Wiesbaden: Gabler.</w:t>
              </w:r>
            </w:p>
            <w:p w14:paraId="5359D442" w14:textId="00C4ACE2" w:rsidR="0038343F" w:rsidRPr="0038343F" w:rsidRDefault="0038343F" w:rsidP="0038343F">
              <w:pPr>
                <w:pStyle w:val="Literaturverzeichnis"/>
                <w:ind w:left="720" w:hanging="720"/>
                <w:rPr>
                  <w:i/>
                  <w:iCs/>
                  <w:noProof/>
                  <w:sz w:val="18"/>
                  <w:szCs w:val="18"/>
                  <w:lang w:val="en-US"/>
                </w:rPr>
              </w:pPr>
              <w:r w:rsidRPr="0038343F">
                <w:rPr>
                  <w:i/>
                  <w:iCs/>
                  <w:noProof/>
                  <w:sz w:val="18"/>
                  <w:szCs w:val="18"/>
                  <w:lang w:val="en-US"/>
                </w:rPr>
                <w:t>Szmigiera, M. (2020, March 20). Number Of Fintech Startups Worldwide 2020 By Region. Retrieved from Statista: https://www.statista.com/statistics/893954/number-fintech-startups-by-region/</w:t>
              </w:r>
              <w:r w:rsidR="00DE508F">
                <w:rPr>
                  <w:i/>
                  <w:iCs/>
                  <w:noProof/>
                  <w:sz w:val="18"/>
                  <w:szCs w:val="18"/>
                  <w:lang w:val="en-US"/>
                </w:rPr>
                <w:t xml:space="preserve"> (2020, April 16)</w:t>
              </w:r>
            </w:p>
            <w:p w14:paraId="3830C3FD" w14:textId="77777777" w:rsidR="0038343F" w:rsidRPr="0038343F" w:rsidRDefault="0038343F" w:rsidP="0038343F">
              <w:pPr>
                <w:pStyle w:val="Literaturverzeichnis"/>
                <w:ind w:left="720" w:hanging="720"/>
                <w:rPr>
                  <w:i/>
                  <w:iCs/>
                  <w:noProof/>
                  <w:sz w:val="18"/>
                  <w:szCs w:val="18"/>
                  <w:lang w:val="en-US"/>
                </w:rPr>
              </w:pPr>
              <w:r w:rsidRPr="0038343F">
                <w:rPr>
                  <w:i/>
                  <w:iCs/>
                  <w:noProof/>
                  <w:sz w:val="18"/>
                  <w:szCs w:val="18"/>
                  <w:lang w:val="it-IT"/>
                </w:rPr>
                <w:t xml:space="preserve">Tanda, A., &amp; Schena, C.-M. (2019). </w:t>
              </w:r>
              <w:r w:rsidRPr="0038343F">
                <w:rPr>
                  <w:i/>
                  <w:iCs/>
                  <w:noProof/>
                  <w:sz w:val="18"/>
                  <w:szCs w:val="18"/>
                  <w:lang w:val="en-US"/>
                </w:rPr>
                <w:t>FinTech, BigTech And Banks. Berlin: Palgrave Pivot/ Springer.</w:t>
              </w:r>
            </w:p>
            <w:p w14:paraId="41DB9CD9" w14:textId="13521502" w:rsidR="0038343F" w:rsidRPr="0038343F" w:rsidRDefault="0038343F" w:rsidP="0038343F">
              <w:pPr>
                <w:pStyle w:val="Literaturverzeichnis"/>
                <w:ind w:left="720" w:hanging="720"/>
                <w:rPr>
                  <w:i/>
                  <w:iCs/>
                  <w:noProof/>
                  <w:sz w:val="18"/>
                  <w:szCs w:val="18"/>
                  <w:lang w:val="en-US"/>
                </w:rPr>
              </w:pPr>
              <w:r w:rsidRPr="0038343F">
                <w:rPr>
                  <w:i/>
                  <w:iCs/>
                  <w:noProof/>
                  <w:sz w:val="18"/>
                  <w:szCs w:val="18"/>
                  <w:lang w:val="en-US"/>
                </w:rPr>
                <w:t>The Global Economy. (2020, April 13). Non-Interest Income To Total Income In The European Union. Retrieved from theglobaleconomy: https://www.theglobaleconomy.com/rankings/bank_non_interest_income/European-union/</w:t>
              </w:r>
              <w:r w:rsidR="00624416">
                <w:rPr>
                  <w:i/>
                  <w:iCs/>
                  <w:noProof/>
                  <w:sz w:val="18"/>
                  <w:szCs w:val="18"/>
                  <w:lang w:val="en-US"/>
                </w:rPr>
                <w:t xml:space="preserve"> (2020, April 13)</w:t>
              </w:r>
            </w:p>
            <w:p w14:paraId="211D05CE" w14:textId="45D34635" w:rsidR="0038343F" w:rsidRPr="00E67F73" w:rsidRDefault="0038343F" w:rsidP="0038343F">
              <w:pPr>
                <w:pStyle w:val="Literaturverzeichnis"/>
                <w:ind w:left="720" w:hanging="720"/>
                <w:rPr>
                  <w:i/>
                  <w:iCs/>
                  <w:noProof/>
                  <w:sz w:val="18"/>
                  <w:szCs w:val="18"/>
                  <w:lang w:val="en-US"/>
                </w:rPr>
              </w:pPr>
              <w:r w:rsidRPr="0038343F">
                <w:rPr>
                  <w:i/>
                  <w:iCs/>
                  <w:noProof/>
                  <w:sz w:val="18"/>
                  <w:szCs w:val="18"/>
                </w:rPr>
                <w:t xml:space="preserve">Urmersbach, B. (2019, August 15). Anteile der Wirtschaftssektoren am Bruttoinlandsprodukt (BIP) der EU bis 2018. </w:t>
              </w:r>
              <w:r w:rsidRPr="00E67F73">
                <w:rPr>
                  <w:i/>
                  <w:iCs/>
                  <w:noProof/>
                  <w:sz w:val="18"/>
                  <w:szCs w:val="18"/>
                  <w:lang w:val="en-US"/>
                </w:rPr>
                <w:t>Retrieved from Statista: https://de.statista.com/statistik/daten/studie/249078/umfrage/anteile-der-wirtschaftssektoren-am-bruttoinlandsprodukt-bip-der-eu/</w:t>
              </w:r>
              <w:r w:rsidR="00E67F73" w:rsidRPr="00E67F73">
                <w:rPr>
                  <w:i/>
                  <w:iCs/>
                  <w:noProof/>
                  <w:sz w:val="18"/>
                  <w:szCs w:val="18"/>
                  <w:lang w:val="en-US"/>
                </w:rPr>
                <w:t xml:space="preserve"> (2020, April </w:t>
              </w:r>
              <w:r w:rsidR="00E67F73">
                <w:rPr>
                  <w:i/>
                  <w:iCs/>
                  <w:noProof/>
                  <w:sz w:val="18"/>
                  <w:szCs w:val="18"/>
                  <w:lang w:val="en-US"/>
                </w:rPr>
                <w:t>14</w:t>
              </w:r>
              <w:r w:rsidR="00E67F73" w:rsidRPr="00E67F73">
                <w:rPr>
                  <w:i/>
                  <w:iCs/>
                  <w:noProof/>
                  <w:sz w:val="18"/>
                  <w:szCs w:val="18"/>
                  <w:lang w:val="en-US"/>
                </w:rPr>
                <w:t>)</w:t>
              </w:r>
            </w:p>
            <w:p w14:paraId="7174628F" w14:textId="3B455121" w:rsidR="0038343F" w:rsidRPr="00EB3700" w:rsidRDefault="0038343F" w:rsidP="0038343F">
              <w:pPr>
                <w:pStyle w:val="Literaturverzeichnis"/>
                <w:ind w:left="720" w:hanging="720"/>
                <w:rPr>
                  <w:i/>
                  <w:iCs/>
                  <w:noProof/>
                  <w:sz w:val="18"/>
                  <w:szCs w:val="18"/>
                  <w:lang w:val="en-US"/>
                </w:rPr>
              </w:pPr>
              <w:r w:rsidRPr="0038343F">
                <w:rPr>
                  <w:i/>
                  <w:iCs/>
                  <w:noProof/>
                  <w:sz w:val="18"/>
                  <w:szCs w:val="18"/>
                </w:rPr>
                <w:t xml:space="preserve">Urmersbach, B. (2020, April 7). Bruttoinlandsprodukt (BIP) Pro Kopf In Den EU-Ländern 2019. </w:t>
              </w:r>
              <w:r w:rsidRPr="00EB3700">
                <w:rPr>
                  <w:i/>
                  <w:iCs/>
                  <w:noProof/>
                  <w:sz w:val="18"/>
                  <w:szCs w:val="18"/>
                  <w:lang w:val="en-US"/>
                </w:rPr>
                <w:t>Retrieved from Statista: https://de.statista.com/statistik/daten/studie/188766/umfrage/bruttoinlandsprodukt-bip-pro-kopf-in-den-eu-laendern/</w:t>
              </w:r>
              <w:r w:rsidR="00EB3700" w:rsidRPr="00EB3700">
                <w:rPr>
                  <w:i/>
                  <w:iCs/>
                  <w:noProof/>
                  <w:sz w:val="18"/>
                  <w:szCs w:val="18"/>
                  <w:lang w:val="en-US"/>
                </w:rPr>
                <w:t xml:space="preserve"> (2020, April </w:t>
              </w:r>
              <w:r w:rsidR="00EB3700">
                <w:rPr>
                  <w:i/>
                  <w:iCs/>
                  <w:noProof/>
                  <w:sz w:val="18"/>
                  <w:szCs w:val="18"/>
                  <w:lang w:val="en-US"/>
                </w:rPr>
                <w:t>1</w:t>
              </w:r>
              <w:r w:rsidR="00EA528A">
                <w:rPr>
                  <w:i/>
                  <w:iCs/>
                  <w:noProof/>
                  <w:sz w:val="18"/>
                  <w:szCs w:val="18"/>
                  <w:lang w:val="en-US"/>
                </w:rPr>
                <w:t>3</w:t>
              </w:r>
              <w:r w:rsidR="00EB3700" w:rsidRPr="00EB3700">
                <w:rPr>
                  <w:i/>
                  <w:iCs/>
                  <w:noProof/>
                  <w:sz w:val="18"/>
                  <w:szCs w:val="18"/>
                  <w:lang w:val="en-US"/>
                </w:rPr>
                <w:t>)</w:t>
              </w:r>
            </w:p>
            <w:p w14:paraId="18F60708" w14:textId="1D717E68" w:rsidR="0038343F" w:rsidRPr="0038343F" w:rsidRDefault="0038343F" w:rsidP="0038343F">
              <w:pPr>
                <w:pStyle w:val="Literaturverzeichnis"/>
                <w:ind w:left="720" w:hanging="720"/>
                <w:rPr>
                  <w:i/>
                  <w:iCs/>
                  <w:noProof/>
                  <w:sz w:val="18"/>
                  <w:szCs w:val="18"/>
                  <w:lang w:val="en-US"/>
                </w:rPr>
              </w:pPr>
              <w:r w:rsidRPr="0038343F">
                <w:rPr>
                  <w:i/>
                  <w:iCs/>
                  <w:noProof/>
                  <w:sz w:val="18"/>
                  <w:szCs w:val="18"/>
                </w:rPr>
                <w:t xml:space="preserve">Urmersbach, B. (2020, February 10). Erwerbstätige nach Wirtschaftssektoren in den EU-Ländern 2019. </w:t>
              </w:r>
              <w:r w:rsidRPr="0038343F">
                <w:rPr>
                  <w:i/>
                  <w:iCs/>
                  <w:noProof/>
                  <w:sz w:val="18"/>
                  <w:szCs w:val="18"/>
                  <w:lang w:val="en-US"/>
                </w:rPr>
                <w:t>Retrieved from Statista: https://de.statista.com/statistik/daten/studie/249086/umfrage/erwerbstaetige-nach-wirtschaftssektoren-in-den-eu-laendern/</w:t>
              </w:r>
              <w:r w:rsidR="001A1F59">
                <w:rPr>
                  <w:i/>
                  <w:iCs/>
                  <w:noProof/>
                  <w:sz w:val="18"/>
                  <w:szCs w:val="18"/>
                  <w:lang w:val="en-US"/>
                </w:rPr>
                <w:t xml:space="preserve"> (2020, April 6)</w:t>
              </w:r>
            </w:p>
            <w:p w14:paraId="317873C8" w14:textId="77777777" w:rsidR="0038343F" w:rsidRPr="0038343F" w:rsidRDefault="0038343F" w:rsidP="0038343F">
              <w:pPr>
                <w:pStyle w:val="Literaturverzeichnis"/>
                <w:ind w:left="720" w:hanging="720"/>
                <w:rPr>
                  <w:i/>
                  <w:iCs/>
                  <w:noProof/>
                  <w:sz w:val="18"/>
                  <w:szCs w:val="18"/>
                  <w:lang w:val="it-IT"/>
                </w:rPr>
              </w:pPr>
              <w:r w:rsidRPr="0038343F">
                <w:rPr>
                  <w:i/>
                  <w:iCs/>
                  <w:noProof/>
                  <w:sz w:val="18"/>
                  <w:szCs w:val="18"/>
                  <w:lang w:val="en-US"/>
                </w:rPr>
                <w:lastRenderedPageBreak/>
                <w:t xml:space="preserve">Vozková, K., &amp; Teplý, P. (2018). Determinants Of Banking Fee Income - Does Market Concentration Matter. </w:t>
              </w:r>
              <w:r w:rsidRPr="0038343F">
                <w:rPr>
                  <w:i/>
                  <w:iCs/>
                  <w:noProof/>
                  <w:sz w:val="18"/>
                  <w:szCs w:val="18"/>
                  <w:lang w:val="it-IT"/>
                </w:rPr>
                <w:t>Prague: Prague Economic Papers.</w:t>
              </w:r>
            </w:p>
            <w:p w14:paraId="74FE8A22" w14:textId="0217798A" w:rsidR="0038343F" w:rsidRPr="00BD1AEF" w:rsidRDefault="0038343F" w:rsidP="0038343F">
              <w:pPr>
                <w:pStyle w:val="Literaturverzeichnis"/>
                <w:ind w:left="720" w:hanging="720"/>
                <w:rPr>
                  <w:i/>
                  <w:iCs/>
                  <w:noProof/>
                  <w:sz w:val="18"/>
                  <w:szCs w:val="18"/>
                  <w:lang w:val="it-IT"/>
                </w:rPr>
              </w:pPr>
              <w:r w:rsidRPr="0038343F">
                <w:rPr>
                  <w:i/>
                  <w:iCs/>
                  <w:noProof/>
                  <w:sz w:val="18"/>
                  <w:szCs w:val="18"/>
                  <w:lang w:val="it-IT"/>
                </w:rPr>
                <w:t xml:space="preserve">Wikipedia Contributers. (2020, April 22). Banco di San Giorgio. </w:t>
              </w:r>
              <w:r w:rsidRPr="00BD1AEF">
                <w:rPr>
                  <w:i/>
                  <w:iCs/>
                  <w:noProof/>
                  <w:sz w:val="18"/>
                  <w:szCs w:val="18"/>
                  <w:lang w:val="it-IT"/>
                </w:rPr>
                <w:t>Retrieved from Wikipedia, Die freie Enzyklopädie.: https://de.wikipedia.org/w/index.php?title=Banco_di_San_Giorgio&amp;oldid=199155680</w:t>
              </w:r>
              <w:r w:rsidR="00263503" w:rsidRPr="00BD1AEF">
                <w:rPr>
                  <w:i/>
                  <w:iCs/>
                  <w:noProof/>
                  <w:sz w:val="18"/>
                  <w:szCs w:val="18"/>
                  <w:lang w:val="it-IT"/>
                </w:rPr>
                <w:t xml:space="preserve"> (2020, March 25)</w:t>
              </w:r>
            </w:p>
            <w:p w14:paraId="64062952" w14:textId="7BEDC258" w:rsidR="0038343F" w:rsidRPr="0038343F" w:rsidRDefault="0038343F" w:rsidP="0038343F">
              <w:pPr>
                <w:pStyle w:val="Literaturverzeichnis"/>
                <w:ind w:left="720" w:hanging="720"/>
                <w:rPr>
                  <w:i/>
                  <w:iCs/>
                  <w:noProof/>
                  <w:sz w:val="18"/>
                  <w:szCs w:val="18"/>
                  <w:lang w:val="en-US"/>
                </w:rPr>
              </w:pPr>
              <w:r w:rsidRPr="0038343F">
                <w:rPr>
                  <w:i/>
                  <w:iCs/>
                  <w:noProof/>
                  <w:sz w:val="18"/>
                  <w:szCs w:val="18"/>
                  <w:lang w:val="en-US"/>
                </w:rPr>
                <w:t>Wikipedia Contributors. (2020, March 26). ATM Usage Fees. Retrieved from Wikipedia, The Free Encyclopedia.: https://en.wikipedia.org/w/index.php?title=ATM_usage_fees&amp;oldid=958489560</w:t>
              </w:r>
              <w:r w:rsidR="00BD1AEF">
                <w:rPr>
                  <w:i/>
                  <w:iCs/>
                  <w:noProof/>
                  <w:sz w:val="18"/>
                  <w:szCs w:val="18"/>
                  <w:lang w:val="en-US"/>
                </w:rPr>
                <w:t xml:space="preserve"> (2020, March</w:t>
              </w:r>
              <w:r w:rsidR="00296887">
                <w:rPr>
                  <w:i/>
                  <w:iCs/>
                  <w:noProof/>
                  <w:sz w:val="18"/>
                  <w:szCs w:val="18"/>
                  <w:lang w:val="en-US"/>
                </w:rPr>
                <w:t xml:space="preserve"> 2</w:t>
              </w:r>
              <w:r w:rsidR="00AC332B">
                <w:rPr>
                  <w:i/>
                  <w:iCs/>
                  <w:noProof/>
                  <w:sz w:val="18"/>
                  <w:szCs w:val="18"/>
                  <w:lang w:val="en-US"/>
                </w:rPr>
                <w:t>6</w:t>
              </w:r>
              <w:r w:rsidR="00BD1AEF">
                <w:rPr>
                  <w:i/>
                  <w:iCs/>
                  <w:noProof/>
                  <w:sz w:val="18"/>
                  <w:szCs w:val="18"/>
                  <w:lang w:val="en-US"/>
                </w:rPr>
                <w:t>)</w:t>
              </w:r>
            </w:p>
            <w:p w14:paraId="5B6C0914" w14:textId="3DD601B5" w:rsidR="0038343F" w:rsidRPr="0038343F" w:rsidRDefault="0038343F" w:rsidP="0038343F">
              <w:pPr>
                <w:pStyle w:val="Literaturverzeichnis"/>
                <w:ind w:left="720" w:hanging="720"/>
                <w:rPr>
                  <w:i/>
                  <w:iCs/>
                  <w:noProof/>
                  <w:sz w:val="18"/>
                  <w:szCs w:val="18"/>
                  <w:lang w:val="en-US"/>
                </w:rPr>
              </w:pPr>
              <w:r w:rsidRPr="0038343F">
                <w:rPr>
                  <w:i/>
                  <w:iCs/>
                  <w:noProof/>
                  <w:sz w:val="18"/>
                  <w:szCs w:val="18"/>
                  <w:lang w:val="en-US"/>
                </w:rPr>
                <w:t>Wikipedia Contributors. (2020, March 16). Bank Charge. Retrieved from Wikipedia, The Free Encyclopedia.: https://en.wikipedia.org/w/index.php?title=Bank_charge&amp;oldid=945866347</w:t>
              </w:r>
              <w:r w:rsidR="00AC332B">
                <w:rPr>
                  <w:i/>
                  <w:iCs/>
                  <w:noProof/>
                  <w:sz w:val="18"/>
                  <w:szCs w:val="18"/>
                  <w:lang w:val="en-US"/>
                </w:rPr>
                <w:t xml:space="preserve"> (2020, March 16)</w:t>
              </w:r>
            </w:p>
            <w:p w14:paraId="5AA51962" w14:textId="4F2B47B5" w:rsidR="0038343F" w:rsidRPr="00416B41" w:rsidRDefault="0038343F" w:rsidP="0038343F">
              <w:pPr>
                <w:pStyle w:val="Literaturverzeichnis"/>
                <w:ind w:left="720" w:hanging="720"/>
                <w:rPr>
                  <w:i/>
                  <w:iCs/>
                  <w:noProof/>
                  <w:sz w:val="18"/>
                  <w:szCs w:val="18"/>
                </w:rPr>
              </w:pPr>
              <w:r w:rsidRPr="0038343F">
                <w:rPr>
                  <w:i/>
                  <w:iCs/>
                  <w:noProof/>
                  <w:sz w:val="18"/>
                  <w:szCs w:val="18"/>
                  <w:lang w:val="en-US"/>
                </w:rPr>
                <w:t xml:space="preserve">Wikipedia contributors. (2020, April 13). Bankgebühr. </w:t>
              </w:r>
              <w:r w:rsidRPr="00416B41">
                <w:rPr>
                  <w:i/>
                  <w:iCs/>
                  <w:noProof/>
                  <w:sz w:val="18"/>
                  <w:szCs w:val="18"/>
                </w:rPr>
                <w:t>Retrieved from Wikipedia, Die freie Enzyklopädie.: https://de.wikipedia.org/w/index.php?title=Bankgeb%C3%BChr&amp;oldid=198817721</w:t>
              </w:r>
              <w:r w:rsidR="00416B41" w:rsidRPr="00416B41">
                <w:rPr>
                  <w:i/>
                  <w:iCs/>
                  <w:noProof/>
                  <w:sz w:val="18"/>
                  <w:szCs w:val="18"/>
                </w:rPr>
                <w:t xml:space="preserve"> </w:t>
              </w:r>
              <w:r w:rsidR="00416B41" w:rsidRPr="00416B41">
                <w:rPr>
                  <w:i/>
                  <w:iCs/>
                  <w:noProof/>
                  <w:sz w:val="18"/>
                  <w:szCs w:val="18"/>
                </w:rPr>
                <w:t>(2020, April 1</w:t>
              </w:r>
              <w:r w:rsidR="00416B41">
                <w:rPr>
                  <w:i/>
                  <w:iCs/>
                  <w:noProof/>
                  <w:sz w:val="18"/>
                  <w:szCs w:val="18"/>
                </w:rPr>
                <w:t>8</w:t>
              </w:r>
              <w:r w:rsidR="00416B41" w:rsidRPr="00416B41">
                <w:rPr>
                  <w:i/>
                  <w:iCs/>
                  <w:noProof/>
                  <w:sz w:val="18"/>
                  <w:szCs w:val="18"/>
                </w:rPr>
                <w:t>)</w:t>
              </w:r>
            </w:p>
            <w:p w14:paraId="0ACBABA2" w14:textId="3155141A" w:rsidR="0038343F" w:rsidRPr="00301B66" w:rsidRDefault="0038343F" w:rsidP="0038343F">
              <w:pPr>
                <w:pStyle w:val="Literaturverzeichnis"/>
                <w:ind w:left="720" w:hanging="720"/>
                <w:rPr>
                  <w:i/>
                  <w:iCs/>
                  <w:noProof/>
                  <w:sz w:val="18"/>
                  <w:szCs w:val="18"/>
                </w:rPr>
              </w:pPr>
              <w:r w:rsidRPr="0038343F">
                <w:rPr>
                  <w:i/>
                  <w:iCs/>
                  <w:noProof/>
                  <w:sz w:val="18"/>
                  <w:szCs w:val="18"/>
                  <w:lang w:val="en-US"/>
                </w:rPr>
                <w:t xml:space="preserve">Wikipedia Contributors. (2020, February 21). Euribor. </w:t>
              </w:r>
              <w:r w:rsidRPr="00301B66">
                <w:rPr>
                  <w:i/>
                  <w:iCs/>
                  <w:noProof/>
                  <w:sz w:val="18"/>
                  <w:szCs w:val="18"/>
                </w:rPr>
                <w:t>Retrieved from Wikipedia, Die freie Enzyklopädie.: https://en.wikipedia.org/w/index.php?title=Euribor&amp;oldid=943602657</w:t>
              </w:r>
              <w:r w:rsidR="00301B66" w:rsidRPr="00301B66">
                <w:rPr>
                  <w:i/>
                  <w:iCs/>
                  <w:noProof/>
                  <w:sz w:val="18"/>
                  <w:szCs w:val="18"/>
                </w:rPr>
                <w:t xml:space="preserve"> </w:t>
              </w:r>
              <w:r w:rsidR="00301B66">
                <w:rPr>
                  <w:i/>
                  <w:iCs/>
                  <w:noProof/>
                  <w:sz w:val="18"/>
                  <w:szCs w:val="18"/>
                </w:rPr>
                <w:t>(2020, April 26)</w:t>
              </w:r>
            </w:p>
            <w:p w14:paraId="42840FF6" w14:textId="3900FD0E" w:rsidR="0038343F" w:rsidRPr="0038343F" w:rsidRDefault="0038343F" w:rsidP="0038343F">
              <w:pPr>
                <w:pStyle w:val="Literaturverzeichnis"/>
                <w:ind w:left="720" w:hanging="720"/>
                <w:rPr>
                  <w:i/>
                  <w:iCs/>
                  <w:noProof/>
                  <w:sz w:val="18"/>
                  <w:szCs w:val="18"/>
                  <w:lang w:val="en-US"/>
                </w:rPr>
              </w:pPr>
              <w:r w:rsidRPr="0038343F">
                <w:rPr>
                  <w:i/>
                  <w:iCs/>
                  <w:noProof/>
                  <w:sz w:val="18"/>
                  <w:szCs w:val="18"/>
                  <w:lang w:val="en-US"/>
                </w:rPr>
                <w:t>Wikipedia Contributors. (2020, April 24). Financial Crisis Of 2007–08. Retrieved from Wikipedia, The Free Encyclopedia.: https://en.wikipedia.org/w/index.php?title=Financial_crisis_of_2007%E2%80%9308&amp;oldid=952805944</w:t>
              </w:r>
              <w:r w:rsidR="009E3B68">
                <w:rPr>
                  <w:i/>
                  <w:iCs/>
                  <w:noProof/>
                  <w:sz w:val="18"/>
                  <w:szCs w:val="18"/>
                  <w:lang w:val="en-US"/>
                </w:rPr>
                <w:t xml:space="preserve"> (2020, March 26)</w:t>
              </w:r>
            </w:p>
            <w:p w14:paraId="5F652D5A" w14:textId="6CE37DD0" w:rsidR="0038343F" w:rsidRPr="0038343F" w:rsidRDefault="0038343F" w:rsidP="0038343F">
              <w:pPr>
                <w:pStyle w:val="Literaturverzeichnis"/>
                <w:ind w:left="720" w:hanging="720"/>
                <w:rPr>
                  <w:i/>
                  <w:iCs/>
                  <w:noProof/>
                  <w:sz w:val="18"/>
                  <w:szCs w:val="18"/>
                  <w:lang w:val="en-US"/>
                </w:rPr>
              </w:pPr>
              <w:r w:rsidRPr="0038343F">
                <w:rPr>
                  <w:i/>
                  <w:iCs/>
                  <w:noProof/>
                  <w:sz w:val="18"/>
                  <w:szCs w:val="18"/>
                  <w:lang w:val="en-US"/>
                </w:rPr>
                <w:t>Wikipedia Contributors. (2020, March 26). History of Banking. Retrieved from Wikipedia, The Free Encyclopedia.: https://en.wikipedia.org/w/index.php?title=History_of_banking&amp;oldid=946988785</w:t>
              </w:r>
              <w:r w:rsidR="00D75F68">
                <w:rPr>
                  <w:i/>
                  <w:iCs/>
                  <w:noProof/>
                  <w:sz w:val="18"/>
                  <w:szCs w:val="18"/>
                  <w:lang w:val="en-US"/>
                </w:rPr>
                <w:t xml:space="preserve"> (2020, March 23)</w:t>
              </w:r>
            </w:p>
            <w:p w14:paraId="4789BF7E" w14:textId="60E85988" w:rsidR="0038343F" w:rsidRPr="0038343F" w:rsidRDefault="0038343F" w:rsidP="0038343F">
              <w:pPr>
                <w:pStyle w:val="Literaturverzeichnis"/>
                <w:ind w:left="720" w:hanging="720"/>
                <w:rPr>
                  <w:i/>
                  <w:iCs/>
                  <w:noProof/>
                  <w:sz w:val="18"/>
                  <w:szCs w:val="18"/>
                  <w:lang w:val="en-US"/>
                </w:rPr>
              </w:pPr>
              <w:r w:rsidRPr="0038343F">
                <w:rPr>
                  <w:i/>
                  <w:iCs/>
                  <w:noProof/>
                  <w:sz w:val="18"/>
                  <w:szCs w:val="18"/>
                  <w:lang w:val="en-US"/>
                </w:rPr>
                <w:t>Wikipedia Contributors. (2020, April 2). Single Euro Payments Area. Retrieved from Wikipedia, The Free Encyclopedia.: https://en.wikipedia.org/w/index.php?title=Single_Euro_Payments_Area&amp;oldid=948535739</w:t>
              </w:r>
              <w:r w:rsidR="00412C21">
                <w:rPr>
                  <w:i/>
                  <w:iCs/>
                  <w:noProof/>
                  <w:sz w:val="18"/>
                  <w:szCs w:val="18"/>
                  <w:lang w:val="en-US"/>
                </w:rPr>
                <w:t xml:space="preserve"> (2020, May 3)</w:t>
              </w:r>
            </w:p>
            <w:p w14:paraId="0A8430E6" w14:textId="28531F23" w:rsidR="0038343F" w:rsidRPr="0038343F" w:rsidRDefault="0038343F" w:rsidP="0038343F">
              <w:pPr>
                <w:pStyle w:val="Literaturverzeichnis"/>
                <w:ind w:left="720" w:hanging="720"/>
                <w:rPr>
                  <w:i/>
                  <w:iCs/>
                  <w:noProof/>
                  <w:sz w:val="18"/>
                  <w:szCs w:val="18"/>
                  <w:lang w:val="en-US"/>
                </w:rPr>
              </w:pPr>
              <w:r w:rsidRPr="0038343F">
                <w:rPr>
                  <w:i/>
                  <w:iCs/>
                  <w:noProof/>
                  <w:sz w:val="18"/>
                  <w:szCs w:val="18"/>
                  <w:lang w:val="en-US"/>
                </w:rPr>
                <w:t>Wikipedia Contributors. (2020, April 24). Tax. Retrieved from Wikipedia, The Free Encyclopedia.: https://en.wikipedia.org/w/index.php?title=Tax&amp;oldid=952663998</w:t>
              </w:r>
              <w:r w:rsidR="002C4A2E">
                <w:rPr>
                  <w:i/>
                  <w:iCs/>
                  <w:noProof/>
                  <w:sz w:val="18"/>
                  <w:szCs w:val="18"/>
                  <w:lang w:val="en-US"/>
                </w:rPr>
                <w:t xml:space="preserve"> (2020, April 2)</w:t>
              </w:r>
            </w:p>
            <w:p w14:paraId="0C549F28" w14:textId="3DC2B43F" w:rsidR="0038343F" w:rsidRPr="003C7822" w:rsidRDefault="0038343F" w:rsidP="0038343F">
              <w:pPr>
                <w:pStyle w:val="Literaturverzeichnis"/>
                <w:ind w:left="720" w:hanging="720"/>
                <w:rPr>
                  <w:i/>
                  <w:iCs/>
                  <w:noProof/>
                  <w:sz w:val="18"/>
                  <w:szCs w:val="18"/>
                </w:rPr>
              </w:pPr>
              <w:r w:rsidRPr="0038343F">
                <w:rPr>
                  <w:i/>
                  <w:iCs/>
                  <w:noProof/>
                  <w:sz w:val="18"/>
                  <w:szCs w:val="18"/>
                  <w:lang w:val="en-US"/>
                </w:rPr>
                <w:t xml:space="preserve">Wikipedia Contributors. (2020, April 2). Zahlungsdiensterichtlinie. </w:t>
              </w:r>
              <w:r w:rsidRPr="003C7822">
                <w:rPr>
                  <w:i/>
                  <w:iCs/>
                  <w:noProof/>
                  <w:sz w:val="18"/>
                  <w:szCs w:val="18"/>
                </w:rPr>
                <w:t>Retrieved from Wikipedia, Die freie Enzyklopädie.: https://de.wikipedia.org/w/index.php?title=Zahlungsdiensterichtlinie&amp;oldid=195059885</w:t>
              </w:r>
              <w:r w:rsidR="003C7822" w:rsidRPr="003C7822">
                <w:rPr>
                  <w:i/>
                  <w:iCs/>
                  <w:noProof/>
                  <w:sz w:val="18"/>
                  <w:szCs w:val="18"/>
                </w:rPr>
                <w:t xml:space="preserve"> </w:t>
              </w:r>
              <w:r w:rsidR="003C7822">
                <w:rPr>
                  <w:i/>
                  <w:iCs/>
                  <w:noProof/>
                  <w:sz w:val="18"/>
                  <w:szCs w:val="18"/>
                </w:rPr>
                <w:t xml:space="preserve">(2020, </w:t>
              </w:r>
              <w:r w:rsidR="000713B4">
                <w:rPr>
                  <w:i/>
                  <w:iCs/>
                  <w:noProof/>
                  <w:sz w:val="18"/>
                  <w:szCs w:val="18"/>
                </w:rPr>
                <w:t>April 29</w:t>
              </w:r>
              <w:r w:rsidR="003C7822">
                <w:rPr>
                  <w:i/>
                  <w:iCs/>
                  <w:noProof/>
                  <w:sz w:val="18"/>
                  <w:szCs w:val="18"/>
                </w:rPr>
                <w:t>)</w:t>
              </w:r>
            </w:p>
            <w:p w14:paraId="256A6C78" w14:textId="634E53AE" w:rsidR="0038343F" w:rsidRPr="0038343F" w:rsidRDefault="0038343F" w:rsidP="0038343F">
              <w:pPr>
                <w:pStyle w:val="Literaturverzeichnis"/>
                <w:ind w:left="720" w:hanging="720"/>
                <w:rPr>
                  <w:i/>
                  <w:iCs/>
                  <w:noProof/>
                  <w:sz w:val="18"/>
                  <w:szCs w:val="18"/>
                  <w:lang w:val="en-US"/>
                </w:rPr>
              </w:pPr>
              <w:r w:rsidRPr="0038343F">
                <w:rPr>
                  <w:i/>
                  <w:iCs/>
                  <w:noProof/>
                  <w:sz w:val="18"/>
                  <w:szCs w:val="18"/>
                  <w:lang w:val="en-US"/>
                </w:rPr>
                <w:t>World Bank. (2020, April 24). GDP Growth Rate Annual %. Retrieved from World Bank: https://data.worldbank.org/indicator/NY.GDP.MKTP.KD.ZG?locations=NL-AT-DE-IT&amp;name_desc=false</w:t>
              </w:r>
              <w:r w:rsidR="003B4AA8">
                <w:rPr>
                  <w:i/>
                  <w:iCs/>
                  <w:noProof/>
                  <w:sz w:val="18"/>
                  <w:szCs w:val="18"/>
                  <w:lang w:val="en-US"/>
                </w:rPr>
                <w:t xml:space="preserve"> (2020, </w:t>
              </w:r>
              <w:r w:rsidR="00C72877">
                <w:rPr>
                  <w:i/>
                  <w:iCs/>
                  <w:noProof/>
                  <w:sz w:val="18"/>
                  <w:szCs w:val="18"/>
                  <w:lang w:val="en-US"/>
                </w:rPr>
                <w:t>April 24</w:t>
              </w:r>
              <w:r w:rsidR="003B4AA8">
                <w:rPr>
                  <w:i/>
                  <w:iCs/>
                  <w:noProof/>
                  <w:sz w:val="18"/>
                  <w:szCs w:val="18"/>
                  <w:lang w:val="en-US"/>
                </w:rPr>
                <w:t>)</w:t>
              </w:r>
            </w:p>
            <w:p w14:paraId="7ECFEE23" w14:textId="77777777" w:rsidR="0038343F" w:rsidRPr="0038343F" w:rsidRDefault="0038343F" w:rsidP="0038343F">
              <w:pPr>
                <w:pStyle w:val="Literaturverzeichnis"/>
                <w:ind w:left="720" w:hanging="720"/>
                <w:rPr>
                  <w:i/>
                  <w:iCs/>
                  <w:noProof/>
                  <w:sz w:val="18"/>
                  <w:szCs w:val="18"/>
                </w:rPr>
              </w:pPr>
              <w:r w:rsidRPr="0038343F">
                <w:rPr>
                  <w:i/>
                  <w:iCs/>
                  <w:noProof/>
                  <w:sz w:val="18"/>
                  <w:szCs w:val="18"/>
                  <w:lang w:val="nl-NL"/>
                </w:rPr>
                <w:t xml:space="preserve">Wu, J.-H., Hsia, T.-L., &amp; Heng, M. S. (2006). </w:t>
              </w:r>
              <w:r w:rsidRPr="0038343F">
                <w:rPr>
                  <w:i/>
                  <w:iCs/>
                  <w:noProof/>
                  <w:sz w:val="18"/>
                  <w:szCs w:val="18"/>
                  <w:lang w:val="en-US"/>
                </w:rPr>
                <w:t xml:space="preserve">Core Capabilities For Exploiting Electronic Banking. </w:t>
              </w:r>
              <w:r w:rsidRPr="0038343F">
                <w:rPr>
                  <w:i/>
                  <w:iCs/>
                  <w:noProof/>
                  <w:sz w:val="18"/>
                  <w:szCs w:val="18"/>
                </w:rPr>
                <w:t>Journal Of Electronic Commerce Research, Vol. 7, 111-122.</w:t>
              </w:r>
            </w:p>
            <w:p w14:paraId="09EFBDEA" w14:textId="2A88338C" w:rsidR="0038343F" w:rsidRPr="0038343F" w:rsidRDefault="0038343F" w:rsidP="0038343F">
              <w:pPr>
                <w:pStyle w:val="Literaturverzeichnis"/>
                <w:ind w:left="720" w:hanging="720"/>
                <w:rPr>
                  <w:i/>
                  <w:iCs/>
                  <w:noProof/>
                  <w:sz w:val="18"/>
                  <w:szCs w:val="18"/>
                  <w:lang w:val="en-US"/>
                </w:rPr>
              </w:pPr>
              <w:r w:rsidRPr="0038343F">
                <w:rPr>
                  <w:i/>
                  <w:iCs/>
                  <w:noProof/>
                  <w:sz w:val="18"/>
                  <w:szCs w:val="18"/>
                </w:rPr>
                <w:t xml:space="preserve">Wuermeling, J. (2019, September 14). Stabile Banken Gibt Es Nicht Zum Nulltarif. </w:t>
              </w:r>
              <w:r w:rsidRPr="0038343F">
                <w:rPr>
                  <w:i/>
                  <w:iCs/>
                  <w:noProof/>
                  <w:sz w:val="18"/>
                  <w:szCs w:val="18"/>
                  <w:lang w:val="en-US"/>
                </w:rPr>
                <w:t>Retrieved from Bundesbank: https://www.bundesbank.de/de/presse/gastbeitraege/stabile-banken-gibt-es-nicht-zum-nulltarif-806868</w:t>
              </w:r>
              <w:r w:rsidR="00393951">
                <w:rPr>
                  <w:i/>
                  <w:iCs/>
                  <w:noProof/>
                  <w:sz w:val="18"/>
                  <w:szCs w:val="18"/>
                  <w:lang w:val="en-US"/>
                </w:rPr>
                <w:t xml:space="preserve"> (2020, April 19)</w:t>
              </w:r>
            </w:p>
            <w:p w14:paraId="4D555D99" w14:textId="77777777" w:rsidR="0038343F" w:rsidRPr="0038343F" w:rsidRDefault="0038343F" w:rsidP="0038343F">
              <w:pPr>
                <w:pStyle w:val="Literaturverzeichnis"/>
                <w:ind w:left="720" w:hanging="720"/>
                <w:rPr>
                  <w:i/>
                  <w:iCs/>
                  <w:noProof/>
                  <w:sz w:val="18"/>
                  <w:szCs w:val="18"/>
                  <w:lang w:val="de-DE"/>
                </w:rPr>
              </w:pPr>
              <w:r w:rsidRPr="0038343F">
                <w:rPr>
                  <w:i/>
                  <w:iCs/>
                  <w:noProof/>
                  <w:sz w:val="18"/>
                  <w:szCs w:val="18"/>
                  <w:lang w:val="de-DE"/>
                </w:rPr>
                <w:t>Zeilmann, K. (27. October 2008). Geschichte des Bankwesens - Geldgeschäfte sind Privatsache. Focus.</w:t>
              </w:r>
            </w:p>
            <w:p w14:paraId="35645CE7" w14:textId="3398B379" w:rsidR="009B4C6E" w:rsidRDefault="006B5E84" w:rsidP="0038343F">
              <w:r w:rsidRPr="0038343F">
                <w:rPr>
                  <w:b/>
                  <w:bCs/>
                  <w:i/>
                  <w:iCs/>
                  <w:sz w:val="10"/>
                  <w:szCs w:val="10"/>
                </w:rPr>
                <w:fldChar w:fldCharType="end"/>
              </w:r>
            </w:p>
          </w:sdtContent>
        </w:sdt>
      </w:sdtContent>
    </w:sdt>
    <w:p w14:paraId="2EC76C76" w14:textId="5AB71143" w:rsidR="00481202" w:rsidRPr="00E93472" w:rsidRDefault="00481202" w:rsidP="0038343F">
      <w:pPr>
        <w:jc w:val="left"/>
      </w:pPr>
    </w:p>
    <w:sectPr w:rsidR="00481202" w:rsidRPr="00E93472" w:rsidSect="000071CD">
      <w:headerReference w:type="default" r:id="rId17"/>
      <w:footerReference w:type="default" r:id="rId18"/>
      <w:headerReference w:type="first" r:id="rId19"/>
      <w:footerReference w:type="first" r:id="rId20"/>
      <w:pgSz w:w="11906" w:h="16838"/>
      <w:pgMar w:top="1417" w:right="1417" w:bottom="1134"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74195" w14:textId="77777777" w:rsidR="00562F4C" w:rsidRDefault="00562F4C" w:rsidP="00481202">
      <w:pPr>
        <w:spacing w:after="0" w:line="240" w:lineRule="auto"/>
      </w:pPr>
      <w:r>
        <w:separator/>
      </w:r>
    </w:p>
  </w:endnote>
  <w:endnote w:type="continuationSeparator" w:id="0">
    <w:p w14:paraId="080F0DEF" w14:textId="77777777" w:rsidR="00562F4C" w:rsidRDefault="00562F4C" w:rsidP="00481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4B161" w14:textId="11497556" w:rsidR="00126409" w:rsidRPr="00EC4BA6" w:rsidRDefault="00126409">
    <w:pPr>
      <w:pStyle w:val="Fuzeile"/>
      <w:rPr>
        <w:rFonts w:ascii="Times New Roman" w:hAnsi="Times New Roman" w:cs="Times New Roman"/>
        <w:b/>
        <w:bCs/>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8657D" w14:textId="3E37536A" w:rsidR="00126409" w:rsidRPr="001B3003" w:rsidRDefault="00126409">
    <w:pPr>
      <w:pStyle w:val="Fuzeile"/>
      <w:rPr>
        <w:rFonts w:ascii="Times New Roman" w:hAnsi="Times New Roman" w:cs="Times New Roman"/>
        <w:b/>
        <w:bCs/>
      </w:rPr>
    </w:pPr>
    <w:r>
      <w:tab/>
    </w:r>
    <w:r w:rsidRPr="001B3003">
      <w:rPr>
        <w:rFonts w:ascii="Times New Roman" w:hAnsi="Times New Roman" w:cs="Times New Roman"/>
      </w:rPr>
      <w:fldChar w:fldCharType="begin"/>
    </w:r>
    <w:r w:rsidRPr="001B3003">
      <w:rPr>
        <w:rFonts w:ascii="Times New Roman" w:hAnsi="Times New Roman" w:cs="Times New Roman"/>
      </w:rPr>
      <w:instrText>PAGE   \* MERGEFORMAT</w:instrText>
    </w:r>
    <w:r w:rsidRPr="001B3003">
      <w:rPr>
        <w:rFonts w:ascii="Times New Roman" w:hAnsi="Times New Roman" w:cs="Times New Roman"/>
      </w:rPr>
      <w:fldChar w:fldCharType="separate"/>
    </w:r>
    <w:r w:rsidRPr="001B3003">
      <w:rPr>
        <w:rFonts w:ascii="Times New Roman" w:hAnsi="Times New Roman" w:cs="Times New Roman"/>
        <w:lang w:val="de-DE"/>
      </w:rPr>
      <w:t>1</w:t>
    </w:r>
    <w:r w:rsidRPr="001B3003">
      <w:rPr>
        <w:rFonts w:ascii="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6C7AE" w14:textId="6B87ECA3" w:rsidR="00126409" w:rsidRPr="001B3003" w:rsidRDefault="00126409">
    <w:pPr>
      <w:pStyle w:val="Fuzeile"/>
      <w:rPr>
        <w:rFonts w:ascii="Times New Roman" w:hAnsi="Times New Roman" w:cs="Times New Roman"/>
      </w:rPr>
    </w:pPr>
    <w:r>
      <w:tab/>
    </w:r>
    <w:r w:rsidRPr="001B3003">
      <w:rPr>
        <w:rFonts w:ascii="Times New Roman" w:hAnsi="Times New Roman" w:cs="Times New Roman"/>
      </w:rPr>
      <w:fldChar w:fldCharType="begin"/>
    </w:r>
    <w:r w:rsidRPr="001B3003">
      <w:rPr>
        <w:rFonts w:ascii="Times New Roman" w:hAnsi="Times New Roman" w:cs="Times New Roman"/>
      </w:rPr>
      <w:instrText>PAGE   \* MERGEFORMAT</w:instrText>
    </w:r>
    <w:r w:rsidRPr="001B3003">
      <w:rPr>
        <w:rFonts w:ascii="Times New Roman" w:hAnsi="Times New Roman" w:cs="Times New Roman"/>
      </w:rPr>
      <w:fldChar w:fldCharType="separate"/>
    </w:r>
    <w:r w:rsidRPr="001B3003">
      <w:rPr>
        <w:rFonts w:ascii="Times New Roman" w:hAnsi="Times New Roman" w:cs="Times New Roman"/>
        <w:lang w:val="de-DE"/>
      </w:rPr>
      <w:t>1</w:t>
    </w:r>
    <w:r w:rsidRPr="001B3003">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041E4" w14:textId="77777777" w:rsidR="00562F4C" w:rsidRDefault="00562F4C" w:rsidP="00481202">
      <w:pPr>
        <w:spacing w:after="0" w:line="240" w:lineRule="auto"/>
      </w:pPr>
      <w:r>
        <w:separator/>
      </w:r>
    </w:p>
  </w:footnote>
  <w:footnote w:type="continuationSeparator" w:id="0">
    <w:p w14:paraId="7690E878" w14:textId="77777777" w:rsidR="00562F4C" w:rsidRDefault="00562F4C" w:rsidP="00481202">
      <w:pPr>
        <w:spacing w:after="0" w:line="240" w:lineRule="auto"/>
      </w:pPr>
      <w:r>
        <w:continuationSeparator/>
      </w:r>
    </w:p>
  </w:footnote>
  <w:footnote w:id="1">
    <w:p w14:paraId="328281B3" w14:textId="1A3DB895" w:rsidR="00126409" w:rsidRPr="00847D76" w:rsidRDefault="00126409" w:rsidP="00481202">
      <w:pPr>
        <w:pStyle w:val="Funotentext"/>
        <w:rPr>
          <w:rFonts w:cs="Arial"/>
          <w:lang w:val="en-US"/>
        </w:rPr>
      </w:pPr>
      <w:r w:rsidRPr="00847D76">
        <w:rPr>
          <w:rStyle w:val="Funotenzeichen"/>
          <w:rFonts w:cs="Arial"/>
        </w:rPr>
        <w:footnoteRef/>
      </w:r>
      <w:r w:rsidRPr="00847D76">
        <w:rPr>
          <w:rFonts w:cs="Arial"/>
          <w:lang w:val="en-US"/>
        </w:rPr>
        <w:t xml:space="preserve"> </w:t>
      </w:r>
      <w:r>
        <w:rPr>
          <w:rFonts w:cs="Arial"/>
          <w:lang w:val="en-US"/>
        </w:rPr>
        <w:t>T</w:t>
      </w:r>
      <w:r w:rsidRPr="00847D76">
        <w:rPr>
          <w:rFonts w:cs="Arial"/>
          <w:lang w:val="en-US"/>
        </w:rPr>
        <w:t xml:space="preserve">otal value of all goods and services that were produced within </w:t>
      </w:r>
      <w:r>
        <w:rPr>
          <w:rFonts w:cs="Arial"/>
          <w:lang w:val="en-US"/>
        </w:rPr>
        <w:t>a</w:t>
      </w:r>
      <w:r w:rsidRPr="00847D76">
        <w:rPr>
          <w:rFonts w:cs="Arial"/>
          <w:lang w:val="en-US"/>
        </w:rPr>
        <w:t xml:space="preserve"> country's borders in </w:t>
      </w:r>
      <w:r>
        <w:rPr>
          <w:rFonts w:cs="Arial"/>
          <w:lang w:val="en-US"/>
        </w:rPr>
        <w:t xml:space="preserve">2019 in Euro </w:t>
      </w:r>
      <w:sdt>
        <w:sdtPr>
          <w:rPr>
            <w:rFonts w:cs="Arial"/>
            <w:lang w:val="en-US"/>
          </w:rPr>
          <w:id w:val="715471523"/>
          <w:citation/>
        </w:sdtPr>
        <w:sdtEndPr/>
        <w:sdtContent>
          <w:r>
            <w:rPr>
              <w:rFonts w:cs="Arial"/>
              <w:lang w:val="en-US"/>
            </w:rPr>
            <w:fldChar w:fldCharType="begin"/>
          </w:r>
          <w:r w:rsidRPr="004C5EC2">
            <w:rPr>
              <w:rFonts w:cs="Arial"/>
              <w:lang w:val="en-US"/>
            </w:rPr>
            <w:instrText xml:space="preserve"> CITATION Urm201 \l 3079 </w:instrText>
          </w:r>
          <w:r>
            <w:rPr>
              <w:rFonts w:cs="Arial"/>
              <w:lang w:val="en-US"/>
            </w:rPr>
            <w:fldChar w:fldCharType="separate"/>
          </w:r>
          <w:r w:rsidRPr="004C5EC2">
            <w:rPr>
              <w:rFonts w:cs="Arial"/>
              <w:noProof/>
              <w:lang w:val="en-US"/>
            </w:rPr>
            <w:t>(Urmersbach, Bruttoinlandsprodukt (BIP) Pro Kopf In Den EU-Ländern 2019, 2020)</w:t>
          </w:r>
          <w:r>
            <w:rPr>
              <w:rFonts w:cs="Arial"/>
              <w:lang w:val="en-US"/>
            </w:rPr>
            <w:fldChar w:fldCharType="end"/>
          </w:r>
        </w:sdtContent>
      </w:sdt>
    </w:p>
  </w:footnote>
  <w:footnote w:id="2">
    <w:p w14:paraId="53B68273" w14:textId="4FA31766" w:rsidR="00126409" w:rsidRPr="00B82D7E" w:rsidRDefault="00126409" w:rsidP="00481202">
      <w:pPr>
        <w:pStyle w:val="Funotentext"/>
        <w:rPr>
          <w:rFonts w:cs="Arial"/>
          <w:lang w:val="en-US"/>
        </w:rPr>
      </w:pPr>
      <w:r w:rsidRPr="00B82D7E">
        <w:rPr>
          <w:rStyle w:val="Funotenzeichen"/>
          <w:rFonts w:cs="Arial"/>
        </w:rPr>
        <w:footnoteRef/>
      </w:r>
      <w:r w:rsidRPr="00B82D7E">
        <w:rPr>
          <w:rFonts w:cs="Arial"/>
          <w:lang w:val="en-US"/>
        </w:rPr>
        <w:t xml:space="preserve"> Number of bank branches per 1</w:t>
      </w:r>
      <w:r>
        <w:rPr>
          <w:rFonts w:cs="Arial"/>
          <w:lang w:val="en-US"/>
        </w:rPr>
        <w:t xml:space="preserve">0,000 inhabitants in 2017 </w:t>
      </w:r>
      <w:sdt>
        <w:sdtPr>
          <w:rPr>
            <w:rFonts w:cs="Arial"/>
            <w:lang w:val="en-US"/>
          </w:rPr>
          <w:id w:val="-953008394"/>
          <w:citation/>
        </w:sdtPr>
        <w:sdtEndPr/>
        <w:sdtContent>
          <w:r>
            <w:rPr>
              <w:rFonts w:cs="Arial"/>
              <w:lang w:val="en-US"/>
            </w:rPr>
            <w:fldChar w:fldCharType="begin"/>
          </w:r>
          <w:r w:rsidRPr="004C5EC2">
            <w:rPr>
              <w:rFonts w:cs="Arial"/>
              <w:lang w:val="en-US"/>
            </w:rPr>
            <w:instrText xml:space="preserve"> CITATION Bra17 \l 3079 </w:instrText>
          </w:r>
          <w:r>
            <w:rPr>
              <w:rFonts w:cs="Arial"/>
              <w:lang w:val="en-US"/>
            </w:rPr>
            <w:fldChar w:fldCharType="separate"/>
          </w:r>
          <w:r w:rsidRPr="004C5EC2">
            <w:rPr>
              <w:rFonts w:cs="Arial"/>
              <w:noProof/>
              <w:lang w:val="en-US"/>
            </w:rPr>
            <w:t>(Brandt, 2017)</w:t>
          </w:r>
          <w:r>
            <w:rPr>
              <w:rFonts w:cs="Arial"/>
              <w:lang w:val="en-US"/>
            </w:rPr>
            <w:fldChar w:fldCharType="end"/>
          </w:r>
        </w:sdtContent>
      </w:sdt>
    </w:p>
  </w:footnote>
  <w:footnote w:id="3">
    <w:p w14:paraId="1BB74820" w14:textId="2BAC1827" w:rsidR="00126409" w:rsidRPr="0005680A" w:rsidRDefault="00126409" w:rsidP="00481202">
      <w:pPr>
        <w:pStyle w:val="Funotentext"/>
        <w:rPr>
          <w:rFonts w:cs="Arial"/>
          <w:lang w:val="en-US"/>
        </w:rPr>
      </w:pPr>
      <w:r w:rsidRPr="0005680A">
        <w:rPr>
          <w:rStyle w:val="Funotenzeichen"/>
          <w:rFonts w:cs="Arial"/>
        </w:rPr>
        <w:footnoteRef/>
      </w:r>
      <w:r w:rsidRPr="0005680A">
        <w:rPr>
          <w:rFonts w:cs="Arial"/>
          <w:lang w:val="en-US"/>
        </w:rPr>
        <w:t xml:space="preserve"> </w:t>
      </w:r>
      <w:r>
        <w:rPr>
          <w:rFonts w:cs="Arial"/>
          <w:lang w:val="en-US"/>
        </w:rPr>
        <w:t xml:space="preserve">Annual GDP growth rate relative to the previous period in 2018 </w:t>
      </w:r>
      <w:sdt>
        <w:sdtPr>
          <w:rPr>
            <w:rFonts w:cs="Arial"/>
            <w:lang w:val="en-US"/>
          </w:rPr>
          <w:id w:val="470251531"/>
          <w:citation/>
        </w:sdtPr>
        <w:sdtEndPr/>
        <w:sdtContent>
          <w:r>
            <w:rPr>
              <w:rFonts w:cs="Arial"/>
              <w:lang w:val="en-US"/>
            </w:rPr>
            <w:fldChar w:fldCharType="begin"/>
          </w:r>
          <w:r w:rsidRPr="00831BCA">
            <w:rPr>
              <w:rFonts w:cs="Arial"/>
              <w:lang w:val="en-US"/>
            </w:rPr>
            <w:instrText xml:space="preserve"> CITATION Wor20 \l 3079 </w:instrText>
          </w:r>
          <w:r>
            <w:rPr>
              <w:rFonts w:cs="Arial"/>
              <w:lang w:val="en-US"/>
            </w:rPr>
            <w:fldChar w:fldCharType="separate"/>
          </w:r>
          <w:r w:rsidRPr="00831BCA">
            <w:rPr>
              <w:rFonts w:cs="Arial"/>
              <w:noProof/>
              <w:lang w:val="en-US"/>
            </w:rPr>
            <w:t>(World Bank, 2020)</w:t>
          </w:r>
          <w:r>
            <w:rPr>
              <w:rFonts w:cs="Arial"/>
              <w:lang w:val="en-US"/>
            </w:rPr>
            <w:fldChar w:fldCharType="end"/>
          </w:r>
        </w:sdtContent>
      </w:sdt>
    </w:p>
  </w:footnote>
  <w:footnote w:id="4">
    <w:p w14:paraId="6156BF00" w14:textId="076628FD" w:rsidR="00126409" w:rsidRPr="002A74B2" w:rsidRDefault="00126409" w:rsidP="00481202">
      <w:pPr>
        <w:pStyle w:val="Funotentext"/>
        <w:rPr>
          <w:rFonts w:cs="Arial"/>
          <w:lang w:val="en-US"/>
        </w:rPr>
      </w:pPr>
      <w:r w:rsidRPr="00AF6D59">
        <w:rPr>
          <w:rStyle w:val="Funotenzeichen"/>
          <w:rFonts w:cs="Arial"/>
        </w:rPr>
        <w:footnoteRef/>
      </w:r>
      <w:r w:rsidRPr="002A74B2">
        <w:rPr>
          <w:rFonts w:cs="Arial"/>
          <w:lang w:val="en-US"/>
        </w:rPr>
        <w:t xml:space="preserve"> Population in Million in 2019 </w:t>
      </w:r>
      <w:sdt>
        <w:sdtPr>
          <w:rPr>
            <w:rFonts w:cs="Arial"/>
          </w:rPr>
          <w:id w:val="-674577495"/>
          <w:citation/>
        </w:sdtPr>
        <w:sdtEndPr/>
        <w:sdtContent>
          <w:r>
            <w:rPr>
              <w:rFonts w:cs="Arial"/>
            </w:rPr>
            <w:fldChar w:fldCharType="begin"/>
          </w:r>
          <w:r w:rsidRPr="002A74B2">
            <w:rPr>
              <w:rFonts w:cs="Arial"/>
              <w:lang w:val="en-US"/>
            </w:rPr>
            <w:instrText xml:space="preserve"> CITATION Cla20 \l 3079 </w:instrText>
          </w:r>
          <w:r>
            <w:rPr>
              <w:rFonts w:cs="Arial"/>
            </w:rPr>
            <w:fldChar w:fldCharType="separate"/>
          </w:r>
          <w:r w:rsidRPr="002A74B2">
            <w:rPr>
              <w:rFonts w:cs="Arial"/>
              <w:noProof/>
              <w:lang w:val="en-US"/>
            </w:rPr>
            <w:t>(Clark, 2020)</w:t>
          </w:r>
          <w:r>
            <w:rPr>
              <w:rFonts w:cs="Arial"/>
            </w:rPr>
            <w:fldChar w:fldCharType="end"/>
          </w:r>
        </w:sdtContent>
      </w:sdt>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8FF9C" w14:textId="32C3EB58" w:rsidR="00126409" w:rsidRDefault="00126409">
    <w:pPr>
      <w:pStyle w:val="Kopfzeile"/>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18535" w14:textId="70EC93EC" w:rsidR="00126409" w:rsidRPr="00E506D4" w:rsidRDefault="00126409" w:rsidP="00E506D4">
    <w:pPr>
      <w:pStyle w:val="Kopfzeile"/>
      <w:pBdr>
        <w:bottom w:val="single" w:sz="4" w:space="1" w:color="auto"/>
      </w:pBdr>
      <w:rPr>
        <w:rFonts w:ascii="Times New Roman" w:hAnsi="Times New Roman" w:cs="Times New Roman"/>
        <w:sz w:val="20"/>
        <w:szCs w:val="20"/>
        <w:lang w:val="en-US"/>
      </w:rPr>
    </w:pPr>
    <w:r w:rsidRPr="00E506D4">
      <w:rPr>
        <w:rFonts w:ascii="Times New Roman" w:hAnsi="Times New Roman" w:cs="Times New Roman"/>
        <w:sz w:val="20"/>
        <w:szCs w:val="20"/>
      </w:rPr>
      <w:tab/>
    </w:r>
    <w:r w:rsidRPr="00E506D4">
      <w:rPr>
        <w:rFonts w:ascii="Times New Roman" w:hAnsi="Times New Roman" w:cs="Times New Roman"/>
        <w:sz w:val="20"/>
        <w:szCs w:val="20"/>
        <w:lang w:val="en-US"/>
      </w:rPr>
      <w:t>Banking Charges In The Digital Age</w:t>
    </w:r>
    <w:r w:rsidRPr="00E506D4">
      <w:rPr>
        <w:rFonts w:ascii="Times New Roman" w:hAnsi="Times New Roman" w:cs="Times New Roman"/>
        <w:sz w:val="20"/>
        <w:szCs w:val="20"/>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524A0" w14:textId="3D1FC02C" w:rsidR="00126409" w:rsidRPr="002D2927" w:rsidRDefault="00126409" w:rsidP="001C1501">
    <w:pPr>
      <w:pStyle w:val="Kopfzeile"/>
      <w:pBdr>
        <w:bottom w:val="single" w:sz="4" w:space="1" w:color="auto"/>
      </w:pBdr>
      <w:rPr>
        <w:rFonts w:ascii="Times New Roman" w:hAnsi="Times New Roman" w:cs="Times New Roman"/>
        <w:sz w:val="20"/>
        <w:szCs w:val="20"/>
        <w:lang w:val="en-US"/>
      </w:rPr>
    </w:pPr>
    <w:r>
      <w:tab/>
    </w:r>
    <w:r w:rsidRPr="002D2927">
      <w:rPr>
        <w:rFonts w:ascii="Times New Roman" w:hAnsi="Times New Roman" w:cs="Times New Roman"/>
        <w:sz w:val="20"/>
        <w:szCs w:val="20"/>
        <w:lang w:val="en-US"/>
      </w:rPr>
      <w:t>Banking Charges In The Digital 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13BD1"/>
    <w:multiLevelType w:val="hybridMultilevel"/>
    <w:tmpl w:val="E0BAD0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1B84C83"/>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74965DAA"/>
    <w:multiLevelType w:val="hybridMultilevel"/>
    <w:tmpl w:val="06B21B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0DB"/>
    <w:rsid w:val="000000EF"/>
    <w:rsid w:val="00001586"/>
    <w:rsid w:val="000017E4"/>
    <w:rsid w:val="00001B12"/>
    <w:rsid w:val="000044F1"/>
    <w:rsid w:val="00005359"/>
    <w:rsid w:val="000071CD"/>
    <w:rsid w:val="0001332E"/>
    <w:rsid w:val="0001349F"/>
    <w:rsid w:val="00013B02"/>
    <w:rsid w:val="00014C41"/>
    <w:rsid w:val="0001640B"/>
    <w:rsid w:val="000167A4"/>
    <w:rsid w:val="00017B6D"/>
    <w:rsid w:val="000273CC"/>
    <w:rsid w:val="00027D0F"/>
    <w:rsid w:val="000357E4"/>
    <w:rsid w:val="000365C7"/>
    <w:rsid w:val="00037240"/>
    <w:rsid w:val="00040904"/>
    <w:rsid w:val="00040C75"/>
    <w:rsid w:val="00041569"/>
    <w:rsid w:val="0004173B"/>
    <w:rsid w:val="0004224C"/>
    <w:rsid w:val="00044E63"/>
    <w:rsid w:val="00047F86"/>
    <w:rsid w:val="0005018B"/>
    <w:rsid w:val="00056948"/>
    <w:rsid w:val="0006359C"/>
    <w:rsid w:val="00065965"/>
    <w:rsid w:val="00065C8C"/>
    <w:rsid w:val="000713B4"/>
    <w:rsid w:val="0007141A"/>
    <w:rsid w:val="00071FB0"/>
    <w:rsid w:val="00073208"/>
    <w:rsid w:val="000735DB"/>
    <w:rsid w:val="00073874"/>
    <w:rsid w:val="0007439F"/>
    <w:rsid w:val="00082FF1"/>
    <w:rsid w:val="000835D9"/>
    <w:rsid w:val="000901E2"/>
    <w:rsid w:val="00090D3A"/>
    <w:rsid w:val="000A0880"/>
    <w:rsid w:val="000C19C0"/>
    <w:rsid w:val="000C5F7D"/>
    <w:rsid w:val="000D0B7D"/>
    <w:rsid w:val="000D0D15"/>
    <w:rsid w:val="000D2FCF"/>
    <w:rsid w:val="000D4A8D"/>
    <w:rsid w:val="000D61CC"/>
    <w:rsid w:val="000D7F2A"/>
    <w:rsid w:val="000E00A8"/>
    <w:rsid w:val="000E1531"/>
    <w:rsid w:val="000E7BAC"/>
    <w:rsid w:val="000F44F6"/>
    <w:rsid w:val="00103567"/>
    <w:rsid w:val="001064CD"/>
    <w:rsid w:val="0010650D"/>
    <w:rsid w:val="0011680B"/>
    <w:rsid w:val="0012408A"/>
    <w:rsid w:val="00126409"/>
    <w:rsid w:val="0013137C"/>
    <w:rsid w:val="001313F4"/>
    <w:rsid w:val="001358AE"/>
    <w:rsid w:val="0014189E"/>
    <w:rsid w:val="00144DE1"/>
    <w:rsid w:val="00153611"/>
    <w:rsid w:val="00156155"/>
    <w:rsid w:val="001601B4"/>
    <w:rsid w:val="00160E6E"/>
    <w:rsid w:val="00166205"/>
    <w:rsid w:val="00167006"/>
    <w:rsid w:val="0017579A"/>
    <w:rsid w:val="001910D9"/>
    <w:rsid w:val="00192E6D"/>
    <w:rsid w:val="00194FCF"/>
    <w:rsid w:val="001A1F59"/>
    <w:rsid w:val="001A4312"/>
    <w:rsid w:val="001A5917"/>
    <w:rsid w:val="001A6431"/>
    <w:rsid w:val="001A7CB6"/>
    <w:rsid w:val="001B3003"/>
    <w:rsid w:val="001B353E"/>
    <w:rsid w:val="001B520D"/>
    <w:rsid w:val="001C0E74"/>
    <w:rsid w:val="001C1081"/>
    <w:rsid w:val="001C1501"/>
    <w:rsid w:val="001C196D"/>
    <w:rsid w:val="001C533D"/>
    <w:rsid w:val="001D329C"/>
    <w:rsid w:val="001D41F9"/>
    <w:rsid w:val="001D45BC"/>
    <w:rsid w:val="001E0816"/>
    <w:rsid w:val="001E0B26"/>
    <w:rsid w:val="001E205D"/>
    <w:rsid w:val="001E4A2D"/>
    <w:rsid w:val="001E4A63"/>
    <w:rsid w:val="001F091B"/>
    <w:rsid w:val="001F0984"/>
    <w:rsid w:val="001F22DE"/>
    <w:rsid w:val="001F2F22"/>
    <w:rsid w:val="001F370B"/>
    <w:rsid w:val="002039FE"/>
    <w:rsid w:val="0020439B"/>
    <w:rsid w:val="00210591"/>
    <w:rsid w:val="00211006"/>
    <w:rsid w:val="0021627B"/>
    <w:rsid w:val="00216883"/>
    <w:rsid w:val="00226A48"/>
    <w:rsid w:val="00231482"/>
    <w:rsid w:val="002316DF"/>
    <w:rsid w:val="00233503"/>
    <w:rsid w:val="002337D3"/>
    <w:rsid w:val="00233A52"/>
    <w:rsid w:val="00234CDF"/>
    <w:rsid w:val="00236E90"/>
    <w:rsid w:val="002373FE"/>
    <w:rsid w:val="00237ADD"/>
    <w:rsid w:val="00244EF1"/>
    <w:rsid w:val="00245886"/>
    <w:rsid w:val="002458EF"/>
    <w:rsid w:val="00246109"/>
    <w:rsid w:val="00246923"/>
    <w:rsid w:val="0025064E"/>
    <w:rsid w:val="002512D2"/>
    <w:rsid w:val="00251696"/>
    <w:rsid w:val="002528F7"/>
    <w:rsid w:val="00252D03"/>
    <w:rsid w:val="00254917"/>
    <w:rsid w:val="00257B9D"/>
    <w:rsid w:val="00263503"/>
    <w:rsid w:val="00270024"/>
    <w:rsid w:val="00270D00"/>
    <w:rsid w:val="002724D6"/>
    <w:rsid w:val="00272D06"/>
    <w:rsid w:val="00277F6B"/>
    <w:rsid w:val="002812EF"/>
    <w:rsid w:val="002812FC"/>
    <w:rsid w:val="00282D84"/>
    <w:rsid w:val="00283E1E"/>
    <w:rsid w:val="0028798C"/>
    <w:rsid w:val="0029134E"/>
    <w:rsid w:val="00296887"/>
    <w:rsid w:val="002A74B2"/>
    <w:rsid w:val="002B24EF"/>
    <w:rsid w:val="002C4A2E"/>
    <w:rsid w:val="002D0C6E"/>
    <w:rsid w:val="002D2927"/>
    <w:rsid w:val="002D3F8B"/>
    <w:rsid w:val="002D4D3E"/>
    <w:rsid w:val="002D4E0E"/>
    <w:rsid w:val="002D62A8"/>
    <w:rsid w:val="002D6974"/>
    <w:rsid w:val="002E00B0"/>
    <w:rsid w:val="002E3788"/>
    <w:rsid w:val="002E4028"/>
    <w:rsid w:val="002E4220"/>
    <w:rsid w:val="002E48FB"/>
    <w:rsid w:val="002E709E"/>
    <w:rsid w:val="002F5E40"/>
    <w:rsid w:val="00300C41"/>
    <w:rsid w:val="00301538"/>
    <w:rsid w:val="00301B66"/>
    <w:rsid w:val="00302940"/>
    <w:rsid w:val="00302DCC"/>
    <w:rsid w:val="00303BF2"/>
    <w:rsid w:val="00306ECF"/>
    <w:rsid w:val="003127D2"/>
    <w:rsid w:val="0032653E"/>
    <w:rsid w:val="00327A90"/>
    <w:rsid w:val="00332DDE"/>
    <w:rsid w:val="00342B92"/>
    <w:rsid w:val="0034419B"/>
    <w:rsid w:val="00352599"/>
    <w:rsid w:val="00353C91"/>
    <w:rsid w:val="00356313"/>
    <w:rsid w:val="003575EE"/>
    <w:rsid w:val="00361615"/>
    <w:rsid w:val="00361994"/>
    <w:rsid w:val="003619F8"/>
    <w:rsid w:val="00364C4F"/>
    <w:rsid w:val="0036588B"/>
    <w:rsid w:val="00376A38"/>
    <w:rsid w:val="00380F7C"/>
    <w:rsid w:val="00381EF3"/>
    <w:rsid w:val="00382137"/>
    <w:rsid w:val="0038343F"/>
    <w:rsid w:val="00383717"/>
    <w:rsid w:val="0038632B"/>
    <w:rsid w:val="0038772F"/>
    <w:rsid w:val="00392501"/>
    <w:rsid w:val="00393951"/>
    <w:rsid w:val="0039546A"/>
    <w:rsid w:val="003A6AC4"/>
    <w:rsid w:val="003B387A"/>
    <w:rsid w:val="003B4AA8"/>
    <w:rsid w:val="003B5AC6"/>
    <w:rsid w:val="003C4053"/>
    <w:rsid w:val="003C5C5A"/>
    <w:rsid w:val="003C7822"/>
    <w:rsid w:val="003D05CE"/>
    <w:rsid w:val="003D355B"/>
    <w:rsid w:val="003D4041"/>
    <w:rsid w:val="003D5B47"/>
    <w:rsid w:val="003D62B7"/>
    <w:rsid w:val="003D7932"/>
    <w:rsid w:val="003E2219"/>
    <w:rsid w:val="003E360A"/>
    <w:rsid w:val="003E78DC"/>
    <w:rsid w:val="003E7E45"/>
    <w:rsid w:val="003F18AA"/>
    <w:rsid w:val="003F3983"/>
    <w:rsid w:val="003F3FB8"/>
    <w:rsid w:val="003F4DB0"/>
    <w:rsid w:val="00405ACE"/>
    <w:rsid w:val="00406D90"/>
    <w:rsid w:val="00410E28"/>
    <w:rsid w:val="00412C21"/>
    <w:rsid w:val="00413EE9"/>
    <w:rsid w:val="00414168"/>
    <w:rsid w:val="00416B41"/>
    <w:rsid w:val="00417350"/>
    <w:rsid w:val="00417CD5"/>
    <w:rsid w:val="00420AF0"/>
    <w:rsid w:val="004252C2"/>
    <w:rsid w:val="00425FFA"/>
    <w:rsid w:val="0043219B"/>
    <w:rsid w:val="00436F46"/>
    <w:rsid w:val="00437A2F"/>
    <w:rsid w:val="00452B1C"/>
    <w:rsid w:val="0045585B"/>
    <w:rsid w:val="00457B70"/>
    <w:rsid w:val="00460034"/>
    <w:rsid w:val="004608CD"/>
    <w:rsid w:val="00464F5A"/>
    <w:rsid w:val="00475561"/>
    <w:rsid w:val="004775F3"/>
    <w:rsid w:val="00481202"/>
    <w:rsid w:val="004819BC"/>
    <w:rsid w:val="00490670"/>
    <w:rsid w:val="00491A5B"/>
    <w:rsid w:val="004929B2"/>
    <w:rsid w:val="00493F08"/>
    <w:rsid w:val="004960BD"/>
    <w:rsid w:val="00497206"/>
    <w:rsid w:val="004A0BC3"/>
    <w:rsid w:val="004A0E26"/>
    <w:rsid w:val="004A7873"/>
    <w:rsid w:val="004B0FA4"/>
    <w:rsid w:val="004B1881"/>
    <w:rsid w:val="004B4DB1"/>
    <w:rsid w:val="004B6BDE"/>
    <w:rsid w:val="004C0C1A"/>
    <w:rsid w:val="004C175D"/>
    <w:rsid w:val="004C5EC2"/>
    <w:rsid w:val="004C77A2"/>
    <w:rsid w:val="004C783A"/>
    <w:rsid w:val="004C7E5C"/>
    <w:rsid w:val="004D74A5"/>
    <w:rsid w:val="004D7D04"/>
    <w:rsid w:val="004E1C2F"/>
    <w:rsid w:val="004F0DE4"/>
    <w:rsid w:val="004F3B8D"/>
    <w:rsid w:val="004F43CD"/>
    <w:rsid w:val="00500315"/>
    <w:rsid w:val="00505621"/>
    <w:rsid w:val="005148C5"/>
    <w:rsid w:val="00516B60"/>
    <w:rsid w:val="0052579C"/>
    <w:rsid w:val="0052692C"/>
    <w:rsid w:val="00527239"/>
    <w:rsid w:val="00531204"/>
    <w:rsid w:val="00542EC4"/>
    <w:rsid w:val="00550759"/>
    <w:rsid w:val="0055597A"/>
    <w:rsid w:val="0056025F"/>
    <w:rsid w:val="00562F4C"/>
    <w:rsid w:val="005631A1"/>
    <w:rsid w:val="005650EC"/>
    <w:rsid w:val="00565D53"/>
    <w:rsid w:val="00570F0D"/>
    <w:rsid w:val="00582C40"/>
    <w:rsid w:val="00583E4F"/>
    <w:rsid w:val="00584503"/>
    <w:rsid w:val="00591099"/>
    <w:rsid w:val="0059257D"/>
    <w:rsid w:val="00594A52"/>
    <w:rsid w:val="00594A89"/>
    <w:rsid w:val="00594AFA"/>
    <w:rsid w:val="00596126"/>
    <w:rsid w:val="005972E3"/>
    <w:rsid w:val="005A39E2"/>
    <w:rsid w:val="005A5C98"/>
    <w:rsid w:val="005A5D5A"/>
    <w:rsid w:val="005A72CF"/>
    <w:rsid w:val="005B1B7D"/>
    <w:rsid w:val="005B50A8"/>
    <w:rsid w:val="005B5207"/>
    <w:rsid w:val="005B68CE"/>
    <w:rsid w:val="005C0D4C"/>
    <w:rsid w:val="005C31B9"/>
    <w:rsid w:val="005C5BCE"/>
    <w:rsid w:val="005C720C"/>
    <w:rsid w:val="005C72AF"/>
    <w:rsid w:val="005C77A8"/>
    <w:rsid w:val="005D4670"/>
    <w:rsid w:val="005D52AB"/>
    <w:rsid w:val="005D7B2C"/>
    <w:rsid w:val="005D7DC3"/>
    <w:rsid w:val="005E1583"/>
    <w:rsid w:val="005E2FE9"/>
    <w:rsid w:val="005E4D8A"/>
    <w:rsid w:val="005E6488"/>
    <w:rsid w:val="005E74E5"/>
    <w:rsid w:val="005E7706"/>
    <w:rsid w:val="005E797C"/>
    <w:rsid w:val="005F0D7E"/>
    <w:rsid w:val="005F338B"/>
    <w:rsid w:val="005F37F9"/>
    <w:rsid w:val="005F4391"/>
    <w:rsid w:val="005F5EBC"/>
    <w:rsid w:val="005F6822"/>
    <w:rsid w:val="00602943"/>
    <w:rsid w:val="006054AF"/>
    <w:rsid w:val="006059B8"/>
    <w:rsid w:val="00607B74"/>
    <w:rsid w:val="00607C99"/>
    <w:rsid w:val="006105AA"/>
    <w:rsid w:val="006151B7"/>
    <w:rsid w:val="0061679C"/>
    <w:rsid w:val="00621CAB"/>
    <w:rsid w:val="00624416"/>
    <w:rsid w:val="00624DD7"/>
    <w:rsid w:val="006279DC"/>
    <w:rsid w:val="00627CBE"/>
    <w:rsid w:val="00634FC3"/>
    <w:rsid w:val="00642088"/>
    <w:rsid w:val="0064286E"/>
    <w:rsid w:val="00643992"/>
    <w:rsid w:val="0065071A"/>
    <w:rsid w:val="00654694"/>
    <w:rsid w:val="0065679B"/>
    <w:rsid w:val="00657A38"/>
    <w:rsid w:val="00666A70"/>
    <w:rsid w:val="00672FD1"/>
    <w:rsid w:val="00681ACD"/>
    <w:rsid w:val="00685C58"/>
    <w:rsid w:val="00693DC4"/>
    <w:rsid w:val="006945BF"/>
    <w:rsid w:val="00694DA1"/>
    <w:rsid w:val="00697AF8"/>
    <w:rsid w:val="006A0246"/>
    <w:rsid w:val="006A3115"/>
    <w:rsid w:val="006A6234"/>
    <w:rsid w:val="006A799A"/>
    <w:rsid w:val="006B10C7"/>
    <w:rsid w:val="006B5E84"/>
    <w:rsid w:val="006B6F57"/>
    <w:rsid w:val="006B7801"/>
    <w:rsid w:val="006C0F11"/>
    <w:rsid w:val="006C3C02"/>
    <w:rsid w:val="006C58DA"/>
    <w:rsid w:val="006C7AA2"/>
    <w:rsid w:val="006D21A2"/>
    <w:rsid w:val="006D21EB"/>
    <w:rsid w:val="006D255E"/>
    <w:rsid w:val="006D6965"/>
    <w:rsid w:val="006E2CF3"/>
    <w:rsid w:val="006E3737"/>
    <w:rsid w:val="006E4553"/>
    <w:rsid w:val="006E4866"/>
    <w:rsid w:val="006F315A"/>
    <w:rsid w:val="006F4CBB"/>
    <w:rsid w:val="006F7B90"/>
    <w:rsid w:val="00700047"/>
    <w:rsid w:val="007044EF"/>
    <w:rsid w:val="00707715"/>
    <w:rsid w:val="007116D6"/>
    <w:rsid w:val="00712AF5"/>
    <w:rsid w:val="00715EC0"/>
    <w:rsid w:val="00716510"/>
    <w:rsid w:val="007167A4"/>
    <w:rsid w:val="00717721"/>
    <w:rsid w:val="00721CB2"/>
    <w:rsid w:val="00722157"/>
    <w:rsid w:val="007221B1"/>
    <w:rsid w:val="00722B09"/>
    <w:rsid w:val="007307CC"/>
    <w:rsid w:val="00737F4D"/>
    <w:rsid w:val="007419C0"/>
    <w:rsid w:val="00747128"/>
    <w:rsid w:val="007475A7"/>
    <w:rsid w:val="00751016"/>
    <w:rsid w:val="0075141F"/>
    <w:rsid w:val="00751C55"/>
    <w:rsid w:val="00751EF5"/>
    <w:rsid w:val="0075717F"/>
    <w:rsid w:val="0076109A"/>
    <w:rsid w:val="00762419"/>
    <w:rsid w:val="007627B9"/>
    <w:rsid w:val="00762F7C"/>
    <w:rsid w:val="007631FA"/>
    <w:rsid w:val="007632F1"/>
    <w:rsid w:val="00764BB9"/>
    <w:rsid w:val="00776422"/>
    <w:rsid w:val="00780D1A"/>
    <w:rsid w:val="007821B0"/>
    <w:rsid w:val="00787AAF"/>
    <w:rsid w:val="00794EBC"/>
    <w:rsid w:val="00796F20"/>
    <w:rsid w:val="007A1340"/>
    <w:rsid w:val="007A14D1"/>
    <w:rsid w:val="007A24A7"/>
    <w:rsid w:val="007A5A05"/>
    <w:rsid w:val="007B0A96"/>
    <w:rsid w:val="007B20DC"/>
    <w:rsid w:val="007B26D5"/>
    <w:rsid w:val="007B4A6B"/>
    <w:rsid w:val="007B5BAB"/>
    <w:rsid w:val="007B5E28"/>
    <w:rsid w:val="007B7006"/>
    <w:rsid w:val="007C0089"/>
    <w:rsid w:val="007C2D02"/>
    <w:rsid w:val="007C6673"/>
    <w:rsid w:val="007D0696"/>
    <w:rsid w:val="007D47BE"/>
    <w:rsid w:val="007D5EBA"/>
    <w:rsid w:val="007D7DB8"/>
    <w:rsid w:val="007E3848"/>
    <w:rsid w:val="007E445F"/>
    <w:rsid w:val="007E752D"/>
    <w:rsid w:val="007F1FF7"/>
    <w:rsid w:val="00801676"/>
    <w:rsid w:val="00802639"/>
    <w:rsid w:val="00804371"/>
    <w:rsid w:val="00806215"/>
    <w:rsid w:val="00807C49"/>
    <w:rsid w:val="00814EA0"/>
    <w:rsid w:val="00816101"/>
    <w:rsid w:val="008174DD"/>
    <w:rsid w:val="00817E13"/>
    <w:rsid w:val="0082216D"/>
    <w:rsid w:val="00823728"/>
    <w:rsid w:val="00823F18"/>
    <w:rsid w:val="00830A64"/>
    <w:rsid w:val="008319EA"/>
    <w:rsid w:val="00831BCA"/>
    <w:rsid w:val="00833562"/>
    <w:rsid w:val="008362BC"/>
    <w:rsid w:val="00837AA1"/>
    <w:rsid w:val="00842F5F"/>
    <w:rsid w:val="00850569"/>
    <w:rsid w:val="008518C7"/>
    <w:rsid w:val="00855EB0"/>
    <w:rsid w:val="00857B29"/>
    <w:rsid w:val="00864586"/>
    <w:rsid w:val="0087002A"/>
    <w:rsid w:val="00873B59"/>
    <w:rsid w:val="00873C72"/>
    <w:rsid w:val="00874B39"/>
    <w:rsid w:val="008830A3"/>
    <w:rsid w:val="00883184"/>
    <w:rsid w:val="00884FF7"/>
    <w:rsid w:val="00886A0D"/>
    <w:rsid w:val="00890DFA"/>
    <w:rsid w:val="00891BC3"/>
    <w:rsid w:val="008A00D1"/>
    <w:rsid w:val="008A2787"/>
    <w:rsid w:val="008A526D"/>
    <w:rsid w:val="008A52EB"/>
    <w:rsid w:val="008A6E00"/>
    <w:rsid w:val="008B118F"/>
    <w:rsid w:val="008C31E8"/>
    <w:rsid w:val="008C37E7"/>
    <w:rsid w:val="008C44EF"/>
    <w:rsid w:val="008C5478"/>
    <w:rsid w:val="008C69A1"/>
    <w:rsid w:val="008D0436"/>
    <w:rsid w:val="008D04DD"/>
    <w:rsid w:val="008D1C66"/>
    <w:rsid w:val="008D2B4D"/>
    <w:rsid w:val="008D3456"/>
    <w:rsid w:val="008D6207"/>
    <w:rsid w:val="008D7264"/>
    <w:rsid w:val="008E0897"/>
    <w:rsid w:val="008E36C8"/>
    <w:rsid w:val="008F04B2"/>
    <w:rsid w:val="008F1F93"/>
    <w:rsid w:val="008F230A"/>
    <w:rsid w:val="008F3F9A"/>
    <w:rsid w:val="008F597F"/>
    <w:rsid w:val="00902DB7"/>
    <w:rsid w:val="00911337"/>
    <w:rsid w:val="009125EF"/>
    <w:rsid w:val="009125F8"/>
    <w:rsid w:val="0091325A"/>
    <w:rsid w:val="009168B6"/>
    <w:rsid w:val="00921C5C"/>
    <w:rsid w:val="009229D9"/>
    <w:rsid w:val="009237B9"/>
    <w:rsid w:val="0093080B"/>
    <w:rsid w:val="00930988"/>
    <w:rsid w:val="00930B53"/>
    <w:rsid w:val="00931C36"/>
    <w:rsid w:val="009411E6"/>
    <w:rsid w:val="009413BF"/>
    <w:rsid w:val="00941D64"/>
    <w:rsid w:val="0094638D"/>
    <w:rsid w:val="00947A07"/>
    <w:rsid w:val="009515D2"/>
    <w:rsid w:val="00955A12"/>
    <w:rsid w:val="00955BCD"/>
    <w:rsid w:val="00956881"/>
    <w:rsid w:val="00961992"/>
    <w:rsid w:val="009653FB"/>
    <w:rsid w:val="009719DD"/>
    <w:rsid w:val="009734B9"/>
    <w:rsid w:val="00982FB5"/>
    <w:rsid w:val="00983FDB"/>
    <w:rsid w:val="0099178A"/>
    <w:rsid w:val="00991FBA"/>
    <w:rsid w:val="00992499"/>
    <w:rsid w:val="009930AB"/>
    <w:rsid w:val="00993284"/>
    <w:rsid w:val="0099572D"/>
    <w:rsid w:val="00996895"/>
    <w:rsid w:val="00997A78"/>
    <w:rsid w:val="009A1AAC"/>
    <w:rsid w:val="009A4AED"/>
    <w:rsid w:val="009B0427"/>
    <w:rsid w:val="009B2F74"/>
    <w:rsid w:val="009B3DEC"/>
    <w:rsid w:val="009B4C6E"/>
    <w:rsid w:val="009B5227"/>
    <w:rsid w:val="009B6444"/>
    <w:rsid w:val="009B66B4"/>
    <w:rsid w:val="009B6ACA"/>
    <w:rsid w:val="009B7B4D"/>
    <w:rsid w:val="009C2F9C"/>
    <w:rsid w:val="009C3372"/>
    <w:rsid w:val="009C3FFA"/>
    <w:rsid w:val="009C608A"/>
    <w:rsid w:val="009D0C39"/>
    <w:rsid w:val="009D4F79"/>
    <w:rsid w:val="009D77DC"/>
    <w:rsid w:val="009E2343"/>
    <w:rsid w:val="009E2EBC"/>
    <w:rsid w:val="009E3B68"/>
    <w:rsid w:val="009E71A1"/>
    <w:rsid w:val="009E7DAB"/>
    <w:rsid w:val="009F0C55"/>
    <w:rsid w:val="009F0CA1"/>
    <w:rsid w:val="009F15B2"/>
    <w:rsid w:val="009F284E"/>
    <w:rsid w:val="009F4291"/>
    <w:rsid w:val="009F70D7"/>
    <w:rsid w:val="00A04987"/>
    <w:rsid w:val="00A05B09"/>
    <w:rsid w:val="00A05E24"/>
    <w:rsid w:val="00A10A5B"/>
    <w:rsid w:val="00A115E5"/>
    <w:rsid w:val="00A1222E"/>
    <w:rsid w:val="00A23C9F"/>
    <w:rsid w:val="00A255FD"/>
    <w:rsid w:val="00A26F58"/>
    <w:rsid w:val="00A311D4"/>
    <w:rsid w:val="00A330B3"/>
    <w:rsid w:val="00A33AF6"/>
    <w:rsid w:val="00A33D90"/>
    <w:rsid w:val="00A410FF"/>
    <w:rsid w:val="00A43AB1"/>
    <w:rsid w:val="00A44176"/>
    <w:rsid w:val="00A4768D"/>
    <w:rsid w:val="00A5229B"/>
    <w:rsid w:val="00A540E6"/>
    <w:rsid w:val="00A55749"/>
    <w:rsid w:val="00A57040"/>
    <w:rsid w:val="00A613B5"/>
    <w:rsid w:val="00A6382A"/>
    <w:rsid w:val="00A6658E"/>
    <w:rsid w:val="00A6687E"/>
    <w:rsid w:val="00A67A9B"/>
    <w:rsid w:val="00A74D65"/>
    <w:rsid w:val="00A84E9C"/>
    <w:rsid w:val="00A85314"/>
    <w:rsid w:val="00A85E2E"/>
    <w:rsid w:val="00A85F77"/>
    <w:rsid w:val="00A87005"/>
    <w:rsid w:val="00A902C6"/>
    <w:rsid w:val="00A90320"/>
    <w:rsid w:val="00A913DA"/>
    <w:rsid w:val="00A9539D"/>
    <w:rsid w:val="00AA100B"/>
    <w:rsid w:val="00AA3F20"/>
    <w:rsid w:val="00AB2BA6"/>
    <w:rsid w:val="00AB2C84"/>
    <w:rsid w:val="00AB457A"/>
    <w:rsid w:val="00AB4FF4"/>
    <w:rsid w:val="00AB535D"/>
    <w:rsid w:val="00AB5FB7"/>
    <w:rsid w:val="00AB6D57"/>
    <w:rsid w:val="00AB7717"/>
    <w:rsid w:val="00AB7C99"/>
    <w:rsid w:val="00AC0307"/>
    <w:rsid w:val="00AC1657"/>
    <w:rsid w:val="00AC2111"/>
    <w:rsid w:val="00AC332B"/>
    <w:rsid w:val="00AC3391"/>
    <w:rsid w:val="00AC5FF7"/>
    <w:rsid w:val="00AD1419"/>
    <w:rsid w:val="00AD1C10"/>
    <w:rsid w:val="00AD37EC"/>
    <w:rsid w:val="00AD4F3F"/>
    <w:rsid w:val="00AE271C"/>
    <w:rsid w:val="00AE2AD3"/>
    <w:rsid w:val="00AF5F52"/>
    <w:rsid w:val="00B00E55"/>
    <w:rsid w:val="00B01F83"/>
    <w:rsid w:val="00B027B4"/>
    <w:rsid w:val="00B1075F"/>
    <w:rsid w:val="00B116B1"/>
    <w:rsid w:val="00B13BCE"/>
    <w:rsid w:val="00B2555E"/>
    <w:rsid w:val="00B2762F"/>
    <w:rsid w:val="00B32A7A"/>
    <w:rsid w:val="00B3424B"/>
    <w:rsid w:val="00B3769C"/>
    <w:rsid w:val="00B4084C"/>
    <w:rsid w:val="00B42ED2"/>
    <w:rsid w:val="00B440DE"/>
    <w:rsid w:val="00B46D11"/>
    <w:rsid w:val="00B532A6"/>
    <w:rsid w:val="00B545B5"/>
    <w:rsid w:val="00B546D5"/>
    <w:rsid w:val="00B54840"/>
    <w:rsid w:val="00B555D8"/>
    <w:rsid w:val="00B579B7"/>
    <w:rsid w:val="00B7013B"/>
    <w:rsid w:val="00B74DB6"/>
    <w:rsid w:val="00B75C93"/>
    <w:rsid w:val="00B76BEC"/>
    <w:rsid w:val="00B84CE4"/>
    <w:rsid w:val="00B84FD4"/>
    <w:rsid w:val="00B9007D"/>
    <w:rsid w:val="00B90E95"/>
    <w:rsid w:val="00B91219"/>
    <w:rsid w:val="00B91930"/>
    <w:rsid w:val="00B91A3D"/>
    <w:rsid w:val="00B91FE3"/>
    <w:rsid w:val="00B929B0"/>
    <w:rsid w:val="00B94D0F"/>
    <w:rsid w:val="00B954EC"/>
    <w:rsid w:val="00BA2088"/>
    <w:rsid w:val="00BB003D"/>
    <w:rsid w:val="00BB14DC"/>
    <w:rsid w:val="00BB2311"/>
    <w:rsid w:val="00BB5C5F"/>
    <w:rsid w:val="00BB7319"/>
    <w:rsid w:val="00BC2218"/>
    <w:rsid w:val="00BC330F"/>
    <w:rsid w:val="00BC4E31"/>
    <w:rsid w:val="00BC59AF"/>
    <w:rsid w:val="00BC7235"/>
    <w:rsid w:val="00BD1AEF"/>
    <w:rsid w:val="00BD1E54"/>
    <w:rsid w:val="00BE0113"/>
    <w:rsid w:val="00BE2243"/>
    <w:rsid w:val="00BE4577"/>
    <w:rsid w:val="00BF63F3"/>
    <w:rsid w:val="00C04D4C"/>
    <w:rsid w:val="00C16081"/>
    <w:rsid w:val="00C1619C"/>
    <w:rsid w:val="00C22359"/>
    <w:rsid w:val="00C316C6"/>
    <w:rsid w:val="00C31804"/>
    <w:rsid w:val="00C339A1"/>
    <w:rsid w:val="00C42A46"/>
    <w:rsid w:val="00C50A80"/>
    <w:rsid w:val="00C52E5E"/>
    <w:rsid w:val="00C55438"/>
    <w:rsid w:val="00C64B09"/>
    <w:rsid w:val="00C67440"/>
    <w:rsid w:val="00C70536"/>
    <w:rsid w:val="00C72877"/>
    <w:rsid w:val="00C72AF7"/>
    <w:rsid w:val="00C80CD9"/>
    <w:rsid w:val="00C84783"/>
    <w:rsid w:val="00C847A7"/>
    <w:rsid w:val="00C85A30"/>
    <w:rsid w:val="00C902BE"/>
    <w:rsid w:val="00C93E28"/>
    <w:rsid w:val="00C956C1"/>
    <w:rsid w:val="00C95A18"/>
    <w:rsid w:val="00C9641C"/>
    <w:rsid w:val="00CA0D2E"/>
    <w:rsid w:val="00CA4BC7"/>
    <w:rsid w:val="00CA56D7"/>
    <w:rsid w:val="00CA6E02"/>
    <w:rsid w:val="00CB082C"/>
    <w:rsid w:val="00CB1007"/>
    <w:rsid w:val="00CB3554"/>
    <w:rsid w:val="00CB3ABF"/>
    <w:rsid w:val="00CB4748"/>
    <w:rsid w:val="00CC047D"/>
    <w:rsid w:val="00CC37E1"/>
    <w:rsid w:val="00CC507C"/>
    <w:rsid w:val="00CD6BF9"/>
    <w:rsid w:val="00CE0907"/>
    <w:rsid w:val="00CE2293"/>
    <w:rsid w:val="00CE5D37"/>
    <w:rsid w:val="00CF198E"/>
    <w:rsid w:val="00CF1E51"/>
    <w:rsid w:val="00D00534"/>
    <w:rsid w:val="00D0554F"/>
    <w:rsid w:val="00D05851"/>
    <w:rsid w:val="00D114E9"/>
    <w:rsid w:val="00D117E1"/>
    <w:rsid w:val="00D14581"/>
    <w:rsid w:val="00D14C58"/>
    <w:rsid w:val="00D175D4"/>
    <w:rsid w:val="00D17867"/>
    <w:rsid w:val="00D21ECD"/>
    <w:rsid w:val="00D22CB2"/>
    <w:rsid w:val="00D23074"/>
    <w:rsid w:val="00D2430A"/>
    <w:rsid w:val="00D2724A"/>
    <w:rsid w:val="00D309DD"/>
    <w:rsid w:val="00D32C5E"/>
    <w:rsid w:val="00D346C3"/>
    <w:rsid w:val="00D34920"/>
    <w:rsid w:val="00D34938"/>
    <w:rsid w:val="00D34CD7"/>
    <w:rsid w:val="00D448FE"/>
    <w:rsid w:val="00D64B86"/>
    <w:rsid w:val="00D65EB0"/>
    <w:rsid w:val="00D66C75"/>
    <w:rsid w:val="00D67451"/>
    <w:rsid w:val="00D67BFA"/>
    <w:rsid w:val="00D7055E"/>
    <w:rsid w:val="00D71499"/>
    <w:rsid w:val="00D7189A"/>
    <w:rsid w:val="00D73C6D"/>
    <w:rsid w:val="00D75AB6"/>
    <w:rsid w:val="00D75F68"/>
    <w:rsid w:val="00D77AE7"/>
    <w:rsid w:val="00D77B00"/>
    <w:rsid w:val="00D8077B"/>
    <w:rsid w:val="00D836EF"/>
    <w:rsid w:val="00D84B94"/>
    <w:rsid w:val="00D85618"/>
    <w:rsid w:val="00D94D02"/>
    <w:rsid w:val="00D9635F"/>
    <w:rsid w:val="00D9731C"/>
    <w:rsid w:val="00DA179C"/>
    <w:rsid w:val="00DA4548"/>
    <w:rsid w:val="00DA6622"/>
    <w:rsid w:val="00DB1C46"/>
    <w:rsid w:val="00DB4DCE"/>
    <w:rsid w:val="00DB683C"/>
    <w:rsid w:val="00DC6FB3"/>
    <w:rsid w:val="00DD08A4"/>
    <w:rsid w:val="00DD1535"/>
    <w:rsid w:val="00DD1B3E"/>
    <w:rsid w:val="00DD69D9"/>
    <w:rsid w:val="00DE4440"/>
    <w:rsid w:val="00DE508F"/>
    <w:rsid w:val="00DE5322"/>
    <w:rsid w:val="00DF3343"/>
    <w:rsid w:val="00DF78B3"/>
    <w:rsid w:val="00E019BF"/>
    <w:rsid w:val="00E01E3C"/>
    <w:rsid w:val="00E04C55"/>
    <w:rsid w:val="00E10452"/>
    <w:rsid w:val="00E107DC"/>
    <w:rsid w:val="00E13755"/>
    <w:rsid w:val="00E139C7"/>
    <w:rsid w:val="00E14620"/>
    <w:rsid w:val="00E17C39"/>
    <w:rsid w:val="00E200F5"/>
    <w:rsid w:val="00E21146"/>
    <w:rsid w:val="00E31CB3"/>
    <w:rsid w:val="00E3280C"/>
    <w:rsid w:val="00E35BD1"/>
    <w:rsid w:val="00E43650"/>
    <w:rsid w:val="00E43CEE"/>
    <w:rsid w:val="00E4772F"/>
    <w:rsid w:val="00E506D4"/>
    <w:rsid w:val="00E50A42"/>
    <w:rsid w:val="00E50D88"/>
    <w:rsid w:val="00E517EA"/>
    <w:rsid w:val="00E533B2"/>
    <w:rsid w:val="00E54E79"/>
    <w:rsid w:val="00E60F7E"/>
    <w:rsid w:val="00E61199"/>
    <w:rsid w:val="00E644EE"/>
    <w:rsid w:val="00E64CEF"/>
    <w:rsid w:val="00E67F73"/>
    <w:rsid w:val="00E73360"/>
    <w:rsid w:val="00E74203"/>
    <w:rsid w:val="00E758DE"/>
    <w:rsid w:val="00E87BC3"/>
    <w:rsid w:val="00E9264E"/>
    <w:rsid w:val="00E93472"/>
    <w:rsid w:val="00E94980"/>
    <w:rsid w:val="00E95D7E"/>
    <w:rsid w:val="00E96BE2"/>
    <w:rsid w:val="00EA067D"/>
    <w:rsid w:val="00EA34C4"/>
    <w:rsid w:val="00EA51C0"/>
    <w:rsid w:val="00EA528A"/>
    <w:rsid w:val="00EB2840"/>
    <w:rsid w:val="00EB3700"/>
    <w:rsid w:val="00EB4DD6"/>
    <w:rsid w:val="00EC28A3"/>
    <w:rsid w:val="00EC4BA6"/>
    <w:rsid w:val="00ED3616"/>
    <w:rsid w:val="00ED4C9D"/>
    <w:rsid w:val="00ED5149"/>
    <w:rsid w:val="00ED5E67"/>
    <w:rsid w:val="00EF1085"/>
    <w:rsid w:val="00EF3E2A"/>
    <w:rsid w:val="00EF5AE7"/>
    <w:rsid w:val="00EF6471"/>
    <w:rsid w:val="00F005E5"/>
    <w:rsid w:val="00F0175B"/>
    <w:rsid w:val="00F03902"/>
    <w:rsid w:val="00F162A6"/>
    <w:rsid w:val="00F20495"/>
    <w:rsid w:val="00F206B2"/>
    <w:rsid w:val="00F21456"/>
    <w:rsid w:val="00F22314"/>
    <w:rsid w:val="00F22A97"/>
    <w:rsid w:val="00F3022D"/>
    <w:rsid w:val="00F30AE7"/>
    <w:rsid w:val="00F34CD3"/>
    <w:rsid w:val="00F3654F"/>
    <w:rsid w:val="00F441AD"/>
    <w:rsid w:val="00F452E4"/>
    <w:rsid w:val="00F6026A"/>
    <w:rsid w:val="00F611D9"/>
    <w:rsid w:val="00F63695"/>
    <w:rsid w:val="00F638E6"/>
    <w:rsid w:val="00F666E4"/>
    <w:rsid w:val="00F66C7A"/>
    <w:rsid w:val="00F733E5"/>
    <w:rsid w:val="00F7719C"/>
    <w:rsid w:val="00F77336"/>
    <w:rsid w:val="00F7772D"/>
    <w:rsid w:val="00F81297"/>
    <w:rsid w:val="00F8184F"/>
    <w:rsid w:val="00F861CE"/>
    <w:rsid w:val="00F86B0A"/>
    <w:rsid w:val="00F873B9"/>
    <w:rsid w:val="00F87E37"/>
    <w:rsid w:val="00F917D2"/>
    <w:rsid w:val="00F9386D"/>
    <w:rsid w:val="00F94A6C"/>
    <w:rsid w:val="00F96DAE"/>
    <w:rsid w:val="00FA17D7"/>
    <w:rsid w:val="00FA78A7"/>
    <w:rsid w:val="00FB314C"/>
    <w:rsid w:val="00FB3CE8"/>
    <w:rsid w:val="00FB58FC"/>
    <w:rsid w:val="00FC4A0A"/>
    <w:rsid w:val="00FC72B1"/>
    <w:rsid w:val="00FD1262"/>
    <w:rsid w:val="00FD5F75"/>
    <w:rsid w:val="00FE0064"/>
    <w:rsid w:val="00FE10A6"/>
    <w:rsid w:val="00FE36AE"/>
    <w:rsid w:val="00FE6355"/>
    <w:rsid w:val="00FE74B1"/>
    <w:rsid w:val="00FF0E33"/>
    <w:rsid w:val="00FF2E4B"/>
    <w:rsid w:val="00FF3857"/>
    <w:rsid w:val="00FF40D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34B3A"/>
  <w15:chartTrackingRefBased/>
  <w15:docId w15:val="{902540DE-EDA8-477C-A5A0-4620833B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0D7E"/>
    <w:pPr>
      <w:jc w:val="both"/>
    </w:pPr>
    <w:rPr>
      <w:rFonts w:ascii="Arial" w:hAnsi="Arial"/>
    </w:rPr>
  </w:style>
  <w:style w:type="paragraph" w:styleId="berschrift1">
    <w:name w:val="heading 1"/>
    <w:basedOn w:val="Standard"/>
    <w:next w:val="Standard"/>
    <w:link w:val="berschrift1Zchn"/>
    <w:uiPriority w:val="9"/>
    <w:qFormat/>
    <w:rsid w:val="00481202"/>
    <w:pPr>
      <w:keepNext/>
      <w:keepLines/>
      <w:numPr>
        <w:numId w:val="3"/>
      </w:numPr>
      <w:spacing w:before="240" w:after="120"/>
      <w:outlineLvl w:val="0"/>
    </w:pPr>
    <w:rPr>
      <w:rFonts w:ascii="Times New Roman" w:eastAsiaTheme="majorEastAsia" w:hAnsi="Times New Roman" w:cstheme="majorBidi"/>
      <w:b/>
      <w:sz w:val="32"/>
      <w:szCs w:val="32"/>
    </w:rPr>
  </w:style>
  <w:style w:type="paragraph" w:styleId="berschrift2">
    <w:name w:val="heading 2"/>
    <w:basedOn w:val="Standard"/>
    <w:next w:val="Standard"/>
    <w:link w:val="berschrift2Zchn"/>
    <w:uiPriority w:val="9"/>
    <w:unhideWhenUsed/>
    <w:qFormat/>
    <w:rsid w:val="006C58DA"/>
    <w:pPr>
      <w:keepNext/>
      <w:keepLines/>
      <w:numPr>
        <w:ilvl w:val="1"/>
        <w:numId w:val="3"/>
      </w:numPr>
      <w:spacing w:after="120"/>
      <w:ind w:left="862" w:hanging="578"/>
      <w:outlineLvl w:val="1"/>
    </w:pPr>
    <w:rPr>
      <w:rFonts w:ascii="Times New Roman" w:eastAsiaTheme="majorEastAsia" w:hAnsi="Times New Roman" w:cstheme="majorBidi"/>
      <w:b/>
      <w:sz w:val="26"/>
      <w:szCs w:val="26"/>
    </w:rPr>
  </w:style>
  <w:style w:type="paragraph" w:styleId="berschrift3">
    <w:name w:val="heading 3"/>
    <w:basedOn w:val="Standard"/>
    <w:next w:val="Standard"/>
    <w:link w:val="berschrift3Zchn"/>
    <w:uiPriority w:val="9"/>
    <w:unhideWhenUsed/>
    <w:qFormat/>
    <w:rsid w:val="009E71A1"/>
    <w:pPr>
      <w:keepNext/>
      <w:keepLines/>
      <w:numPr>
        <w:ilvl w:val="2"/>
        <w:numId w:val="3"/>
      </w:numPr>
      <w:spacing w:after="120"/>
      <w:ind w:left="1287"/>
      <w:outlineLvl w:val="2"/>
    </w:pPr>
    <w:rPr>
      <w:rFonts w:ascii="Times New Roman" w:eastAsiaTheme="majorEastAsia" w:hAnsi="Times New Roman" w:cstheme="majorBidi"/>
      <w:sz w:val="24"/>
      <w:szCs w:val="24"/>
    </w:rPr>
  </w:style>
  <w:style w:type="paragraph" w:styleId="berschrift4">
    <w:name w:val="heading 4"/>
    <w:basedOn w:val="Standard"/>
    <w:next w:val="Standard"/>
    <w:link w:val="berschrift4Zchn"/>
    <w:uiPriority w:val="9"/>
    <w:semiHidden/>
    <w:unhideWhenUsed/>
    <w:qFormat/>
    <w:rsid w:val="00481202"/>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481202"/>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481202"/>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481202"/>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481202"/>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481202"/>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24DD7"/>
    <w:pPr>
      <w:ind w:left="720"/>
      <w:contextualSpacing/>
    </w:pPr>
  </w:style>
  <w:style w:type="character" w:styleId="Hyperlink">
    <w:name w:val="Hyperlink"/>
    <w:basedOn w:val="Absatz-Standardschriftart"/>
    <w:uiPriority w:val="99"/>
    <w:unhideWhenUsed/>
    <w:rsid w:val="00624DD7"/>
    <w:rPr>
      <w:color w:val="0000FF"/>
      <w:u w:val="single"/>
    </w:rPr>
  </w:style>
  <w:style w:type="table" w:styleId="Tabellenraster">
    <w:name w:val="Table Grid"/>
    <w:basedOn w:val="NormaleTabelle"/>
    <w:uiPriority w:val="39"/>
    <w:rsid w:val="00481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48120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81202"/>
    <w:rPr>
      <w:sz w:val="20"/>
      <w:szCs w:val="20"/>
    </w:rPr>
  </w:style>
  <w:style w:type="character" w:styleId="Funotenzeichen">
    <w:name w:val="footnote reference"/>
    <w:basedOn w:val="Absatz-Standardschriftart"/>
    <w:uiPriority w:val="99"/>
    <w:semiHidden/>
    <w:unhideWhenUsed/>
    <w:rsid w:val="00481202"/>
    <w:rPr>
      <w:vertAlign w:val="superscript"/>
    </w:rPr>
  </w:style>
  <w:style w:type="character" w:customStyle="1" w:styleId="berschrift1Zchn">
    <w:name w:val="Überschrift 1 Zchn"/>
    <w:basedOn w:val="Absatz-Standardschriftart"/>
    <w:link w:val="berschrift1"/>
    <w:uiPriority w:val="9"/>
    <w:rsid w:val="00481202"/>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6C58DA"/>
    <w:rPr>
      <w:rFonts w:ascii="Times New Roman" w:eastAsiaTheme="majorEastAsia" w:hAnsi="Times New Roman" w:cstheme="majorBidi"/>
      <w:b/>
      <w:sz w:val="26"/>
      <w:szCs w:val="26"/>
    </w:rPr>
  </w:style>
  <w:style w:type="character" w:customStyle="1" w:styleId="berschrift3Zchn">
    <w:name w:val="Überschrift 3 Zchn"/>
    <w:basedOn w:val="Absatz-Standardschriftart"/>
    <w:link w:val="berschrift3"/>
    <w:uiPriority w:val="9"/>
    <w:rsid w:val="009E71A1"/>
    <w:rPr>
      <w:rFonts w:ascii="Times New Roman" w:eastAsiaTheme="majorEastAsia" w:hAnsi="Times New Roman" w:cstheme="majorBidi"/>
      <w:sz w:val="24"/>
      <w:szCs w:val="24"/>
    </w:rPr>
  </w:style>
  <w:style w:type="character" w:customStyle="1" w:styleId="berschrift4Zchn">
    <w:name w:val="Überschrift 4 Zchn"/>
    <w:basedOn w:val="Absatz-Standardschriftart"/>
    <w:link w:val="berschrift4"/>
    <w:uiPriority w:val="9"/>
    <w:semiHidden/>
    <w:rsid w:val="00481202"/>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481202"/>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481202"/>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481202"/>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481202"/>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481202"/>
    <w:rPr>
      <w:rFonts w:asciiTheme="majorHAnsi" w:eastAsiaTheme="majorEastAsia" w:hAnsiTheme="majorHAnsi" w:cstheme="majorBidi"/>
      <w:i/>
      <w:iCs/>
      <w:color w:val="272727" w:themeColor="text1" w:themeTint="D8"/>
      <w:sz w:val="21"/>
      <w:szCs w:val="21"/>
    </w:rPr>
  </w:style>
  <w:style w:type="paragraph" w:styleId="Kopfzeile">
    <w:name w:val="header"/>
    <w:basedOn w:val="Standard"/>
    <w:link w:val="KopfzeileZchn"/>
    <w:uiPriority w:val="99"/>
    <w:unhideWhenUsed/>
    <w:rsid w:val="00EC4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4BA6"/>
    <w:rPr>
      <w:rFonts w:ascii="Arial" w:hAnsi="Arial"/>
    </w:rPr>
  </w:style>
  <w:style w:type="paragraph" w:styleId="Fuzeile">
    <w:name w:val="footer"/>
    <w:basedOn w:val="Standard"/>
    <w:link w:val="FuzeileZchn"/>
    <w:uiPriority w:val="99"/>
    <w:unhideWhenUsed/>
    <w:rsid w:val="00EC4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4BA6"/>
    <w:rPr>
      <w:rFonts w:ascii="Arial" w:hAnsi="Arial"/>
    </w:rPr>
  </w:style>
  <w:style w:type="character" w:styleId="BesuchterLink">
    <w:name w:val="FollowedHyperlink"/>
    <w:basedOn w:val="Absatz-Standardschriftart"/>
    <w:uiPriority w:val="99"/>
    <w:semiHidden/>
    <w:unhideWhenUsed/>
    <w:rsid w:val="006B5E84"/>
    <w:rPr>
      <w:color w:val="954F72" w:themeColor="followedHyperlink"/>
      <w:u w:val="single"/>
    </w:rPr>
  </w:style>
  <w:style w:type="paragraph" w:styleId="Literaturverzeichnis">
    <w:name w:val="Bibliography"/>
    <w:basedOn w:val="Standard"/>
    <w:next w:val="Standard"/>
    <w:uiPriority w:val="37"/>
    <w:unhideWhenUsed/>
    <w:rsid w:val="006B5E84"/>
  </w:style>
  <w:style w:type="paragraph" w:styleId="Inhaltsverzeichnisberschrift">
    <w:name w:val="TOC Heading"/>
    <w:basedOn w:val="berschrift1"/>
    <w:next w:val="Standard"/>
    <w:uiPriority w:val="39"/>
    <w:unhideWhenUsed/>
    <w:qFormat/>
    <w:rsid w:val="001A5917"/>
    <w:pPr>
      <w:numPr>
        <w:numId w:val="0"/>
      </w:numPr>
      <w:spacing w:after="0"/>
      <w:jc w:val="left"/>
      <w:outlineLvl w:val="9"/>
    </w:pPr>
    <w:rPr>
      <w:rFonts w:asciiTheme="majorHAnsi" w:hAnsiTheme="majorHAnsi"/>
      <w:b w:val="0"/>
      <w:color w:val="2F5496" w:themeColor="accent1" w:themeShade="BF"/>
      <w:lang w:eastAsia="de-AT"/>
    </w:rPr>
  </w:style>
  <w:style w:type="paragraph" w:styleId="Verzeichnis1">
    <w:name w:val="toc 1"/>
    <w:basedOn w:val="Standard"/>
    <w:next w:val="Standard"/>
    <w:autoRedefine/>
    <w:uiPriority w:val="39"/>
    <w:unhideWhenUsed/>
    <w:rsid w:val="009F15B2"/>
    <w:pPr>
      <w:tabs>
        <w:tab w:val="left" w:pos="440"/>
        <w:tab w:val="right" w:leader="dot" w:pos="9062"/>
      </w:tabs>
      <w:spacing w:after="100" w:line="360" w:lineRule="auto"/>
    </w:pPr>
  </w:style>
  <w:style w:type="paragraph" w:styleId="Verzeichnis2">
    <w:name w:val="toc 2"/>
    <w:basedOn w:val="Standard"/>
    <w:next w:val="Standard"/>
    <w:autoRedefine/>
    <w:uiPriority w:val="39"/>
    <w:unhideWhenUsed/>
    <w:rsid w:val="001A5917"/>
    <w:pPr>
      <w:spacing w:after="100"/>
      <w:ind w:left="220"/>
    </w:pPr>
  </w:style>
  <w:style w:type="paragraph" w:styleId="Verzeichnis3">
    <w:name w:val="toc 3"/>
    <w:basedOn w:val="Standard"/>
    <w:next w:val="Standard"/>
    <w:autoRedefine/>
    <w:uiPriority w:val="39"/>
    <w:unhideWhenUsed/>
    <w:rsid w:val="001A5917"/>
    <w:pPr>
      <w:spacing w:after="100"/>
      <w:ind w:left="440"/>
    </w:pPr>
  </w:style>
  <w:style w:type="character" w:styleId="NichtaufgelsteErwhnung">
    <w:name w:val="Unresolved Mention"/>
    <w:basedOn w:val="Absatz-Standardschriftart"/>
    <w:uiPriority w:val="99"/>
    <w:semiHidden/>
    <w:unhideWhenUsed/>
    <w:rsid w:val="004B4DB1"/>
    <w:rPr>
      <w:color w:val="605E5C"/>
      <w:shd w:val="clear" w:color="auto" w:fill="E1DFDD"/>
    </w:rPr>
  </w:style>
  <w:style w:type="paragraph" w:styleId="Beschriftung">
    <w:name w:val="caption"/>
    <w:basedOn w:val="Standard"/>
    <w:next w:val="Standard"/>
    <w:uiPriority w:val="35"/>
    <w:unhideWhenUsed/>
    <w:qFormat/>
    <w:rsid w:val="00737F4D"/>
    <w:pPr>
      <w:spacing w:after="200" w:line="240" w:lineRule="auto"/>
    </w:pPr>
    <w:rPr>
      <w:i/>
      <w:iCs/>
      <w:color w:val="44546A" w:themeColor="text2"/>
      <w:sz w:val="18"/>
      <w:szCs w:val="18"/>
    </w:rPr>
  </w:style>
  <w:style w:type="paragraph" w:styleId="Abbildungsverzeichnis">
    <w:name w:val="table of figures"/>
    <w:basedOn w:val="Standard"/>
    <w:next w:val="Standard"/>
    <w:uiPriority w:val="99"/>
    <w:unhideWhenUsed/>
    <w:rsid w:val="009B4C6E"/>
    <w:pPr>
      <w:spacing w:after="0"/>
    </w:pPr>
  </w:style>
  <w:style w:type="paragraph" w:styleId="KeinLeerraum">
    <w:name w:val="No Spacing"/>
    <w:link w:val="KeinLeerraumZchn"/>
    <w:uiPriority w:val="1"/>
    <w:qFormat/>
    <w:rsid w:val="0039546A"/>
    <w:pPr>
      <w:spacing w:after="0" w:line="240" w:lineRule="auto"/>
    </w:pPr>
    <w:rPr>
      <w:rFonts w:eastAsiaTheme="minorEastAsia"/>
      <w:lang w:eastAsia="de-AT"/>
    </w:rPr>
  </w:style>
  <w:style w:type="character" w:customStyle="1" w:styleId="KeinLeerraumZchn">
    <w:name w:val="Kein Leerraum Zchn"/>
    <w:basedOn w:val="Absatz-Standardschriftart"/>
    <w:link w:val="KeinLeerraum"/>
    <w:uiPriority w:val="1"/>
    <w:rsid w:val="0039546A"/>
    <w:rPr>
      <w:rFonts w:eastAsiaTheme="minorEastAsia"/>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433">
      <w:bodyDiv w:val="1"/>
      <w:marLeft w:val="0"/>
      <w:marRight w:val="0"/>
      <w:marTop w:val="0"/>
      <w:marBottom w:val="0"/>
      <w:divBdr>
        <w:top w:val="none" w:sz="0" w:space="0" w:color="auto"/>
        <w:left w:val="none" w:sz="0" w:space="0" w:color="auto"/>
        <w:bottom w:val="none" w:sz="0" w:space="0" w:color="auto"/>
        <w:right w:val="none" w:sz="0" w:space="0" w:color="auto"/>
      </w:divBdr>
    </w:div>
    <w:div w:id="11036449">
      <w:bodyDiv w:val="1"/>
      <w:marLeft w:val="0"/>
      <w:marRight w:val="0"/>
      <w:marTop w:val="0"/>
      <w:marBottom w:val="0"/>
      <w:divBdr>
        <w:top w:val="none" w:sz="0" w:space="0" w:color="auto"/>
        <w:left w:val="none" w:sz="0" w:space="0" w:color="auto"/>
        <w:bottom w:val="none" w:sz="0" w:space="0" w:color="auto"/>
        <w:right w:val="none" w:sz="0" w:space="0" w:color="auto"/>
      </w:divBdr>
    </w:div>
    <w:div w:id="25060560">
      <w:bodyDiv w:val="1"/>
      <w:marLeft w:val="0"/>
      <w:marRight w:val="0"/>
      <w:marTop w:val="0"/>
      <w:marBottom w:val="0"/>
      <w:divBdr>
        <w:top w:val="none" w:sz="0" w:space="0" w:color="auto"/>
        <w:left w:val="none" w:sz="0" w:space="0" w:color="auto"/>
        <w:bottom w:val="none" w:sz="0" w:space="0" w:color="auto"/>
        <w:right w:val="none" w:sz="0" w:space="0" w:color="auto"/>
      </w:divBdr>
    </w:div>
    <w:div w:id="49962746">
      <w:bodyDiv w:val="1"/>
      <w:marLeft w:val="0"/>
      <w:marRight w:val="0"/>
      <w:marTop w:val="0"/>
      <w:marBottom w:val="0"/>
      <w:divBdr>
        <w:top w:val="none" w:sz="0" w:space="0" w:color="auto"/>
        <w:left w:val="none" w:sz="0" w:space="0" w:color="auto"/>
        <w:bottom w:val="none" w:sz="0" w:space="0" w:color="auto"/>
        <w:right w:val="none" w:sz="0" w:space="0" w:color="auto"/>
      </w:divBdr>
    </w:div>
    <w:div w:id="69815314">
      <w:bodyDiv w:val="1"/>
      <w:marLeft w:val="0"/>
      <w:marRight w:val="0"/>
      <w:marTop w:val="0"/>
      <w:marBottom w:val="0"/>
      <w:divBdr>
        <w:top w:val="none" w:sz="0" w:space="0" w:color="auto"/>
        <w:left w:val="none" w:sz="0" w:space="0" w:color="auto"/>
        <w:bottom w:val="none" w:sz="0" w:space="0" w:color="auto"/>
        <w:right w:val="none" w:sz="0" w:space="0" w:color="auto"/>
      </w:divBdr>
    </w:div>
    <w:div w:id="76289306">
      <w:bodyDiv w:val="1"/>
      <w:marLeft w:val="0"/>
      <w:marRight w:val="0"/>
      <w:marTop w:val="0"/>
      <w:marBottom w:val="0"/>
      <w:divBdr>
        <w:top w:val="none" w:sz="0" w:space="0" w:color="auto"/>
        <w:left w:val="none" w:sz="0" w:space="0" w:color="auto"/>
        <w:bottom w:val="none" w:sz="0" w:space="0" w:color="auto"/>
        <w:right w:val="none" w:sz="0" w:space="0" w:color="auto"/>
      </w:divBdr>
    </w:div>
    <w:div w:id="77483981">
      <w:bodyDiv w:val="1"/>
      <w:marLeft w:val="0"/>
      <w:marRight w:val="0"/>
      <w:marTop w:val="0"/>
      <w:marBottom w:val="0"/>
      <w:divBdr>
        <w:top w:val="none" w:sz="0" w:space="0" w:color="auto"/>
        <w:left w:val="none" w:sz="0" w:space="0" w:color="auto"/>
        <w:bottom w:val="none" w:sz="0" w:space="0" w:color="auto"/>
        <w:right w:val="none" w:sz="0" w:space="0" w:color="auto"/>
      </w:divBdr>
    </w:div>
    <w:div w:id="101843486">
      <w:bodyDiv w:val="1"/>
      <w:marLeft w:val="0"/>
      <w:marRight w:val="0"/>
      <w:marTop w:val="0"/>
      <w:marBottom w:val="0"/>
      <w:divBdr>
        <w:top w:val="none" w:sz="0" w:space="0" w:color="auto"/>
        <w:left w:val="none" w:sz="0" w:space="0" w:color="auto"/>
        <w:bottom w:val="none" w:sz="0" w:space="0" w:color="auto"/>
        <w:right w:val="none" w:sz="0" w:space="0" w:color="auto"/>
      </w:divBdr>
    </w:div>
    <w:div w:id="108861173">
      <w:bodyDiv w:val="1"/>
      <w:marLeft w:val="0"/>
      <w:marRight w:val="0"/>
      <w:marTop w:val="0"/>
      <w:marBottom w:val="0"/>
      <w:divBdr>
        <w:top w:val="none" w:sz="0" w:space="0" w:color="auto"/>
        <w:left w:val="none" w:sz="0" w:space="0" w:color="auto"/>
        <w:bottom w:val="none" w:sz="0" w:space="0" w:color="auto"/>
        <w:right w:val="none" w:sz="0" w:space="0" w:color="auto"/>
      </w:divBdr>
    </w:div>
    <w:div w:id="116996005">
      <w:bodyDiv w:val="1"/>
      <w:marLeft w:val="0"/>
      <w:marRight w:val="0"/>
      <w:marTop w:val="0"/>
      <w:marBottom w:val="0"/>
      <w:divBdr>
        <w:top w:val="none" w:sz="0" w:space="0" w:color="auto"/>
        <w:left w:val="none" w:sz="0" w:space="0" w:color="auto"/>
        <w:bottom w:val="none" w:sz="0" w:space="0" w:color="auto"/>
        <w:right w:val="none" w:sz="0" w:space="0" w:color="auto"/>
      </w:divBdr>
    </w:div>
    <w:div w:id="123160701">
      <w:bodyDiv w:val="1"/>
      <w:marLeft w:val="0"/>
      <w:marRight w:val="0"/>
      <w:marTop w:val="0"/>
      <w:marBottom w:val="0"/>
      <w:divBdr>
        <w:top w:val="none" w:sz="0" w:space="0" w:color="auto"/>
        <w:left w:val="none" w:sz="0" w:space="0" w:color="auto"/>
        <w:bottom w:val="none" w:sz="0" w:space="0" w:color="auto"/>
        <w:right w:val="none" w:sz="0" w:space="0" w:color="auto"/>
      </w:divBdr>
    </w:div>
    <w:div w:id="126509452">
      <w:bodyDiv w:val="1"/>
      <w:marLeft w:val="0"/>
      <w:marRight w:val="0"/>
      <w:marTop w:val="0"/>
      <w:marBottom w:val="0"/>
      <w:divBdr>
        <w:top w:val="none" w:sz="0" w:space="0" w:color="auto"/>
        <w:left w:val="none" w:sz="0" w:space="0" w:color="auto"/>
        <w:bottom w:val="none" w:sz="0" w:space="0" w:color="auto"/>
        <w:right w:val="none" w:sz="0" w:space="0" w:color="auto"/>
      </w:divBdr>
    </w:div>
    <w:div w:id="134756671">
      <w:bodyDiv w:val="1"/>
      <w:marLeft w:val="0"/>
      <w:marRight w:val="0"/>
      <w:marTop w:val="0"/>
      <w:marBottom w:val="0"/>
      <w:divBdr>
        <w:top w:val="none" w:sz="0" w:space="0" w:color="auto"/>
        <w:left w:val="none" w:sz="0" w:space="0" w:color="auto"/>
        <w:bottom w:val="none" w:sz="0" w:space="0" w:color="auto"/>
        <w:right w:val="none" w:sz="0" w:space="0" w:color="auto"/>
      </w:divBdr>
    </w:div>
    <w:div w:id="146629132">
      <w:bodyDiv w:val="1"/>
      <w:marLeft w:val="0"/>
      <w:marRight w:val="0"/>
      <w:marTop w:val="0"/>
      <w:marBottom w:val="0"/>
      <w:divBdr>
        <w:top w:val="none" w:sz="0" w:space="0" w:color="auto"/>
        <w:left w:val="none" w:sz="0" w:space="0" w:color="auto"/>
        <w:bottom w:val="none" w:sz="0" w:space="0" w:color="auto"/>
        <w:right w:val="none" w:sz="0" w:space="0" w:color="auto"/>
      </w:divBdr>
    </w:div>
    <w:div w:id="150021596">
      <w:bodyDiv w:val="1"/>
      <w:marLeft w:val="0"/>
      <w:marRight w:val="0"/>
      <w:marTop w:val="0"/>
      <w:marBottom w:val="0"/>
      <w:divBdr>
        <w:top w:val="none" w:sz="0" w:space="0" w:color="auto"/>
        <w:left w:val="none" w:sz="0" w:space="0" w:color="auto"/>
        <w:bottom w:val="none" w:sz="0" w:space="0" w:color="auto"/>
        <w:right w:val="none" w:sz="0" w:space="0" w:color="auto"/>
      </w:divBdr>
    </w:div>
    <w:div w:id="151409094">
      <w:bodyDiv w:val="1"/>
      <w:marLeft w:val="0"/>
      <w:marRight w:val="0"/>
      <w:marTop w:val="0"/>
      <w:marBottom w:val="0"/>
      <w:divBdr>
        <w:top w:val="none" w:sz="0" w:space="0" w:color="auto"/>
        <w:left w:val="none" w:sz="0" w:space="0" w:color="auto"/>
        <w:bottom w:val="none" w:sz="0" w:space="0" w:color="auto"/>
        <w:right w:val="none" w:sz="0" w:space="0" w:color="auto"/>
      </w:divBdr>
    </w:div>
    <w:div w:id="156120594">
      <w:bodyDiv w:val="1"/>
      <w:marLeft w:val="0"/>
      <w:marRight w:val="0"/>
      <w:marTop w:val="0"/>
      <w:marBottom w:val="0"/>
      <w:divBdr>
        <w:top w:val="none" w:sz="0" w:space="0" w:color="auto"/>
        <w:left w:val="none" w:sz="0" w:space="0" w:color="auto"/>
        <w:bottom w:val="none" w:sz="0" w:space="0" w:color="auto"/>
        <w:right w:val="none" w:sz="0" w:space="0" w:color="auto"/>
      </w:divBdr>
    </w:div>
    <w:div w:id="158349836">
      <w:bodyDiv w:val="1"/>
      <w:marLeft w:val="0"/>
      <w:marRight w:val="0"/>
      <w:marTop w:val="0"/>
      <w:marBottom w:val="0"/>
      <w:divBdr>
        <w:top w:val="none" w:sz="0" w:space="0" w:color="auto"/>
        <w:left w:val="none" w:sz="0" w:space="0" w:color="auto"/>
        <w:bottom w:val="none" w:sz="0" w:space="0" w:color="auto"/>
        <w:right w:val="none" w:sz="0" w:space="0" w:color="auto"/>
      </w:divBdr>
    </w:div>
    <w:div w:id="176584999">
      <w:bodyDiv w:val="1"/>
      <w:marLeft w:val="0"/>
      <w:marRight w:val="0"/>
      <w:marTop w:val="0"/>
      <w:marBottom w:val="0"/>
      <w:divBdr>
        <w:top w:val="none" w:sz="0" w:space="0" w:color="auto"/>
        <w:left w:val="none" w:sz="0" w:space="0" w:color="auto"/>
        <w:bottom w:val="none" w:sz="0" w:space="0" w:color="auto"/>
        <w:right w:val="none" w:sz="0" w:space="0" w:color="auto"/>
      </w:divBdr>
    </w:div>
    <w:div w:id="194542675">
      <w:bodyDiv w:val="1"/>
      <w:marLeft w:val="0"/>
      <w:marRight w:val="0"/>
      <w:marTop w:val="0"/>
      <w:marBottom w:val="0"/>
      <w:divBdr>
        <w:top w:val="none" w:sz="0" w:space="0" w:color="auto"/>
        <w:left w:val="none" w:sz="0" w:space="0" w:color="auto"/>
        <w:bottom w:val="none" w:sz="0" w:space="0" w:color="auto"/>
        <w:right w:val="none" w:sz="0" w:space="0" w:color="auto"/>
      </w:divBdr>
    </w:div>
    <w:div w:id="214046004">
      <w:bodyDiv w:val="1"/>
      <w:marLeft w:val="0"/>
      <w:marRight w:val="0"/>
      <w:marTop w:val="0"/>
      <w:marBottom w:val="0"/>
      <w:divBdr>
        <w:top w:val="none" w:sz="0" w:space="0" w:color="auto"/>
        <w:left w:val="none" w:sz="0" w:space="0" w:color="auto"/>
        <w:bottom w:val="none" w:sz="0" w:space="0" w:color="auto"/>
        <w:right w:val="none" w:sz="0" w:space="0" w:color="auto"/>
      </w:divBdr>
    </w:div>
    <w:div w:id="238054517">
      <w:bodyDiv w:val="1"/>
      <w:marLeft w:val="0"/>
      <w:marRight w:val="0"/>
      <w:marTop w:val="0"/>
      <w:marBottom w:val="0"/>
      <w:divBdr>
        <w:top w:val="none" w:sz="0" w:space="0" w:color="auto"/>
        <w:left w:val="none" w:sz="0" w:space="0" w:color="auto"/>
        <w:bottom w:val="none" w:sz="0" w:space="0" w:color="auto"/>
        <w:right w:val="none" w:sz="0" w:space="0" w:color="auto"/>
      </w:divBdr>
    </w:div>
    <w:div w:id="242229032">
      <w:bodyDiv w:val="1"/>
      <w:marLeft w:val="0"/>
      <w:marRight w:val="0"/>
      <w:marTop w:val="0"/>
      <w:marBottom w:val="0"/>
      <w:divBdr>
        <w:top w:val="none" w:sz="0" w:space="0" w:color="auto"/>
        <w:left w:val="none" w:sz="0" w:space="0" w:color="auto"/>
        <w:bottom w:val="none" w:sz="0" w:space="0" w:color="auto"/>
        <w:right w:val="none" w:sz="0" w:space="0" w:color="auto"/>
      </w:divBdr>
    </w:div>
    <w:div w:id="253900313">
      <w:bodyDiv w:val="1"/>
      <w:marLeft w:val="0"/>
      <w:marRight w:val="0"/>
      <w:marTop w:val="0"/>
      <w:marBottom w:val="0"/>
      <w:divBdr>
        <w:top w:val="none" w:sz="0" w:space="0" w:color="auto"/>
        <w:left w:val="none" w:sz="0" w:space="0" w:color="auto"/>
        <w:bottom w:val="none" w:sz="0" w:space="0" w:color="auto"/>
        <w:right w:val="none" w:sz="0" w:space="0" w:color="auto"/>
      </w:divBdr>
    </w:div>
    <w:div w:id="259723400">
      <w:bodyDiv w:val="1"/>
      <w:marLeft w:val="0"/>
      <w:marRight w:val="0"/>
      <w:marTop w:val="0"/>
      <w:marBottom w:val="0"/>
      <w:divBdr>
        <w:top w:val="none" w:sz="0" w:space="0" w:color="auto"/>
        <w:left w:val="none" w:sz="0" w:space="0" w:color="auto"/>
        <w:bottom w:val="none" w:sz="0" w:space="0" w:color="auto"/>
        <w:right w:val="none" w:sz="0" w:space="0" w:color="auto"/>
      </w:divBdr>
    </w:div>
    <w:div w:id="271212527">
      <w:bodyDiv w:val="1"/>
      <w:marLeft w:val="0"/>
      <w:marRight w:val="0"/>
      <w:marTop w:val="0"/>
      <w:marBottom w:val="0"/>
      <w:divBdr>
        <w:top w:val="none" w:sz="0" w:space="0" w:color="auto"/>
        <w:left w:val="none" w:sz="0" w:space="0" w:color="auto"/>
        <w:bottom w:val="none" w:sz="0" w:space="0" w:color="auto"/>
        <w:right w:val="none" w:sz="0" w:space="0" w:color="auto"/>
      </w:divBdr>
    </w:div>
    <w:div w:id="300042143">
      <w:bodyDiv w:val="1"/>
      <w:marLeft w:val="0"/>
      <w:marRight w:val="0"/>
      <w:marTop w:val="0"/>
      <w:marBottom w:val="0"/>
      <w:divBdr>
        <w:top w:val="none" w:sz="0" w:space="0" w:color="auto"/>
        <w:left w:val="none" w:sz="0" w:space="0" w:color="auto"/>
        <w:bottom w:val="none" w:sz="0" w:space="0" w:color="auto"/>
        <w:right w:val="none" w:sz="0" w:space="0" w:color="auto"/>
      </w:divBdr>
    </w:div>
    <w:div w:id="315231082">
      <w:bodyDiv w:val="1"/>
      <w:marLeft w:val="0"/>
      <w:marRight w:val="0"/>
      <w:marTop w:val="0"/>
      <w:marBottom w:val="0"/>
      <w:divBdr>
        <w:top w:val="none" w:sz="0" w:space="0" w:color="auto"/>
        <w:left w:val="none" w:sz="0" w:space="0" w:color="auto"/>
        <w:bottom w:val="none" w:sz="0" w:space="0" w:color="auto"/>
        <w:right w:val="none" w:sz="0" w:space="0" w:color="auto"/>
      </w:divBdr>
    </w:div>
    <w:div w:id="324168507">
      <w:bodyDiv w:val="1"/>
      <w:marLeft w:val="0"/>
      <w:marRight w:val="0"/>
      <w:marTop w:val="0"/>
      <w:marBottom w:val="0"/>
      <w:divBdr>
        <w:top w:val="none" w:sz="0" w:space="0" w:color="auto"/>
        <w:left w:val="none" w:sz="0" w:space="0" w:color="auto"/>
        <w:bottom w:val="none" w:sz="0" w:space="0" w:color="auto"/>
        <w:right w:val="none" w:sz="0" w:space="0" w:color="auto"/>
      </w:divBdr>
    </w:div>
    <w:div w:id="351616536">
      <w:bodyDiv w:val="1"/>
      <w:marLeft w:val="0"/>
      <w:marRight w:val="0"/>
      <w:marTop w:val="0"/>
      <w:marBottom w:val="0"/>
      <w:divBdr>
        <w:top w:val="none" w:sz="0" w:space="0" w:color="auto"/>
        <w:left w:val="none" w:sz="0" w:space="0" w:color="auto"/>
        <w:bottom w:val="none" w:sz="0" w:space="0" w:color="auto"/>
        <w:right w:val="none" w:sz="0" w:space="0" w:color="auto"/>
      </w:divBdr>
    </w:div>
    <w:div w:id="358120536">
      <w:bodyDiv w:val="1"/>
      <w:marLeft w:val="0"/>
      <w:marRight w:val="0"/>
      <w:marTop w:val="0"/>
      <w:marBottom w:val="0"/>
      <w:divBdr>
        <w:top w:val="none" w:sz="0" w:space="0" w:color="auto"/>
        <w:left w:val="none" w:sz="0" w:space="0" w:color="auto"/>
        <w:bottom w:val="none" w:sz="0" w:space="0" w:color="auto"/>
        <w:right w:val="none" w:sz="0" w:space="0" w:color="auto"/>
      </w:divBdr>
    </w:div>
    <w:div w:id="358700691">
      <w:bodyDiv w:val="1"/>
      <w:marLeft w:val="0"/>
      <w:marRight w:val="0"/>
      <w:marTop w:val="0"/>
      <w:marBottom w:val="0"/>
      <w:divBdr>
        <w:top w:val="none" w:sz="0" w:space="0" w:color="auto"/>
        <w:left w:val="none" w:sz="0" w:space="0" w:color="auto"/>
        <w:bottom w:val="none" w:sz="0" w:space="0" w:color="auto"/>
        <w:right w:val="none" w:sz="0" w:space="0" w:color="auto"/>
      </w:divBdr>
    </w:div>
    <w:div w:id="365912162">
      <w:bodyDiv w:val="1"/>
      <w:marLeft w:val="0"/>
      <w:marRight w:val="0"/>
      <w:marTop w:val="0"/>
      <w:marBottom w:val="0"/>
      <w:divBdr>
        <w:top w:val="none" w:sz="0" w:space="0" w:color="auto"/>
        <w:left w:val="none" w:sz="0" w:space="0" w:color="auto"/>
        <w:bottom w:val="none" w:sz="0" w:space="0" w:color="auto"/>
        <w:right w:val="none" w:sz="0" w:space="0" w:color="auto"/>
      </w:divBdr>
    </w:div>
    <w:div w:id="368796596">
      <w:bodyDiv w:val="1"/>
      <w:marLeft w:val="0"/>
      <w:marRight w:val="0"/>
      <w:marTop w:val="0"/>
      <w:marBottom w:val="0"/>
      <w:divBdr>
        <w:top w:val="none" w:sz="0" w:space="0" w:color="auto"/>
        <w:left w:val="none" w:sz="0" w:space="0" w:color="auto"/>
        <w:bottom w:val="none" w:sz="0" w:space="0" w:color="auto"/>
        <w:right w:val="none" w:sz="0" w:space="0" w:color="auto"/>
      </w:divBdr>
    </w:div>
    <w:div w:id="371460256">
      <w:bodyDiv w:val="1"/>
      <w:marLeft w:val="0"/>
      <w:marRight w:val="0"/>
      <w:marTop w:val="0"/>
      <w:marBottom w:val="0"/>
      <w:divBdr>
        <w:top w:val="none" w:sz="0" w:space="0" w:color="auto"/>
        <w:left w:val="none" w:sz="0" w:space="0" w:color="auto"/>
        <w:bottom w:val="none" w:sz="0" w:space="0" w:color="auto"/>
        <w:right w:val="none" w:sz="0" w:space="0" w:color="auto"/>
      </w:divBdr>
    </w:div>
    <w:div w:id="374080397">
      <w:bodyDiv w:val="1"/>
      <w:marLeft w:val="0"/>
      <w:marRight w:val="0"/>
      <w:marTop w:val="0"/>
      <w:marBottom w:val="0"/>
      <w:divBdr>
        <w:top w:val="none" w:sz="0" w:space="0" w:color="auto"/>
        <w:left w:val="none" w:sz="0" w:space="0" w:color="auto"/>
        <w:bottom w:val="none" w:sz="0" w:space="0" w:color="auto"/>
        <w:right w:val="none" w:sz="0" w:space="0" w:color="auto"/>
      </w:divBdr>
    </w:div>
    <w:div w:id="383984865">
      <w:bodyDiv w:val="1"/>
      <w:marLeft w:val="0"/>
      <w:marRight w:val="0"/>
      <w:marTop w:val="0"/>
      <w:marBottom w:val="0"/>
      <w:divBdr>
        <w:top w:val="none" w:sz="0" w:space="0" w:color="auto"/>
        <w:left w:val="none" w:sz="0" w:space="0" w:color="auto"/>
        <w:bottom w:val="none" w:sz="0" w:space="0" w:color="auto"/>
        <w:right w:val="none" w:sz="0" w:space="0" w:color="auto"/>
      </w:divBdr>
    </w:div>
    <w:div w:id="384448168">
      <w:bodyDiv w:val="1"/>
      <w:marLeft w:val="0"/>
      <w:marRight w:val="0"/>
      <w:marTop w:val="0"/>
      <w:marBottom w:val="0"/>
      <w:divBdr>
        <w:top w:val="none" w:sz="0" w:space="0" w:color="auto"/>
        <w:left w:val="none" w:sz="0" w:space="0" w:color="auto"/>
        <w:bottom w:val="none" w:sz="0" w:space="0" w:color="auto"/>
        <w:right w:val="none" w:sz="0" w:space="0" w:color="auto"/>
      </w:divBdr>
    </w:div>
    <w:div w:id="385419447">
      <w:bodyDiv w:val="1"/>
      <w:marLeft w:val="0"/>
      <w:marRight w:val="0"/>
      <w:marTop w:val="0"/>
      <w:marBottom w:val="0"/>
      <w:divBdr>
        <w:top w:val="none" w:sz="0" w:space="0" w:color="auto"/>
        <w:left w:val="none" w:sz="0" w:space="0" w:color="auto"/>
        <w:bottom w:val="none" w:sz="0" w:space="0" w:color="auto"/>
        <w:right w:val="none" w:sz="0" w:space="0" w:color="auto"/>
      </w:divBdr>
    </w:div>
    <w:div w:id="388040343">
      <w:bodyDiv w:val="1"/>
      <w:marLeft w:val="0"/>
      <w:marRight w:val="0"/>
      <w:marTop w:val="0"/>
      <w:marBottom w:val="0"/>
      <w:divBdr>
        <w:top w:val="none" w:sz="0" w:space="0" w:color="auto"/>
        <w:left w:val="none" w:sz="0" w:space="0" w:color="auto"/>
        <w:bottom w:val="none" w:sz="0" w:space="0" w:color="auto"/>
        <w:right w:val="none" w:sz="0" w:space="0" w:color="auto"/>
      </w:divBdr>
    </w:div>
    <w:div w:id="388309163">
      <w:bodyDiv w:val="1"/>
      <w:marLeft w:val="0"/>
      <w:marRight w:val="0"/>
      <w:marTop w:val="0"/>
      <w:marBottom w:val="0"/>
      <w:divBdr>
        <w:top w:val="none" w:sz="0" w:space="0" w:color="auto"/>
        <w:left w:val="none" w:sz="0" w:space="0" w:color="auto"/>
        <w:bottom w:val="none" w:sz="0" w:space="0" w:color="auto"/>
        <w:right w:val="none" w:sz="0" w:space="0" w:color="auto"/>
      </w:divBdr>
    </w:div>
    <w:div w:id="397752033">
      <w:bodyDiv w:val="1"/>
      <w:marLeft w:val="0"/>
      <w:marRight w:val="0"/>
      <w:marTop w:val="0"/>
      <w:marBottom w:val="0"/>
      <w:divBdr>
        <w:top w:val="none" w:sz="0" w:space="0" w:color="auto"/>
        <w:left w:val="none" w:sz="0" w:space="0" w:color="auto"/>
        <w:bottom w:val="none" w:sz="0" w:space="0" w:color="auto"/>
        <w:right w:val="none" w:sz="0" w:space="0" w:color="auto"/>
      </w:divBdr>
    </w:div>
    <w:div w:id="398358929">
      <w:bodyDiv w:val="1"/>
      <w:marLeft w:val="0"/>
      <w:marRight w:val="0"/>
      <w:marTop w:val="0"/>
      <w:marBottom w:val="0"/>
      <w:divBdr>
        <w:top w:val="none" w:sz="0" w:space="0" w:color="auto"/>
        <w:left w:val="none" w:sz="0" w:space="0" w:color="auto"/>
        <w:bottom w:val="none" w:sz="0" w:space="0" w:color="auto"/>
        <w:right w:val="none" w:sz="0" w:space="0" w:color="auto"/>
      </w:divBdr>
    </w:div>
    <w:div w:id="399787401">
      <w:bodyDiv w:val="1"/>
      <w:marLeft w:val="0"/>
      <w:marRight w:val="0"/>
      <w:marTop w:val="0"/>
      <w:marBottom w:val="0"/>
      <w:divBdr>
        <w:top w:val="none" w:sz="0" w:space="0" w:color="auto"/>
        <w:left w:val="none" w:sz="0" w:space="0" w:color="auto"/>
        <w:bottom w:val="none" w:sz="0" w:space="0" w:color="auto"/>
        <w:right w:val="none" w:sz="0" w:space="0" w:color="auto"/>
      </w:divBdr>
    </w:div>
    <w:div w:id="410935519">
      <w:bodyDiv w:val="1"/>
      <w:marLeft w:val="0"/>
      <w:marRight w:val="0"/>
      <w:marTop w:val="0"/>
      <w:marBottom w:val="0"/>
      <w:divBdr>
        <w:top w:val="none" w:sz="0" w:space="0" w:color="auto"/>
        <w:left w:val="none" w:sz="0" w:space="0" w:color="auto"/>
        <w:bottom w:val="none" w:sz="0" w:space="0" w:color="auto"/>
        <w:right w:val="none" w:sz="0" w:space="0" w:color="auto"/>
      </w:divBdr>
    </w:div>
    <w:div w:id="420302647">
      <w:bodyDiv w:val="1"/>
      <w:marLeft w:val="0"/>
      <w:marRight w:val="0"/>
      <w:marTop w:val="0"/>
      <w:marBottom w:val="0"/>
      <w:divBdr>
        <w:top w:val="none" w:sz="0" w:space="0" w:color="auto"/>
        <w:left w:val="none" w:sz="0" w:space="0" w:color="auto"/>
        <w:bottom w:val="none" w:sz="0" w:space="0" w:color="auto"/>
        <w:right w:val="none" w:sz="0" w:space="0" w:color="auto"/>
      </w:divBdr>
    </w:div>
    <w:div w:id="426004810">
      <w:bodyDiv w:val="1"/>
      <w:marLeft w:val="0"/>
      <w:marRight w:val="0"/>
      <w:marTop w:val="0"/>
      <w:marBottom w:val="0"/>
      <w:divBdr>
        <w:top w:val="none" w:sz="0" w:space="0" w:color="auto"/>
        <w:left w:val="none" w:sz="0" w:space="0" w:color="auto"/>
        <w:bottom w:val="none" w:sz="0" w:space="0" w:color="auto"/>
        <w:right w:val="none" w:sz="0" w:space="0" w:color="auto"/>
      </w:divBdr>
    </w:div>
    <w:div w:id="438379422">
      <w:bodyDiv w:val="1"/>
      <w:marLeft w:val="0"/>
      <w:marRight w:val="0"/>
      <w:marTop w:val="0"/>
      <w:marBottom w:val="0"/>
      <w:divBdr>
        <w:top w:val="none" w:sz="0" w:space="0" w:color="auto"/>
        <w:left w:val="none" w:sz="0" w:space="0" w:color="auto"/>
        <w:bottom w:val="none" w:sz="0" w:space="0" w:color="auto"/>
        <w:right w:val="none" w:sz="0" w:space="0" w:color="auto"/>
      </w:divBdr>
    </w:div>
    <w:div w:id="439029202">
      <w:bodyDiv w:val="1"/>
      <w:marLeft w:val="0"/>
      <w:marRight w:val="0"/>
      <w:marTop w:val="0"/>
      <w:marBottom w:val="0"/>
      <w:divBdr>
        <w:top w:val="none" w:sz="0" w:space="0" w:color="auto"/>
        <w:left w:val="none" w:sz="0" w:space="0" w:color="auto"/>
        <w:bottom w:val="none" w:sz="0" w:space="0" w:color="auto"/>
        <w:right w:val="none" w:sz="0" w:space="0" w:color="auto"/>
      </w:divBdr>
    </w:div>
    <w:div w:id="447697658">
      <w:bodyDiv w:val="1"/>
      <w:marLeft w:val="0"/>
      <w:marRight w:val="0"/>
      <w:marTop w:val="0"/>
      <w:marBottom w:val="0"/>
      <w:divBdr>
        <w:top w:val="none" w:sz="0" w:space="0" w:color="auto"/>
        <w:left w:val="none" w:sz="0" w:space="0" w:color="auto"/>
        <w:bottom w:val="none" w:sz="0" w:space="0" w:color="auto"/>
        <w:right w:val="none" w:sz="0" w:space="0" w:color="auto"/>
      </w:divBdr>
    </w:div>
    <w:div w:id="447743467">
      <w:bodyDiv w:val="1"/>
      <w:marLeft w:val="0"/>
      <w:marRight w:val="0"/>
      <w:marTop w:val="0"/>
      <w:marBottom w:val="0"/>
      <w:divBdr>
        <w:top w:val="none" w:sz="0" w:space="0" w:color="auto"/>
        <w:left w:val="none" w:sz="0" w:space="0" w:color="auto"/>
        <w:bottom w:val="none" w:sz="0" w:space="0" w:color="auto"/>
        <w:right w:val="none" w:sz="0" w:space="0" w:color="auto"/>
      </w:divBdr>
    </w:div>
    <w:div w:id="450246146">
      <w:bodyDiv w:val="1"/>
      <w:marLeft w:val="0"/>
      <w:marRight w:val="0"/>
      <w:marTop w:val="0"/>
      <w:marBottom w:val="0"/>
      <w:divBdr>
        <w:top w:val="none" w:sz="0" w:space="0" w:color="auto"/>
        <w:left w:val="none" w:sz="0" w:space="0" w:color="auto"/>
        <w:bottom w:val="none" w:sz="0" w:space="0" w:color="auto"/>
        <w:right w:val="none" w:sz="0" w:space="0" w:color="auto"/>
      </w:divBdr>
    </w:div>
    <w:div w:id="451897485">
      <w:bodyDiv w:val="1"/>
      <w:marLeft w:val="0"/>
      <w:marRight w:val="0"/>
      <w:marTop w:val="0"/>
      <w:marBottom w:val="0"/>
      <w:divBdr>
        <w:top w:val="none" w:sz="0" w:space="0" w:color="auto"/>
        <w:left w:val="none" w:sz="0" w:space="0" w:color="auto"/>
        <w:bottom w:val="none" w:sz="0" w:space="0" w:color="auto"/>
        <w:right w:val="none" w:sz="0" w:space="0" w:color="auto"/>
      </w:divBdr>
    </w:div>
    <w:div w:id="453643681">
      <w:bodyDiv w:val="1"/>
      <w:marLeft w:val="0"/>
      <w:marRight w:val="0"/>
      <w:marTop w:val="0"/>
      <w:marBottom w:val="0"/>
      <w:divBdr>
        <w:top w:val="none" w:sz="0" w:space="0" w:color="auto"/>
        <w:left w:val="none" w:sz="0" w:space="0" w:color="auto"/>
        <w:bottom w:val="none" w:sz="0" w:space="0" w:color="auto"/>
        <w:right w:val="none" w:sz="0" w:space="0" w:color="auto"/>
      </w:divBdr>
    </w:div>
    <w:div w:id="454250487">
      <w:bodyDiv w:val="1"/>
      <w:marLeft w:val="0"/>
      <w:marRight w:val="0"/>
      <w:marTop w:val="0"/>
      <w:marBottom w:val="0"/>
      <w:divBdr>
        <w:top w:val="none" w:sz="0" w:space="0" w:color="auto"/>
        <w:left w:val="none" w:sz="0" w:space="0" w:color="auto"/>
        <w:bottom w:val="none" w:sz="0" w:space="0" w:color="auto"/>
        <w:right w:val="none" w:sz="0" w:space="0" w:color="auto"/>
      </w:divBdr>
    </w:div>
    <w:div w:id="460152245">
      <w:bodyDiv w:val="1"/>
      <w:marLeft w:val="0"/>
      <w:marRight w:val="0"/>
      <w:marTop w:val="0"/>
      <w:marBottom w:val="0"/>
      <w:divBdr>
        <w:top w:val="none" w:sz="0" w:space="0" w:color="auto"/>
        <w:left w:val="none" w:sz="0" w:space="0" w:color="auto"/>
        <w:bottom w:val="none" w:sz="0" w:space="0" w:color="auto"/>
        <w:right w:val="none" w:sz="0" w:space="0" w:color="auto"/>
      </w:divBdr>
    </w:div>
    <w:div w:id="469518747">
      <w:bodyDiv w:val="1"/>
      <w:marLeft w:val="0"/>
      <w:marRight w:val="0"/>
      <w:marTop w:val="0"/>
      <w:marBottom w:val="0"/>
      <w:divBdr>
        <w:top w:val="none" w:sz="0" w:space="0" w:color="auto"/>
        <w:left w:val="none" w:sz="0" w:space="0" w:color="auto"/>
        <w:bottom w:val="none" w:sz="0" w:space="0" w:color="auto"/>
        <w:right w:val="none" w:sz="0" w:space="0" w:color="auto"/>
      </w:divBdr>
    </w:div>
    <w:div w:id="476411216">
      <w:bodyDiv w:val="1"/>
      <w:marLeft w:val="0"/>
      <w:marRight w:val="0"/>
      <w:marTop w:val="0"/>
      <w:marBottom w:val="0"/>
      <w:divBdr>
        <w:top w:val="none" w:sz="0" w:space="0" w:color="auto"/>
        <w:left w:val="none" w:sz="0" w:space="0" w:color="auto"/>
        <w:bottom w:val="none" w:sz="0" w:space="0" w:color="auto"/>
        <w:right w:val="none" w:sz="0" w:space="0" w:color="auto"/>
      </w:divBdr>
    </w:div>
    <w:div w:id="483931945">
      <w:bodyDiv w:val="1"/>
      <w:marLeft w:val="0"/>
      <w:marRight w:val="0"/>
      <w:marTop w:val="0"/>
      <w:marBottom w:val="0"/>
      <w:divBdr>
        <w:top w:val="none" w:sz="0" w:space="0" w:color="auto"/>
        <w:left w:val="none" w:sz="0" w:space="0" w:color="auto"/>
        <w:bottom w:val="none" w:sz="0" w:space="0" w:color="auto"/>
        <w:right w:val="none" w:sz="0" w:space="0" w:color="auto"/>
      </w:divBdr>
    </w:div>
    <w:div w:id="485125329">
      <w:bodyDiv w:val="1"/>
      <w:marLeft w:val="0"/>
      <w:marRight w:val="0"/>
      <w:marTop w:val="0"/>
      <w:marBottom w:val="0"/>
      <w:divBdr>
        <w:top w:val="none" w:sz="0" w:space="0" w:color="auto"/>
        <w:left w:val="none" w:sz="0" w:space="0" w:color="auto"/>
        <w:bottom w:val="none" w:sz="0" w:space="0" w:color="auto"/>
        <w:right w:val="none" w:sz="0" w:space="0" w:color="auto"/>
      </w:divBdr>
    </w:div>
    <w:div w:id="494299867">
      <w:bodyDiv w:val="1"/>
      <w:marLeft w:val="0"/>
      <w:marRight w:val="0"/>
      <w:marTop w:val="0"/>
      <w:marBottom w:val="0"/>
      <w:divBdr>
        <w:top w:val="none" w:sz="0" w:space="0" w:color="auto"/>
        <w:left w:val="none" w:sz="0" w:space="0" w:color="auto"/>
        <w:bottom w:val="none" w:sz="0" w:space="0" w:color="auto"/>
        <w:right w:val="none" w:sz="0" w:space="0" w:color="auto"/>
      </w:divBdr>
    </w:div>
    <w:div w:id="511340799">
      <w:bodyDiv w:val="1"/>
      <w:marLeft w:val="0"/>
      <w:marRight w:val="0"/>
      <w:marTop w:val="0"/>
      <w:marBottom w:val="0"/>
      <w:divBdr>
        <w:top w:val="none" w:sz="0" w:space="0" w:color="auto"/>
        <w:left w:val="none" w:sz="0" w:space="0" w:color="auto"/>
        <w:bottom w:val="none" w:sz="0" w:space="0" w:color="auto"/>
        <w:right w:val="none" w:sz="0" w:space="0" w:color="auto"/>
      </w:divBdr>
    </w:div>
    <w:div w:id="526678032">
      <w:bodyDiv w:val="1"/>
      <w:marLeft w:val="0"/>
      <w:marRight w:val="0"/>
      <w:marTop w:val="0"/>
      <w:marBottom w:val="0"/>
      <w:divBdr>
        <w:top w:val="none" w:sz="0" w:space="0" w:color="auto"/>
        <w:left w:val="none" w:sz="0" w:space="0" w:color="auto"/>
        <w:bottom w:val="none" w:sz="0" w:space="0" w:color="auto"/>
        <w:right w:val="none" w:sz="0" w:space="0" w:color="auto"/>
      </w:divBdr>
    </w:div>
    <w:div w:id="527521649">
      <w:bodyDiv w:val="1"/>
      <w:marLeft w:val="0"/>
      <w:marRight w:val="0"/>
      <w:marTop w:val="0"/>
      <w:marBottom w:val="0"/>
      <w:divBdr>
        <w:top w:val="none" w:sz="0" w:space="0" w:color="auto"/>
        <w:left w:val="none" w:sz="0" w:space="0" w:color="auto"/>
        <w:bottom w:val="none" w:sz="0" w:space="0" w:color="auto"/>
        <w:right w:val="none" w:sz="0" w:space="0" w:color="auto"/>
      </w:divBdr>
    </w:div>
    <w:div w:id="553665445">
      <w:bodyDiv w:val="1"/>
      <w:marLeft w:val="0"/>
      <w:marRight w:val="0"/>
      <w:marTop w:val="0"/>
      <w:marBottom w:val="0"/>
      <w:divBdr>
        <w:top w:val="none" w:sz="0" w:space="0" w:color="auto"/>
        <w:left w:val="none" w:sz="0" w:space="0" w:color="auto"/>
        <w:bottom w:val="none" w:sz="0" w:space="0" w:color="auto"/>
        <w:right w:val="none" w:sz="0" w:space="0" w:color="auto"/>
      </w:divBdr>
    </w:div>
    <w:div w:id="562449133">
      <w:bodyDiv w:val="1"/>
      <w:marLeft w:val="0"/>
      <w:marRight w:val="0"/>
      <w:marTop w:val="0"/>
      <w:marBottom w:val="0"/>
      <w:divBdr>
        <w:top w:val="none" w:sz="0" w:space="0" w:color="auto"/>
        <w:left w:val="none" w:sz="0" w:space="0" w:color="auto"/>
        <w:bottom w:val="none" w:sz="0" w:space="0" w:color="auto"/>
        <w:right w:val="none" w:sz="0" w:space="0" w:color="auto"/>
      </w:divBdr>
    </w:div>
    <w:div w:id="579097088">
      <w:bodyDiv w:val="1"/>
      <w:marLeft w:val="0"/>
      <w:marRight w:val="0"/>
      <w:marTop w:val="0"/>
      <w:marBottom w:val="0"/>
      <w:divBdr>
        <w:top w:val="none" w:sz="0" w:space="0" w:color="auto"/>
        <w:left w:val="none" w:sz="0" w:space="0" w:color="auto"/>
        <w:bottom w:val="none" w:sz="0" w:space="0" w:color="auto"/>
        <w:right w:val="none" w:sz="0" w:space="0" w:color="auto"/>
      </w:divBdr>
    </w:div>
    <w:div w:id="586229651">
      <w:bodyDiv w:val="1"/>
      <w:marLeft w:val="0"/>
      <w:marRight w:val="0"/>
      <w:marTop w:val="0"/>
      <w:marBottom w:val="0"/>
      <w:divBdr>
        <w:top w:val="none" w:sz="0" w:space="0" w:color="auto"/>
        <w:left w:val="none" w:sz="0" w:space="0" w:color="auto"/>
        <w:bottom w:val="none" w:sz="0" w:space="0" w:color="auto"/>
        <w:right w:val="none" w:sz="0" w:space="0" w:color="auto"/>
      </w:divBdr>
    </w:div>
    <w:div w:id="599411869">
      <w:bodyDiv w:val="1"/>
      <w:marLeft w:val="0"/>
      <w:marRight w:val="0"/>
      <w:marTop w:val="0"/>
      <w:marBottom w:val="0"/>
      <w:divBdr>
        <w:top w:val="none" w:sz="0" w:space="0" w:color="auto"/>
        <w:left w:val="none" w:sz="0" w:space="0" w:color="auto"/>
        <w:bottom w:val="none" w:sz="0" w:space="0" w:color="auto"/>
        <w:right w:val="none" w:sz="0" w:space="0" w:color="auto"/>
      </w:divBdr>
    </w:div>
    <w:div w:id="602954150">
      <w:bodyDiv w:val="1"/>
      <w:marLeft w:val="0"/>
      <w:marRight w:val="0"/>
      <w:marTop w:val="0"/>
      <w:marBottom w:val="0"/>
      <w:divBdr>
        <w:top w:val="none" w:sz="0" w:space="0" w:color="auto"/>
        <w:left w:val="none" w:sz="0" w:space="0" w:color="auto"/>
        <w:bottom w:val="none" w:sz="0" w:space="0" w:color="auto"/>
        <w:right w:val="none" w:sz="0" w:space="0" w:color="auto"/>
      </w:divBdr>
    </w:div>
    <w:div w:id="604076631">
      <w:bodyDiv w:val="1"/>
      <w:marLeft w:val="0"/>
      <w:marRight w:val="0"/>
      <w:marTop w:val="0"/>
      <w:marBottom w:val="0"/>
      <w:divBdr>
        <w:top w:val="none" w:sz="0" w:space="0" w:color="auto"/>
        <w:left w:val="none" w:sz="0" w:space="0" w:color="auto"/>
        <w:bottom w:val="none" w:sz="0" w:space="0" w:color="auto"/>
        <w:right w:val="none" w:sz="0" w:space="0" w:color="auto"/>
      </w:divBdr>
    </w:div>
    <w:div w:id="615990611">
      <w:bodyDiv w:val="1"/>
      <w:marLeft w:val="0"/>
      <w:marRight w:val="0"/>
      <w:marTop w:val="0"/>
      <w:marBottom w:val="0"/>
      <w:divBdr>
        <w:top w:val="none" w:sz="0" w:space="0" w:color="auto"/>
        <w:left w:val="none" w:sz="0" w:space="0" w:color="auto"/>
        <w:bottom w:val="none" w:sz="0" w:space="0" w:color="auto"/>
        <w:right w:val="none" w:sz="0" w:space="0" w:color="auto"/>
      </w:divBdr>
    </w:div>
    <w:div w:id="640579561">
      <w:bodyDiv w:val="1"/>
      <w:marLeft w:val="0"/>
      <w:marRight w:val="0"/>
      <w:marTop w:val="0"/>
      <w:marBottom w:val="0"/>
      <w:divBdr>
        <w:top w:val="none" w:sz="0" w:space="0" w:color="auto"/>
        <w:left w:val="none" w:sz="0" w:space="0" w:color="auto"/>
        <w:bottom w:val="none" w:sz="0" w:space="0" w:color="auto"/>
        <w:right w:val="none" w:sz="0" w:space="0" w:color="auto"/>
      </w:divBdr>
    </w:div>
    <w:div w:id="653459838">
      <w:bodyDiv w:val="1"/>
      <w:marLeft w:val="0"/>
      <w:marRight w:val="0"/>
      <w:marTop w:val="0"/>
      <w:marBottom w:val="0"/>
      <w:divBdr>
        <w:top w:val="none" w:sz="0" w:space="0" w:color="auto"/>
        <w:left w:val="none" w:sz="0" w:space="0" w:color="auto"/>
        <w:bottom w:val="none" w:sz="0" w:space="0" w:color="auto"/>
        <w:right w:val="none" w:sz="0" w:space="0" w:color="auto"/>
      </w:divBdr>
    </w:div>
    <w:div w:id="655106062">
      <w:bodyDiv w:val="1"/>
      <w:marLeft w:val="0"/>
      <w:marRight w:val="0"/>
      <w:marTop w:val="0"/>
      <w:marBottom w:val="0"/>
      <w:divBdr>
        <w:top w:val="none" w:sz="0" w:space="0" w:color="auto"/>
        <w:left w:val="none" w:sz="0" w:space="0" w:color="auto"/>
        <w:bottom w:val="none" w:sz="0" w:space="0" w:color="auto"/>
        <w:right w:val="none" w:sz="0" w:space="0" w:color="auto"/>
      </w:divBdr>
    </w:div>
    <w:div w:id="660275647">
      <w:bodyDiv w:val="1"/>
      <w:marLeft w:val="0"/>
      <w:marRight w:val="0"/>
      <w:marTop w:val="0"/>
      <w:marBottom w:val="0"/>
      <w:divBdr>
        <w:top w:val="none" w:sz="0" w:space="0" w:color="auto"/>
        <w:left w:val="none" w:sz="0" w:space="0" w:color="auto"/>
        <w:bottom w:val="none" w:sz="0" w:space="0" w:color="auto"/>
        <w:right w:val="none" w:sz="0" w:space="0" w:color="auto"/>
      </w:divBdr>
    </w:div>
    <w:div w:id="667174685">
      <w:bodyDiv w:val="1"/>
      <w:marLeft w:val="0"/>
      <w:marRight w:val="0"/>
      <w:marTop w:val="0"/>
      <w:marBottom w:val="0"/>
      <w:divBdr>
        <w:top w:val="none" w:sz="0" w:space="0" w:color="auto"/>
        <w:left w:val="none" w:sz="0" w:space="0" w:color="auto"/>
        <w:bottom w:val="none" w:sz="0" w:space="0" w:color="auto"/>
        <w:right w:val="none" w:sz="0" w:space="0" w:color="auto"/>
      </w:divBdr>
    </w:div>
    <w:div w:id="683476629">
      <w:bodyDiv w:val="1"/>
      <w:marLeft w:val="0"/>
      <w:marRight w:val="0"/>
      <w:marTop w:val="0"/>
      <w:marBottom w:val="0"/>
      <w:divBdr>
        <w:top w:val="none" w:sz="0" w:space="0" w:color="auto"/>
        <w:left w:val="none" w:sz="0" w:space="0" w:color="auto"/>
        <w:bottom w:val="none" w:sz="0" w:space="0" w:color="auto"/>
        <w:right w:val="none" w:sz="0" w:space="0" w:color="auto"/>
      </w:divBdr>
    </w:div>
    <w:div w:id="700859057">
      <w:bodyDiv w:val="1"/>
      <w:marLeft w:val="0"/>
      <w:marRight w:val="0"/>
      <w:marTop w:val="0"/>
      <w:marBottom w:val="0"/>
      <w:divBdr>
        <w:top w:val="none" w:sz="0" w:space="0" w:color="auto"/>
        <w:left w:val="none" w:sz="0" w:space="0" w:color="auto"/>
        <w:bottom w:val="none" w:sz="0" w:space="0" w:color="auto"/>
        <w:right w:val="none" w:sz="0" w:space="0" w:color="auto"/>
      </w:divBdr>
    </w:div>
    <w:div w:id="704598180">
      <w:bodyDiv w:val="1"/>
      <w:marLeft w:val="0"/>
      <w:marRight w:val="0"/>
      <w:marTop w:val="0"/>
      <w:marBottom w:val="0"/>
      <w:divBdr>
        <w:top w:val="none" w:sz="0" w:space="0" w:color="auto"/>
        <w:left w:val="none" w:sz="0" w:space="0" w:color="auto"/>
        <w:bottom w:val="none" w:sz="0" w:space="0" w:color="auto"/>
        <w:right w:val="none" w:sz="0" w:space="0" w:color="auto"/>
      </w:divBdr>
    </w:div>
    <w:div w:id="709963021">
      <w:bodyDiv w:val="1"/>
      <w:marLeft w:val="0"/>
      <w:marRight w:val="0"/>
      <w:marTop w:val="0"/>
      <w:marBottom w:val="0"/>
      <w:divBdr>
        <w:top w:val="none" w:sz="0" w:space="0" w:color="auto"/>
        <w:left w:val="none" w:sz="0" w:space="0" w:color="auto"/>
        <w:bottom w:val="none" w:sz="0" w:space="0" w:color="auto"/>
        <w:right w:val="none" w:sz="0" w:space="0" w:color="auto"/>
      </w:divBdr>
    </w:div>
    <w:div w:id="716704335">
      <w:bodyDiv w:val="1"/>
      <w:marLeft w:val="0"/>
      <w:marRight w:val="0"/>
      <w:marTop w:val="0"/>
      <w:marBottom w:val="0"/>
      <w:divBdr>
        <w:top w:val="none" w:sz="0" w:space="0" w:color="auto"/>
        <w:left w:val="none" w:sz="0" w:space="0" w:color="auto"/>
        <w:bottom w:val="none" w:sz="0" w:space="0" w:color="auto"/>
        <w:right w:val="none" w:sz="0" w:space="0" w:color="auto"/>
      </w:divBdr>
    </w:div>
    <w:div w:id="717898038">
      <w:bodyDiv w:val="1"/>
      <w:marLeft w:val="0"/>
      <w:marRight w:val="0"/>
      <w:marTop w:val="0"/>
      <w:marBottom w:val="0"/>
      <w:divBdr>
        <w:top w:val="none" w:sz="0" w:space="0" w:color="auto"/>
        <w:left w:val="none" w:sz="0" w:space="0" w:color="auto"/>
        <w:bottom w:val="none" w:sz="0" w:space="0" w:color="auto"/>
        <w:right w:val="none" w:sz="0" w:space="0" w:color="auto"/>
      </w:divBdr>
    </w:div>
    <w:div w:id="718015611">
      <w:bodyDiv w:val="1"/>
      <w:marLeft w:val="0"/>
      <w:marRight w:val="0"/>
      <w:marTop w:val="0"/>
      <w:marBottom w:val="0"/>
      <w:divBdr>
        <w:top w:val="none" w:sz="0" w:space="0" w:color="auto"/>
        <w:left w:val="none" w:sz="0" w:space="0" w:color="auto"/>
        <w:bottom w:val="none" w:sz="0" w:space="0" w:color="auto"/>
        <w:right w:val="none" w:sz="0" w:space="0" w:color="auto"/>
      </w:divBdr>
    </w:div>
    <w:div w:id="719986500">
      <w:bodyDiv w:val="1"/>
      <w:marLeft w:val="0"/>
      <w:marRight w:val="0"/>
      <w:marTop w:val="0"/>
      <w:marBottom w:val="0"/>
      <w:divBdr>
        <w:top w:val="none" w:sz="0" w:space="0" w:color="auto"/>
        <w:left w:val="none" w:sz="0" w:space="0" w:color="auto"/>
        <w:bottom w:val="none" w:sz="0" w:space="0" w:color="auto"/>
        <w:right w:val="none" w:sz="0" w:space="0" w:color="auto"/>
      </w:divBdr>
    </w:div>
    <w:div w:id="722565428">
      <w:bodyDiv w:val="1"/>
      <w:marLeft w:val="0"/>
      <w:marRight w:val="0"/>
      <w:marTop w:val="0"/>
      <w:marBottom w:val="0"/>
      <w:divBdr>
        <w:top w:val="none" w:sz="0" w:space="0" w:color="auto"/>
        <w:left w:val="none" w:sz="0" w:space="0" w:color="auto"/>
        <w:bottom w:val="none" w:sz="0" w:space="0" w:color="auto"/>
        <w:right w:val="none" w:sz="0" w:space="0" w:color="auto"/>
      </w:divBdr>
    </w:div>
    <w:div w:id="730539520">
      <w:bodyDiv w:val="1"/>
      <w:marLeft w:val="0"/>
      <w:marRight w:val="0"/>
      <w:marTop w:val="0"/>
      <w:marBottom w:val="0"/>
      <w:divBdr>
        <w:top w:val="none" w:sz="0" w:space="0" w:color="auto"/>
        <w:left w:val="none" w:sz="0" w:space="0" w:color="auto"/>
        <w:bottom w:val="none" w:sz="0" w:space="0" w:color="auto"/>
        <w:right w:val="none" w:sz="0" w:space="0" w:color="auto"/>
      </w:divBdr>
    </w:div>
    <w:div w:id="752630399">
      <w:bodyDiv w:val="1"/>
      <w:marLeft w:val="0"/>
      <w:marRight w:val="0"/>
      <w:marTop w:val="0"/>
      <w:marBottom w:val="0"/>
      <w:divBdr>
        <w:top w:val="none" w:sz="0" w:space="0" w:color="auto"/>
        <w:left w:val="none" w:sz="0" w:space="0" w:color="auto"/>
        <w:bottom w:val="none" w:sz="0" w:space="0" w:color="auto"/>
        <w:right w:val="none" w:sz="0" w:space="0" w:color="auto"/>
      </w:divBdr>
    </w:div>
    <w:div w:id="752893886">
      <w:bodyDiv w:val="1"/>
      <w:marLeft w:val="0"/>
      <w:marRight w:val="0"/>
      <w:marTop w:val="0"/>
      <w:marBottom w:val="0"/>
      <w:divBdr>
        <w:top w:val="none" w:sz="0" w:space="0" w:color="auto"/>
        <w:left w:val="none" w:sz="0" w:space="0" w:color="auto"/>
        <w:bottom w:val="none" w:sz="0" w:space="0" w:color="auto"/>
        <w:right w:val="none" w:sz="0" w:space="0" w:color="auto"/>
      </w:divBdr>
    </w:div>
    <w:div w:id="758717566">
      <w:bodyDiv w:val="1"/>
      <w:marLeft w:val="0"/>
      <w:marRight w:val="0"/>
      <w:marTop w:val="0"/>
      <w:marBottom w:val="0"/>
      <w:divBdr>
        <w:top w:val="none" w:sz="0" w:space="0" w:color="auto"/>
        <w:left w:val="none" w:sz="0" w:space="0" w:color="auto"/>
        <w:bottom w:val="none" w:sz="0" w:space="0" w:color="auto"/>
        <w:right w:val="none" w:sz="0" w:space="0" w:color="auto"/>
      </w:divBdr>
    </w:div>
    <w:div w:id="764153511">
      <w:bodyDiv w:val="1"/>
      <w:marLeft w:val="0"/>
      <w:marRight w:val="0"/>
      <w:marTop w:val="0"/>
      <w:marBottom w:val="0"/>
      <w:divBdr>
        <w:top w:val="none" w:sz="0" w:space="0" w:color="auto"/>
        <w:left w:val="none" w:sz="0" w:space="0" w:color="auto"/>
        <w:bottom w:val="none" w:sz="0" w:space="0" w:color="auto"/>
        <w:right w:val="none" w:sz="0" w:space="0" w:color="auto"/>
      </w:divBdr>
    </w:div>
    <w:div w:id="768965118">
      <w:bodyDiv w:val="1"/>
      <w:marLeft w:val="0"/>
      <w:marRight w:val="0"/>
      <w:marTop w:val="0"/>
      <w:marBottom w:val="0"/>
      <w:divBdr>
        <w:top w:val="none" w:sz="0" w:space="0" w:color="auto"/>
        <w:left w:val="none" w:sz="0" w:space="0" w:color="auto"/>
        <w:bottom w:val="none" w:sz="0" w:space="0" w:color="auto"/>
        <w:right w:val="none" w:sz="0" w:space="0" w:color="auto"/>
      </w:divBdr>
    </w:div>
    <w:div w:id="798109733">
      <w:bodyDiv w:val="1"/>
      <w:marLeft w:val="0"/>
      <w:marRight w:val="0"/>
      <w:marTop w:val="0"/>
      <w:marBottom w:val="0"/>
      <w:divBdr>
        <w:top w:val="none" w:sz="0" w:space="0" w:color="auto"/>
        <w:left w:val="none" w:sz="0" w:space="0" w:color="auto"/>
        <w:bottom w:val="none" w:sz="0" w:space="0" w:color="auto"/>
        <w:right w:val="none" w:sz="0" w:space="0" w:color="auto"/>
      </w:divBdr>
    </w:div>
    <w:div w:id="800919759">
      <w:bodyDiv w:val="1"/>
      <w:marLeft w:val="0"/>
      <w:marRight w:val="0"/>
      <w:marTop w:val="0"/>
      <w:marBottom w:val="0"/>
      <w:divBdr>
        <w:top w:val="none" w:sz="0" w:space="0" w:color="auto"/>
        <w:left w:val="none" w:sz="0" w:space="0" w:color="auto"/>
        <w:bottom w:val="none" w:sz="0" w:space="0" w:color="auto"/>
        <w:right w:val="none" w:sz="0" w:space="0" w:color="auto"/>
      </w:divBdr>
    </w:div>
    <w:div w:id="803236283">
      <w:bodyDiv w:val="1"/>
      <w:marLeft w:val="0"/>
      <w:marRight w:val="0"/>
      <w:marTop w:val="0"/>
      <w:marBottom w:val="0"/>
      <w:divBdr>
        <w:top w:val="none" w:sz="0" w:space="0" w:color="auto"/>
        <w:left w:val="none" w:sz="0" w:space="0" w:color="auto"/>
        <w:bottom w:val="none" w:sz="0" w:space="0" w:color="auto"/>
        <w:right w:val="none" w:sz="0" w:space="0" w:color="auto"/>
      </w:divBdr>
    </w:div>
    <w:div w:id="823660553">
      <w:bodyDiv w:val="1"/>
      <w:marLeft w:val="0"/>
      <w:marRight w:val="0"/>
      <w:marTop w:val="0"/>
      <w:marBottom w:val="0"/>
      <w:divBdr>
        <w:top w:val="none" w:sz="0" w:space="0" w:color="auto"/>
        <w:left w:val="none" w:sz="0" w:space="0" w:color="auto"/>
        <w:bottom w:val="none" w:sz="0" w:space="0" w:color="auto"/>
        <w:right w:val="none" w:sz="0" w:space="0" w:color="auto"/>
      </w:divBdr>
    </w:div>
    <w:div w:id="824586514">
      <w:bodyDiv w:val="1"/>
      <w:marLeft w:val="0"/>
      <w:marRight w:val="0"/>
      <w:marTop w:val="0"/>
      <w:marBottom w:val="0"/>
      <w:divBdr>
        <w:top w:val="none" w:sz="0" w:space="0" w:color="auto"/>
        <w:left w:val="none" w:sz="0" w:space="0" w:color="auto"/>
        <w:bottom w:val="none" w:sz="0" w:space="0" w:color="auto"/>
        <w:right w:val="none" w:sz="0" w:space="0" w:color="auto"/>
      </w:divBdr>
    </w:div>
    <w:div w:id="825975433">
      <w:bodyDiv w:val="1"/>
      <w:marLeft w:val="0"/>
      <w:marRight w:val="0"/>
      <w:marTop w:val="0"/>
      <w:marBottom w:val="0"/>
      <w:divBdr>
        <w:top w:val="none" w:sz="0" w:space="0" w:color="auto"/>
        <w:left w:val="none" w:sz="0" w:space="0" w:color="auto"/>
        <w:bottom w:val="none" w:sz="0" w:space="0" w:color="auto"/>
        <w:right w:val="none" w:sz="0" w:space="0" w:color="auto"/>
      </w:divBdr>
    </w:div>
    <w:div w:id="843210002">
      <w:bodyDiv w:val="1"/>
      <w:marLeft w:val="0"/>
      <w:marRight w:val="0"/>
      <w:marTop w:val="0"/>
      <w:marBottom w:val="0"/>
      <w:divBdr>
        <w:top w:val="none" w:sz="0" w:space="0" w:color="auto"/>
        <w:left w:val="none" w:sz="0" w:space="0" w:color="auto"/>
        <w:bottom w:val="none" w:sz="0" w:space="0" w:color="auto"/>
        <w:right w:val="none" w:sz="0" w:space="0" w:color="auto"/>
      </w:divBdr>
    </w:div>
    <w:div w:id="872890647">
      <w:bodyDiv w:val="1"/>
      <w:marLeft w:val="0"/>
      <w:marRight w:val="0"/>
      <w:marTop w:val="0"/>
      <w:marBottom w:val="0"/>
      <w:divBdr>
        <w:top w:val="none" w:sz="0" w:space="0" w:color="auto"/>
        <w:left w:val="none" w:sz="0" w:space="0" w:color="auto"/>
        <w:bottom w:val="none" w:sz="0" w:space="0" w:color="auto"/>
        <w:right w:val="none" w:sz="0" w:space="0" w:color="auto"/>
      </w:divBdr>
    </w:div>
    <w:div w:id="876549089">
      <w:bodyDiv w:val="1"/>
      <w:marLeft w:val="0"/>
      <w:marRight w:val="0"/>
      <w:marTop w:val="0"/>
      <w:marBottom w:val="0"/>
      <w:divBdr>
        <w:top w:val="none" w:sz="0" w:space="0" w:color="auto"/>
        <w:left w:val="none" w:sz="0" w:space="0" w:color="auto"/>
        <w:bottom w:val="none" w:sz="0" w:space="0" w:color="auto"/>
        <w:right w:val="none" w:sz="0" w:space="0" w:color="auto"/>
      </w:divBdr>
    </w:div>
    <w:div w:id="882786541">
      <w:bodyDiv w:val="1"/>
      <w:marLeft w:val="0"/>
      <w:marRight w:val="0"/>
      <w:marTop w:val="0"/>
      <w:marBottom w:val="0"/>
      <w:divBdr>
        <w:top w:val="none" w:sz="0" w:space="0" w:color="auto"/>
        <w:left w:val="none" w:sz="0" w:space="0" w:color="auto"/>
        <w:bottom w:val="none" w:sz="0" w:space="0" w:color="auto"/>
        <w:right w:val="none" w:sz="0" w:space="0" w:color="auto"/>
      </w:divBdr>
    </w:div>
    <w:div w:id="914170559">
      <w:bodyDiv w:val="1"/>
      <w:marLeft w:val="0"/>
      <w:marRight w:val="0"/>
      <w:marTop w:val="0"/>
      <w:marBottom w:val="0"/>
      <w:divBdr>
        <w:top w:val="none" w:sz="0" w:space="0" w:color="auto"/>
        <w:left w:val="none" w:sz="0" w:space="0" w:color="auto"/>
        <w:bottom w:val="none" w:sz="0" w:space="0" w:color="auto"/>
        <w:right w:val="none" w:sz="0" w:space="0" w:color="auto"/>
      </w:divBdr>
    </w:div>
    <w:div w:id="915670145">
      <w:bodyDiv w:val="1"/>
      <w:marLeft w:val="0"/>
      <w:marRight w:val="0"/>
      <w:marTop w:val="0"/>
      <w:marBottom w:val="0"/>
      <w:divBdr>
        <w:top w:val="none" w:sz="0" w:space="0" w:color="auto"/>
        <w:left w:val="none" w:sz="0" w:space="0" w:color="auto"/>
        <w:bottom w:val="none" w:sz="0" w:space="0" w:color="auto"/>
        <w:right w:val="none" w:sz="0" w:space="0" w:color="auto"/>
      </w:divBdr>
    </w:div>
    <w:div w:id="919144620">
      <w:bodyDiv w:val="1"/>
      <w:marLeft w:val="0"/>
      <w:marRight w:val="0"/>
      <w:marTop w:val="0"/>
      <w:marBottom w:val="0"/>
      <w:divBdr>
        <w:top w:val="none" w:sz="0" w:space="0" w:color="auto"/>
        <w:left w:val="none" w:sz="0" w:space="0" w:color="auto"/>
        <w:bottom w:val="none" w:sz="0" w:space="0" w:color="auto"/>
        <w:right w:val="none" w:sz="0" w:space="0" w:color="auto"/>
      </w:divBdr>
    </w:div>
    <w:div w:id="922493368">
      <w:bodyDiv w:val="1"/>
      <w:marLeft w:val="0"/>
      <w:marRight w:val="0"/>
      <w:marTop w:val="0"/>
      <w:marBottom w:val="0"/>
      <w:divBdr>
        <w:top w:val="none" w:sz="0" w:space="0" w:color="auto"/>
        <w:left w:val="none" w:sz="0" w:space="0" w:color="auto"/>
        <w:bottom w:val="none" w:sz="0" w:space="0" w:color="auto"/>
        <w:right w:val="none" w:sz="0" w:space="0" w:color="auto"/>
      </w:divBdr>
    </w:div>
    <w:div w:id="923344989">
      <w:bodyDiv w:val="1"/>
      <w:marLeft w:val="0"/>
      <w:marRight w:val="0"/>
      <w:marTop w:val="0"/>
      <w:marBottom w:val="0"/>
      <w:divBdr>
        <w:top w:val="none" w:sz="0" w:space="0" w:color="auto"/>
        <w:left w:val="none" w:sz="0" w:space="0" w:color="auto"/>
        <w:bottom w:val="none" w:sz="0" w:space="0" w:color="auto"/>
        <w:right w:val="none" w:sz="0" w:space="0" w:color="auto"/>
      </w:divBdr>
    </w:div>
    <w:div w:id="924648862">
      <w:bodyDiv w:val="1"/>
      <w:marLeft w:val="0"/>
      <w:marRight w:val="0"/>
      <w:marTop w:val="0"/>
      <w:marBottom w:val="0"/>
      <w:divBdr>
        <w:top w:val="none" w:sz="0" w:space="0" w:color="auto"/>
        <w:left w:val="none" w:sz="0" w:space="0" w:color="auto"/>
        <w:bottom w:val="none" w:sz="0" w:space="0" w:color="auto"/>
        <w:right w:val="none" w:sz="0" w:space="0" w:color="auto"/>
      </w:divBdr>
    </w:div>
    <w:div w:id="934872234">
      <w:bodyDiv w:val="1"/>
      <w:marLeft w:val="0"/>
      <w:marRight w:val="0"/>
      <w:marTop w:val="0"/>
      <w:marBottom w:val="0"/>
      <w:divBdr>
        <w:top w:val="none" w:sz="0" w:space="0" w:color="auto"/>
        <w:left w:val="none" w:sz="0" w:space="0" w:color="auto"/>
        <w:bottom w:val="none" w:sz="0" w:space="0" w:color="auto"/>
        <w:right w:val="none" w:sz="0" w:space="0" w:color="auto"/>
      </w:divBdr>
    </w:div>
    <w:div w:id="940258052">
      <w:bodyDiv w:val="1"/>
      <w:marLeft w:val="0"/>
      <w:marRight w:val="0"/>
      <w:marTop w:val="0"/>
      <w:marBottom w:val="0"/>
      <w:divBdr>
        <w:top w:val="none" w:sz="0" w:space="0" w:color="auto"/>
        <w:left w:val="none" w:sz="0" w:space="0" w:color="auto"/>
        <w:bottom w:val="none" w:sz="0" w:space="0" w:color="auto"/>
        <w:right w:val="none" w:sz="0" w:space="0" w:color="auto"/>
      </w:divBdr>
    </w:div>
    <w:div w:id="983236859">
      <w:bodyDiv w:val="1"/>
      <w:marLeft w:val="0"/>
      <w:marRight w:val="0"/>
      <w:marTop w:val="0"/>
      <w:marBottom w:val="0"/>
      <w:divBdr>
        <w:top w:val="none" w:sz="0" w:space="0" w:color="auto"/>
        <w:left w:val="none" w:sz="0" w:space="0" w:color="auto"/>
        <w:bottom w:val="none" w:sz="0" w:space="0" w:color="auto"/>
        <w:right w:val="none" w:sz="0" w:space="0" w:color="auto"/>
      </w:divBdr>
    </w:div>
    <w:div w:id="985859644">
      <w:bodyDiv w:val="1"/>
      <w:marLeft w:val="0"/>
      <w:marRight w:val="0"/>
      <w:marTop w:val="0"/>
      <w:marBottom w:val="0"/>
      <w:divBdr>
        <w:top w:val="none" w:sz="0" w:space="0" w:color="auto"/>
        <w:left w:val="none" w:sz="0" w:space="0" w:color="auto"/>
        <w:bottom w:val="none" w:sz="0" w:space="0" w:color="auto"/>
        <w:right w:val="none" w:sz="0" w:space="0" w:color="auto"/>
      </w:divBdr>
    </w:div>
    <w:div w:id="1013997298">
      <w:bodyDiv w:val="1"/>
      <w:marLeft w:val="0"/>
      <w:marRight w:val="0"/>
      <w:marTop w:val="0"/>
      <w:marBottom w:val="0"/>
      <w:divBdr>
        <w:top w:val="none" w:sz="0" w:space="0" w:color="auto"/>
        <w:left w:val="none" w:sz="0" w:space="0" w:color="auto"/>
        <w:bottom w:val="none" w:sz="0" w:space="0" w:color="auto"/>
        <w:right w:val="none" w:sz="0" w:space="0" w:color="auto"/>
      </w:divBdr>
    </w:div>
    <w:div w:id="1020860387">
      <w:bodyDiv w:val="1"/>
      <w:marLeft w:val="0"/>
      <w:marRight w:val="0"/>
      <w:marTop w:val="0"/>
      <w:marBottom w:val="0"/>
      <w:divBdr>
        <w:top w:val="none" w:sz="0" w:space="0" w:color="auto"/>
        <w:left w:val="none" w:sz="0" w:space="0" w:color="auto"/>
        <w:bottom w:val="none" w:sz="0" w:space="0" w:color="auto"/>
        <w:right w:val="none" w:sz="0" w:space="0" w:color="auto"/>
      </w:divBdr>
    </w:div>
    <w:div w:id="1022785732">
      <w:bodyDiv w:val="1"/>
      <w:marLeft w:val="0"/>
      <w:marRight w:val="0"/>
      <w:marTop w:val="0"/>
      <w:marBottom w:val="0"/>
      <w:divBdr>
        <w:top w:val="none" w:sz="0" w:space="0" w:color="auto"/>
        <w:left w:val="none" w:sz="0" w:space="0" w:color="auto"/>
        <w:bottom w:val="none" w:sz="0" w:space="0" w:color="auto"/>
        <w:right w:val="none" w:sz="0" w:space="0" w:color="auto"/>
      </w:divBdr>
    </w:div>
    <w:div w:id="1025641400">
      <w:bodyDiv w:val="1"/>
      <w:marLeft w:val="0"/>
      <w:marRight w:val="0"/>
      <w:marTop w:val="0"/>
      <w:marBottom w:val="0"/>
      <w:divBdr>
        <w:top w:val="none" w:sz="0" w:space="0" w:color="auto"/>
        <w:left w:val="none" w:sz="0" w:space="0" w:color="auto"/>
        <w:bottom w:val="none" w:sz="0" w:space="0" w:color="auto"/>
        <w:right w:val="none" w:sz="0" w:space="0" w:color="auto"/>
      </w:divBdr>
    </w:div>
    <w:div w:id="1029796334">
      <w:bodyDiv w:val="1"/>
      <w:marLeft w:val="0"/>
      <w:marRight w:val="0"/>
      <w:marTop w:val="0"/>
      <w:marBottom w:val="0"/>
      <w:divBdr>
        <w:top w:val="none" w:sz="0" w:space="0" w:color="auto"/>
        <w:left w:val="none" w:sz="0" w:space="0" w:color="auto"/>
        <w:bottom w:val="none" w:sz="0" w:space="0" w:color="auto"/>
        <w:right w:val="none" w:sz="0" w:space="0" w:color="auto"/>
      </w:divBdr>
    </w:div>
    <w:div w:id="1032610726">
      <w:bodyDiv w:val="1"/>
      <w:marLeft w:val="0"/>
      <w:marRight w:val="0"/>
      <w:marTop w:val="0"/>
      <w:marBottom w:val="0"/>
      <w:divBdr>
        <w:top w:val="none" w:sz="0" w:space="0" w:color="auto"/>
        <w:left w:val="none" w:sz="0" w:space="0" w:color="auto"/>
        <w:bottom w:val="none" w:sz="0" w:space="0" w:color="auto"/>
        <w:right w:val="none" w:sz="0" w:space="0" w:color="auto"/>
      </w:divBdr>
    </w:div>
    <w:div w:id="1051422250">
      <w:bodyDiv w:val="1"/>
      <w:marLeft w:val="0"/>
      <w:marRight w:val="0"/>
      <w:marTop w:val="0"/>
      <w:marBottom w:val="0"/>
      <w:divBdr>
        <w:top w:val="none" w:sz="0" w:space="0" w:color="auto"/>
        <w:left w:val="none" w:sz="0" w:space="0" w:color="auto"/>
        <w:bottom w:val="none" w:sz="0" w:space="0" w:color="auto"/>
        <w:right w:val="none" w:sz="0" w:space="0" w:color="auto"/>
      </w:divBdr>
    </w:div>
    <w:div w:id="1057120035">
      <w:bodyDiv w:val="1"/>
      <w:marLeft w:val="0"/>
      <w:marRight w:val="0"/>
      <w:marTop w:val="0"/>
      <w:marBottom w:val="0"/>
      <w:divBdr>
        <w:top w:val="none" w:sz="0" w:space="0" w:color="auto"/>
        <w:left w:val="none" w:sz="0" w:space="0" w:color="auto"/>
        <w:bottom w:val="none" w:sz="0" w:space="0" w:color="auto"/>
        <w:right w:val="none" w:sz="0" w:space="0" w:color="auto"/>
      </w:divBdr>
    </w:div>
    <w:div w:id="1065834039">
      <w:bodyDiv w:val="1"/>
      <w:marLeft w:val="0"/>
      <w:marRight w:val="0"/>
      <w:marTop w:val="0"/>
      <w:marBottom w:val="0"/>
      <w:divBdr>
        <w:top w:val="none" w:sz="0" w:space="0" w:color="auto"/>
        <w:left w:val="none" w:sz="0" w:space="0" w:color="auto"/>
        <w:bottom w:val="none" w:sz="0" w:space="0" w:color="auto"/>
        <w:right w:val="none" w:sz="0" w:space="0" w:color="auto"/>
      </w:divBdr>
    </w:div>
    <w:div w:id="1066798070">
      <w:bodyDiv w:val="1"/>
      <w:marLeft w:val="0"/>
      <w:marRight w:val="0"/>
      <w:marTop w:val="0"/>
      <w:marBottom w:val="0"/>
      <w:divBdr>
        <w:top w:val="none" w:sz="0" w:space="0" w:color="auto"/>
        <w:left w:val="none" w:sz="0" w:space="0" w:color="auto"/>
        <w:bottom w:val="none" w:sz="0" w:space="0" w:color="auto"/>
        <w:right w:val="none" w:sz="0" w:space="0" w:color="auto"/>
      </w:divBdr>
    </w:div>
    <w:div w:id="1066801372">
      <w:bodyDiv w:val="1"/>
      <w:marLeft w:val="0"/>
      <w:marRight w:val="0"/>
      <w:marTop w:val="0"/>
      <w:marBottom w:val="0"/>
      <w:divBdr>
        <w:top w:val="none" w:sz="0" w:space="0" w:color="auto"/>
        <w:left w:val="none" w:sz="0" w:space="0" w:color="auto"/>
        <w:bottom w:val="none" w:sz="0" w:space="0" w:color="auto"/>
        <w:right w:val="none" w:sz="0" w:space="0" w:color="auto"/>
      </w:divBdr>
    </w:div>
    <w:div w:id="1068923532">
      <w:bodyDiv w:val="1"/>
      <w:marLeft w:val="0"/>
      <w:marRight w:val="0"/>
      <w:marTop w:val="0"/>
      <w:marBottom w:val="0"/>
      <w:divBdr>
        <w:top w:val="none" w:sz="0" w:space="0" w:color="auto"/>
        <w:left w:val="none" w:sz="0" w:space="0" w:color="auto"/>
        <w:bottom w:val="none" w:sz="0" w:space="0" w:color="auto"/>
        <w:right w:val="none" w:sz="0" w:space="0" w:color="auto"/>
      </w:divBdr>
    </w:div>
    <w:div w:id="1071194285">
      <w:bodyDiv w:val="1"/>
      <w:marLeft w:val="0"/>
      <w:marRight w:val="0"/>
      <w:marTop w:val="0"/>
      <w:marBottom w:val="0"/>
      <w:divBdr>
        <w:top w:val="none" w:sz="0" w:space="0" w:color="auto"/>
        <w:left w:val="none" w:sz="0" w:space="0" w:color="auto"/>
        <w:bottom w:val="none" w:sz="0" w:space="0" w:color="auto"/>
        <w:right w:val="none" w:sz="0" w:space="0" w:color="auto"/>
      </w:divBdr>
    </w:div>
    <w:div w:id="1071268282">
      <w:bodyDiv w:val="1"/>
      <w:marLeft w:val="0"/>
      <w:marRight w:val="0"/>
      <w:marTop w:val="0"/>
      <w:marBottom w:val="0"/>
      <w:divBdr>
        <w:top w:val="none" w:sz="0" w:space="0" w:color="auto"/>
        <w:left w:val="none" w:sz="0" w:space="0" w:color="auto"/>
        <w:bottom w:val="none" w:sz="0" w:space="0" w:color="auto"/>
        <w:right w:val="none" w:sz="0" w:space="0" w:color="auto"/>
      </w:divBdr>
    </w:div>
    <w:div w:id="1075085291">
      <w:bodyDiv w:val="1"/>
      <w:marLeft w:val="0"/>
      <w:marRight w:val="0"/>
      <w:marTop w:val="0"/>
      <w:marBottom w:val="0"/>
      <w:divBdr>
        <w:top w:val="none" w:sz="0" w:space="0" w:color="auto"/>
        <w:left w:val="none" w:sz="0" w:space="0" w:color="auto"/>
        <w:bottom w:val="none" w:sz="0" w:space="0" w:color="auto"/>
        <w:right w:val="none" w:sz="0" w:space="0" w:color="auto"/>
      </w:divBdr>
    </w:div>
    <w:div w:id="1078401605">
      <w:bodyDiv w:val="1"/>
      <w:marLeft w:val="0"/>
      <w:marRight w:val="0"/>
      <w:marTop w:val="0"/>
      <w:marBottom w:val="0"/>
      <w:divBdr>
        <w:top w:val="none" w:sz="0" w:space="0" w:color="auto"/>
        <w:left w:val="none" w:sz="0" w:space="0" w:color="auto"/>
        <w:bottom w:val="none" w:sz="0" w:space="0" w:color="auto"/>
        <w:right w:val="none" w:sz="0" w:space="0" w:color="auto"/>
      </w:divBdr>
    </w:div>
    <w:div w:id="1091050762">
      <w:bodyDiv w:val="1"/>
      <w:marLeft w:val="0"/>
      <w:marRight w:val="0"/>
      <w:marTop w:val="0"/>
      <w:marBottom w:val="0"/>
      <w:divBdr>
        <w:top w:val="none" w:sz="0" w:space="0" w:color="auto"/>
        <w:left w:val="none" w:sz="0" w:space="0" w:color="auto"/>
        <w:bottom w:val="none" w:sz="0" w:space="0" w:color="auto"/>
        <w:right w:val="none" w:sz="0" w:space="0" w:color="auto"/>
      </w:divBdr>
    </w:div>
    <w:div w:id="1095589024">
      <w:bodyDiv w:val="1"/>
      <w:marLeft w:val="0"/>
      <w:marRight w:val="0"/>
      <w:marTop w:val="0"/>
      <w:marBottom w:val="0"/>
      <w:divBdr>
        <w:top w:val="none" w:sz="0" w:space="0" w:color="auto"/>
        <w:left w:val="none" w:sz="0" w:space="0" w:color="auto"/>
        <w:bottom w:val="none" w:sz="0" w:space="0" w:color="auto"/>
        <w:right w:val="none" w:sz="0" w:space="0" w:color="auto"/>
      </w:divBdr>
    </w:div>
    <w:div w:id="1103646760">
      <w:bodyDiv w:val="1"/>
      <w:marLeft w:val="0"/>
      <w:marRight w:val="0"/>
      <w:marTop w:val="0"/>
      <w:marBottom w:val="0"/>
      <w:divBdr>
        <w:top w:val="none" w:sz="0" w:space="0" w:color="auto"/>
        <w:left w:val="none" w:sz="0" w:space="0" w:color="auto"/>
        <w:bottom w:val="none" w:sz="0" w:space="0" w:color="auto"/>
        <w:right w:val="none" w:sz="0" w:space="0" w:color="auto"/>
      </w:divBdr>
    </w:div>
    <w:div w:id="1107582936">
      <w:bodyDiv w:val="1"/>
      <w:marLeft w:val="0"/>
      <w:marRight w:val="0"/>
      <w:marTop w:val="0"/>
      <w:marBottom w:val="0"/>
      <w:divBdr>
        <w:top w:val="none" w:sz="0" w:space="0" w:color="auto"/>
        <w:left w:val="none" w:sz="0" w:space="0" w:color="auto"/>
        <w:bottom w:val="none" w:sz="0" w:space="0" w:color="auto"/>
        <w:right w:val="none" w:sz="0" w:space="0" w:color="auto"/>
      </w:divBdr>
    </w:div>
    <w:div w:id="1107844498">
      <w:bodyDiv w:val="1"/>
      <w:marLeft w:val="0"/>
      <w:marRight w:val="0"/>
      <w:marTop w:val="0"/>
      <w:marBottom w:val="0"/>
      <w:divBdr>
        <w:top w:val="none" w:sz="0" w:space="0" w:color="auto"/>
        <w:left w:val="none" w:sz="0" w:space="0" w:color="auto"/>
        <w:bottom w:val="none" w:sz="0" w:space="0" w:color="auto"/>
        <w:right w:val="none" w:sz="0" w:space="0" w:color="auto"/>
      </w:divBdr>
    </w:div>
    <w:div w:id="1112171568">
      <w:bodyDiv w:val="1"/>
      <w:marLeft w:val="0"/>
      <w:marRight w:val="0"/>
      <w:marTop w:val="0"/>
      <w:marBottom w:val="0"/>
      <w:divBdr>
        <w:top w:val="none" w:sz="0" w:space="0" w:color="auto"/>
        <w:left w:val="none" w:sz="0" w:space="0" w:color="auto"/>
        <w:bottom w:val="none" w:sz="0" w:space="0" w:color="auto"/>
        <w:right w:val="none" w:sz="0" w:space="0" w:color="auto"/>
      </w:divBdr>
    </w:div>
    <w:div w:id="1113868772">
      <w:bodyDiv w:val="1"/>
      <w:marLeft w:val="0"/>
      <w:marRight w:val="0"/>
      <w:marTop w:val="0"/>
      <w:marBottom w:val="0"/>
      <w:divBdr>
        <w:top w:val="none" w:sz="0" w:space="0" w:color="auto"/>
        <w:left w:val="none" w:sz="0" w:space="0" w:color="auto"/>
        <w:bottom w:val="none" w:sz="0" w:space="0" w:color="auto"/>
        <w:right w:val="none" w:sz="0" w:space="0" w:color="auto"/>
      </w:divBdr>
    </w:div>
    <w:div w:id="1133139619">
      <w:bodyDiv w:val="1"/>
      <w:marLeft w:val="0"/>
      <w:marRight w:val="0"/>
      <w:marTop w:val="0"/>
      <w:marBottom w:val="0"/>
      <w:divBdr>
        <w:top w:val="none" w:sz="0" w:space="0" w:color="auto"/>
        <w:left w:val="none" w:sz="0" w:space="0" w:color="auto"/>
        <w:bottom w:val="none" w:sz="0" w:space="0" w:color="auto"/>
        <w:right w:val="none" w:sz="0" w:space="0" w:color="auto"/>
      </w:divBdr>
    </w:div>
    <w:div w:id="1133210859">
      <w:bodyDiv w:val="1"/>
      <w:marLeft w:val="0"/>
      <w:marRight w:val="0"/>
      <w:marTop w:val="0"/>
      <w:marBottom w:val="0"/>
      <w:divBdr>
        <w:top w:val="none" w:sz="0" w:space="0" w:color="auto"/>
        <w:left w:val="none" w:sz="0" w:space="0" w:color="auto"/>
        <w:bottom w:val="none" w:sz="0" w:space="0" w:color="auto"/>
        <w:right w:val="none" w:sz="0" w:space="0" w:color="auto"/>
      </w:divBdr>
    </w:div>
    <w:div w:id="1157765563">
      <w:bodyDiv w:val="1"/>
      <w:marLeft w:val="0"/>
      <w:marRight w:val="0"/>
      <w:marTop w:val="0"/>
      <w:marBottom w:val="0"/>
      <w:divBdr>
        <w:top w:val="none" w:sz="0" w:space="0" w:color="auto"/>
        <w:left w:val="none" w:sz="0" w:space="0" w:color="auto"/>
        <w:bottom w:val="none" w:sz="0" w:space="0" w:color="auto"/>
        <w:right w:val="none" w:sz="0" w:space="0" w:color="auto"/>
      </w:divBdr>
    </w:div>
    <w:div w:id="1169710953">
      <w:bodyDiv w:val="1"/>
      <w:marLeft w:val="0"/>
      <w:marRight w:val="0"/>
      <w:marTop w:val="0"/>
      <w:marBottom w:val="0"/>
      <w:divBdr>
        <w:top w:val="none" w:sz="0" w:space="0" w:color="auto"/>
        <w:left w:val="none" w:sz="0" w:space="0" w:color="auto"/>
        <w:bottom w:val="none" w:sz="0" w:space="0" w:color="auto"/>
        <w:right w:val="none" w:sz="0" w:space="0" w:color="auto"/>
      </w:divBdr>
    </w:div>
    <w:div w:id="1172987749">
      <w:bodyDiv w:val="1"/>
      <w:marLeft w:val="0"/>
      <w:marRight w:val="0"/>
      <w:marTop w:val="0"/>
      <w:marBottom w:val="0"/>
      <w:divBdr>
        <w:top w:val="none" w:sz="0" w:space="0" w:color="auto"/>
        <w:left w:val="none" w:sz="0" w:space="0" w:color="auto"/>
        <w:bottom w:val="none" w:sz="0" w:space="0" w:color="auto"/>
        <w:right w:val="none" w:sz="0" w:space="0" w:color="auto"/>
      </w:divBdr>
    </w:div>
    <w:div w:id="1180199260">
      <w:bodyDiv w:val="1"/>
      <w:marLeft w:val="0"/>
      <w:marRight w:val="0"/>
      <w:marTop w:val="0"/>
      <w:marBottom w:val="0"/>
      <w:divBdr>
        <w:top w:val="none" w:sz="0" w:space="0" w:color="auto"/>
        <w:left w:val="none" w:sz="0" w:space="0" w:color="auto"/>
        <w:bottom w:val="none" w:sz="0" w:space="0" w:color="auto"/>
        <w:right w:val="none" w:sz="0" w:space="0" w:color="auto"/>
      </w:divBdr>
    </w:div>
    <w:div w:id="1218392684">
      <w:bodyDiv w:val="1"/>
      <w:marLeft w:val="0"/>
      <w:marRight w:val="0"/>
      <w:marTop w:val="0"/>
      <w:marBottom w:val="0"/>
      <w:divBdr>
        <w:top w:val="none" w:sz="0" w:space="0" w:color="auto"/>
        <w:left w:val="none" w:sz="0" w:space="0" w:color="auto"/>
        <w:bottom w:val="none" w:sz="0" w:space="0" w:color="auto"/>
        <w:right w:val="none" w:sz="0" w:space="0" w:color="auto"/>
      </w:divBdr>
    </w:div>
    <w:div w:id="1224293562">
      <w:bodyDiv w:val="1"/>
      <w:marLeft w:val="0"/>
      <w:marRight w:val="0"/>
      <w:marTop w:val="0"/>
      <w:marBottom w:val="0"/>
      <w:divBdr>
        <w:top w:val="none" w:sz="0" w:space="0" w:color="auto"/>
        <w:left w:val="none" w:sz="0" w:space="0" w:color="auto"/>
        <w:bottom w:val="none" w:sz="0" w:space="0" w:color="auto"/>
        <w:right w:val="none" w:sz="0" w:space="0" w:color="auto"/>
      </w:divBdr>
    </w:div>
    <w:div w:id="1228490629">
      <w:bodyDiv w:val="1"/>
      <w:marLeft w:val="0"/>
      <w:marRight w:val="0"/>
      <w:marTop w:val="0"/>
      <w:marBottom w:val="0"/>
      <w:divBdr>
        <w:top w:val="none" w:sz="0" w:space="0" w:color="auto"/>
        <w:left w:val="none" w:sz="0" w:space="0" w:color="auto"/>
        <w:bottom w:val="none" w:sz="0" w:space="0" w:color="auto"/>
        <w:right w:val="none" w:sz="0" w:space="0" w:color="auto"/>
      </w:divBdr>
    </w:div>
    <w:div w:id="1239095326">
      <w:bodyDiv w:val="1"/>
      <w:marLeft w:val="0"/>
      <w:marRight w:val="0"/>
      <w:marTop w:val="0"/>
      <w:marBottom w:val="0"/>
      <w:divBdr>
        <w:top w:val="none" w:sz="0" w:space="0" w:color="auto"/>
        <w:left w:val="none" w:sz="0" w:space="0" w:color="auto"/>
        <w:bottom w:val="none" w:sz="0" w:space="0" w:color="auto"/>
        <w:right w:val="none" w:sz="0" w:space="0" w:color="auto"/>
      </w:divBdr>
    </w:div>
    <w:div w:id="1258947050">
      <w:bodyDiv w:val="1"/>
      <w:marLeft w:val="0"/>
      <w:marRight w:val="0"/>
      <w:marTop w:val="0"/>
      <w:marBottom w:val="0"/>
      <w:divBdr>
        <w:top w:val="none" w:sz="0" w:space="0" w:color="auto"/>
        <w:left w:val="none" w:sz="0" w:space="0" w:color="auto"/>
        <w:bottom w:val="none" w:sz="0" w:space="0" w:color="auto"/>
        <w:right w:val="none" w:sz="0" w:space="0" w:color="auto"/>
      </w:divBdr>
    </w:div>
    <w:div w:id="1261134772">
      <w:bodyDiv w:val="1"/>
      <w:marLeft w:val="0"/>
      <w:marRight w:val="0"/>
      <w:marTop w:val="0"/>
      <w:marBottom w:val="0"/>
      <w:divBdr>
        <w:top w:val="none" w:sz="0" w:space="0" w:color="auto"/>
        <w:left w:val="none" w:sz="0" w:space="0" w:color="auto"/>
        <w:bottom w:val="none" w:sz="0" w:space="0" w:color="auto"/>
        <w:right w:val="none" w:sz="0" w:space="0" w:color="auto"/>
      </w:divBdr>
    </w:div>
    <w:div w:id="1262104556">
      <w:bodyDiv w:val="1"/>
      <w:marLeft w:val="0"/>
      <w:marRight w:val="0"/>
      <w:marTop w:val="0"/>
      <w:marBottom w:val="0"/>
      <w:divBdr>
        <w:top w:val="none" w:sz="0" w:space="0" w:color="auto"/>
        <w:left w:val="none" w:sz="0" w:space="0" w:color="auto"/>
        <w:bottom w:val="none" w:sz="0" w:space="0" w:color="auto"/>
        <w:right w:val="none" w:sz="0" w:space="0" w:color="auto"/>
      </w:divBdr>
    </w:div>
    <w:div w:id="1262687252">
      <w:bodyDiv w:val="1"/>
      <w:marLeft w:val="0"/>
      <w:marRight w:val="0"/>
      <w:marTop w:val="0"/>
      <w:marBottom w:val="0"/>
      <w:divBdr>
        <w:top w:val="none" w:sz="0" w:space="0" w:color="auto"/>
        <w:left w:val="none" w:sz="0" w:space="0" w:color="auto"/>
        <w:bottom w:val="none" w:sz="0" w:space="0" w:color="auto"/>
        <w:right w:val="none" w:sz="0" w:space="0" w:color="auto"/>
      </w:divBdr>
    </w:div>
    <w:div w:id="1266422651">
      <w:bodyDiv w:val="1"/>
      <w:marLeft w:val="0"/>
      <w:marRight w:val="0"/>
      <w:marTop w:val="0"/>
      <w:marBottom w:val="0"/>
      <w:divBdr>
        <w:top w:val="none" w:sz="0" w:space="0" w:color="auto"/>
        <w:left w:val="none" w:sz="0" w:space="0" w:color="auto"/>
        <w:bottom w:val="none" w:sz="0" w:space="0" w:color="auto"/>
        <w:right w:val="none" w:sz="0" w:space="0" w:color="auto"/>
      </w:divBdr>
    </w:div>
    <w:div w:id="1266503889">
      <w:bodyDiv w:val="1"/>
      <w:marLeft w:val="0"/>
      <w:marRight w:val="0"/>
      <w:marTop w:val="0"/>
      <w:marBottom w:val="0"/>
      <w:divBdr>
        <w:top w:val="none" w:sz="0" w:space="0" w:color="auto"/>
        <w:left w:val="none" w:sz="0" w:space="0" w:color="auto"/>
        <w:bottom w:val="none" w:sz="0" w:space="0" w:color="auto"/>
        <w:right w:val="none" w:sz="0" w:space="0" w:color="auto"/>
      </w:divBdr>
    </w:div>
    <w:div w:id="1284581468">
      <w:bodyDiv w:val="1"/>
      <w:marLeft w:val="0"/>
      <w:marRight w:val="0"/>
      <w:marTop w:val="0"/>
      <w:marBottom w:val="0"/>
      <w:divBdr>
        <w:top w:val="none" w:sz="0" w:space="0" w:color="auto"/>
        <w:left w:val="none" w:sz="0" w:space="0" w:color="auto"/>
        <w:bottom w:val="none" w:sz="0" w:space="0" w:color="auto"/>
        <w:right w:val="none" w:sz="0" w:space="0" w:color="auto"/>
      </w:divBdr>
    </w:div>
    <w:div w:id="1289161982">
      <w:bodyDiv w:val="1"/>
      <w:marLeft w:val="0"/>
      <w:marRight w:val="0"/>
      <w:marTop w:val="0"/>
      <w:marBottom w:val="0"/>
      <w:divBdr>
        <w:top w:val="none" w:sz="0" w:space="0" w:color="auto"/>
        <w:left w:val="none" w:sz="0" w:space="0" w:color="auto"/>
        <w:bottom w:val="none" w:sz="0" w:space="0" w:color="auto"/>
        <w:right w:val="none" w:sz="0" w:space="0" w:color="auto"/>
      </w:divBdr>
    </w:div>
    <w:div w:id="1290892873">
      <w:bodyDiv w:val="1"/>
      <w:marLeft w:val="0"/>
      <w:marRight w:val="0"/>
      <w:marTop w:val="0"/>
      <w:marBottom w:val="0"/>
      <w:divBdr>
        <w:top w:val="none" w:sz="0" w:space="0" w:color="auto"/>
        <w:left w:val="none" w:sz="0" w:space="0" w:color="auto"/>
        <w:bottom w:val="none" w:sz="0" w:space="0" w:color="auto"/>
        <w:right w:val="none" w:sz="0" w:space="0" w:color="auto"/>
      </w:divBdr>
    </w:div>
    <w:div w:id="1299453010">
      <w:bodyDiv w:val="1"/>
      <w:marLeft w:val="0"/>
      <w:marRight w:val="0"/>
      <w:marTop w:val="0"/>
      <w:marBottom w:val="0"/>
      <w:divBdr>
        <w:top w:val="none" w:sz="0" w:space="0" w:color="auto"/>
        <w:left w:val="none" w:sz="0" w:space="0" w:color="auto"/>
        <w:bottom w:val="none" w:sz="0" w:space="0" w:color="auto"/>
        <w:right w:val="none" w:sz="0" w:space="0" w:color="auto"/>
      </w:divBdr>
    </w:div>
    <w:div w:id="1299870879">
      <w:bodyDiv w:val="1"/>
      <w:marLeft w:val="0"/>
      <w:marRight w:val="0"/>
      <w:marTop w:val="0"/>
      <w:marBottom w:val="0"/>
      <w:divBdr>
        <w:top w:val="none" w:sz="0" w:space="0" w:color="auto"/>
        <w:left w:val="none" w:sz="0" w:space="0" w:color="auto"/>
        <w:bottom w:val="none" w:sz="0" w:space="0" w:color="auto"/>
        <w:right w:val="none" w:sz="0" w:space="0" w:color="auto"/>
      </w:divBdr>
    </w:div>
    <w:div w:id="1309282338">
      <w:bodyDiv w:val="1"/>
      <w:marLeft w:val="0"/>
      <w:marRight w:val="0"/>
      <w:marTop w:val="0"/>
      <w:marBottom w:val="0"/>
      <w:divBdr>
        <w:top w:val="none" w:sz="0" w:space="0" w:color="auto"/>
        <w:left w:val="none" w:sz="0" w:space="0" w:color="auto"/>
        <w:bottom w:val="none" w:sz="0" w:space="0" w:color="auto"/>
        <w:right w:val="none" w:sz="0" w:space="0" w:color="auto"/>
      </w:divBdr>
    </w:div>
    <w:div w:id="1311979813">
      <w:bodyDiv w:val="1"/>
      <w:marLeft w:val="0"/>
      <w:marRight w:val="0"/>
      <w:marTop w:val="0"/>
      <w:marBottom w:val="0"/>
      <w:divBdr>
        <w:top w:val="none" w:sz="0" w:space="0" w:color="auto"/>
        <w:left w:val="none" w:sz="0" w:space="0" w:color="auto"/>
        <w:bottom w:val="none" w:sz="0" w:space="0" w:color="auto"/>
        <w:right w:val="none" w:sz="0" w:space="0" w:color="auto"/>
      </w:divBdr>
    </w:div>
    <w:div w:id="1314988635">
      <w:bodyDiv w:val="1"/>
      <w:marLeft w:val="0"/>
      <w:marRight w:val="0"/>
      <w:marTop w:val="0"/>
      <w:marBottom w:val="0"/>
      <w:divBdr>
        <w:top w:val="none" w:sz="0" w:space="0" w:color="auto"/>
        <w:left w:val="none" w:sz="0" w:space="0" w:color="auto"/>
        <w:bottom w:val="none" w:sz="0" w:space="0" w:color="auto"/>
        <w:right w:val="none" w:sz="0" w:space="0" w:color="auto"/>
      </w:divBdr>
    </w:div>
    <w:div w:id="1352150472">
      <w:bodyDiv w:val="1"/>
      <w:marLeft w:val="0"/>
      <w:marRight w:val="0"/>
      <w:marTop w:val="0"/>
      <w:marBottom w:val="0"/>
      <w:divBdr>
        <w:top w:val="none" w:sz="0" w:space="0" w:color="auto"/>
        <w:left w:val="none" w:sz="0" w:space="0" w:color="auto"/>
        <w:bottom w:val="none" w:sz="0" w:space="0" w:color="auto"/>
        <w:right w:val="none" w:sz="0" w:space="0" w:color="auto"/>
      </w:divBdr>
    </w:div>
    <w:div w:id="1355500401">
      <w:bodyDiv w:val="1"/>
      <w:marLeft w:val="0"/>
      <w:marRight w:val="0"/>
      <w:marTop w:val="0"/>
      <w:marBottom w:val="0"/>
      <w:divBdr>
        <w:top w:val="none" w:sz="0" w:space="0" w:color="auto"/>
        <w:left w:val="none" w:sz="0" w:space="0" w:color="auto"/>
        <w:bottom w:val="none" w:sz="0" w:space="0" w:color="auto"/>
        <w:right w:val="none" w:sz="0" w:space="0" w:color="auto"/>
      </w:divBdr>
    </w:div>
    <w:div w:id="1356806579">
      <w:bodyDiv w:val="1"/>
      <w:marLeft w:val="0"/>
      <w:marRight w:val="0"/>
      <w:marTop w:val="0"/>
      <w:marBottom w:val="0"/>
      <w:divBdr>
        <w:top w:val="none" w:sz="0" w:space="0" w:color="auto"/>
        <w:left w:val="none" w:sz="0" w:space="0" w:color="auto"/>
        <w:bottom w:val="none" w:sz="0" w:space="0" w:color="auto"/>
        <w:right w:val="none" w:sz="0" w:space="0" w:color="auto"/>
      </w:divBdr>
    </w:div>
    <w:div w:id="1358510476">
      <w:bodyDiv w:val="1"/>
      <w:marLeft w:val="0"/>
      <w:marRight w:val="0"/>
      <w:marTop w:val="0"/>
      <w:marBottom w:val="0"/>
      <w:divBdr>
        <w:top w:val="none" w:sz="0" w:space="0" w:color="auto"/>
        <w:left w:val="none" w:sz="0" w:space="0" w:color="auto"/>
        <w:bottom w:val="none" w:sz="0" w:space="0" w:color="auto"/>
        <w:right w:val="none" w:sz="0" w:space="0" w:color="auto"/>
      </w:divBdr>
    </w:div>
    <w:div w:id="1362320159">
      <w:bodyDiv w:val="1"/>
      <w:marLeft w:val="0"/>
      <w:marRight w:val="0"/>
      <w:marTop w:val="0"/>
      <w:marBottom w:val="0"/>
      <w:divBdr>
        <w:top w:val="none" w:sz="0" w:space="0" w:color="auto"/>
        <w:left w:val="none" w:sz="0" w:space="0" w:color="auto"/>
        <w:bottom w:val="none" w:sz="0" w:space="0" w:color="auto"/>
        <w:right w:val="none" w:sz="0" w:space="0" w:color="auto"/>
      </w:divBdr>
    </w:div>
    <w:div w:id="1369141574">
      <w:bodyDiv w:val="1"/>
      <w:marLeft w:val="0"/>
      <w:marRight w:val="0"/>
      <w:marTop w:val="0"/>
      <w:marBottom w:val="0"/>
      <w:divBdr>
        <w:top w:val="none" w:sz="0" w:space="0" w:color="auto"/>
        <w:left w:val="none" w:sz="0" w:space="0" w:color="auto"/>
        <w:bottom w:val="none" w:sz="0" w:space="0" w:color="auto"/>
        <w:right w:val="none" w:sz="0" w:space="0" w:color="auto"/>
      </w:divBdr>
    </w:div>
    <w:div w:id="1391539282">
      <w:bodyDiv w:val="1"/>
      <w:marLeft w:val="0"/>
      <w:marRight w:val="0"/>
      <w:marTop w:val="0"/>
      <w:marBottom w:val="0"/>
      <w:divBdr>
        <w:top w:val="none" w:sz="0" w:space="0" w:color="auto"/>
        <w:left w:val="none" w:sz="0" w:space="0" w:color="auto"/>
        <w:bottom w:val="none" w:sz="0" w:space="0" w:color="auto"/>
        <w:right w:val="none" w:sz="0" w:space="0" w:color="auto"/>
      </w:divBdr>
    </w:div>
    <w:div w:id="1392584280">
      <w:bodyDiv w:val="1"/>
      <w:marLeft w:val="0"/>
      <w:marRight w:val="0"/>
      <w:marTop w:val="0"/>
      <w:marBottom w:val="0"/>
      <w:divBdr>
        <w:top w:val="none" w:sz="0" w:space="0" w:color="auto"/>
        <w:left w:val="none" w:sz="0" w:space="0" w:color="auto"/>
        <w:bottom w:val="none" w:sz="0" w:space="0" w:color="auto"/>
        <w:right w:val="none" w:sz="0" w:space="0" w:color="auto"/>
      </w:divBdr>
    </w:div>
    <w:div w:id="1394036955">
      <w:bodyDiv w:val="1"/>
      <w:marLeft w:val="0"/>
      <w:marRight w:val="0"/>
      <w:marTop w:val="0"/>
      <w:marBottom w:val="0"/>
      <w:divBdr>
        <w:top w:val="none" w:sz="0" w:space="0" w:color="auto"/>
        <w:left w:val="none" w:sz="0" w:space="0" w:color="auto"/>
        <w:bottom w:val="none" w:sz="0" w:space="0" w:color="auto"/>
        <w:right w:val="none" w:sz="0" w:space="0" w:color="auto"/>
      </w:divBdr>
    </w:div>
    <w:div w:id="1403065044">
      <w:bodyDiv w:val="1"/>
      <w:marLeft w:val="0"/>
      <w:marRight w:val="0"/>
      <w:marTop w:val="0"/>
      <w:marBottom w:val="0"/>
      <w:divBdr>
        <w:top w:val="none" w:sz="0" w:space="0" w:color="auto"/>
        <w:left w:val="none" w:sz="0" w:space="0" w:color="auto"/>
        <w:bottom w:val="none" w:sz="0" w:space="0" w:color="auto"/>
        <w:right w:val="none" w:sz="0" w:space="0" w:color="auto"/>
      </w:divBdr>
    </w:div>
    <w:div w:id="1414858507">
      <w:bodyDiv w:val="1"/>
      <w:marLeft w:val="0"/>
      <w:marRight w:val="0"/>
      <w:marTop w:val="0"/>
      <w:marBottom w:val="0"/>
      <w:divBdr>
        <w:top w:val="none" w:sz="0" w:space="0" w:color="auto"/>
        <w:left w:val="none" w:sz="0" w:space="0" w:color="auto"/>
        <w:bottom w:val="none" w:sz="0" w:space="0" w:color="auto"/>
        <w:right w:val="none" w:sz="0" w:space="0" w:color="auto"/>
      </w:divBdr>
    </w:div>
    <w:div w:id="1416852668">
      <w:bodyDiv w:val="1"/>
      <w:marLeft w:val="0"/>
      <w:marRight w:val="0"/>
      <w:marTop w:val="0"/>
      <w:marBottom w:val="0"/>
      <w:divBdr>
        <w:top w:val="none" w:sz="0" w:space="0" w:color="auto"/>
        <w:left w:val="none" w:sz="0" w:space="0" w:color="auto"/>
        <w:bottom w:val="none" w:sz="0" w:space="0" w:color="auto"/>
        <w:right w:val="none" w:sz="0" w:space="0" w:color="auto"/>
      </w:divBdr>
    </w:div>
    <w:div w:id="1420638206">
      <w:bodyDiv w:val="1"/>
      <w:marLeft w:val="0"/>
      <w:marRight w:val="0"/>
      <w:marTop w:val="0"/>
      <w:marBottom w:val="0"/>
      <w:divBdr>
        <w:top w:val="none" w:sz="0" w:space="0" w:color="auto"/>
        <w:left w:val="none" w:sz="0" w:space="0" w:color="auto"/>
        <w:bottom w:val="none" w:sz="0" w:space="0" w:color="auto"/>
        <w:right w:val="none" w:sz="0" w:space="0" w:color="auto"/>
      </w:divBdr>
    </w:div>
    <w:div w:id="1420906896">
      <w:bodyDiv w:val="1"/>
      <w:marLeft w:val="0"/>
      <w:marRight w:val="0"/>
      <w:marTop w:val="0"/>
      <w:marBottom w:val="0"/>
      <w:divBdr>
        <w:top w:val="none" w:sz="0" w:space="0" w:color="auto"/>
        <w:left w:val="none" w:sz="0" w:space="0" w:color="auto"/>
        <w:bottom w:val="none" w:sz="0" w:space="0" w:color="auto"/>
        <w:right w:val="none" w:sz="0" w:space="0" w:color="auto"/>
      </w:divBdr>
    </w:div>
    <w:div w:id="1425148351">
      <w:bodyDiv w:val="1"/>
      <w:marLeft w:val="0"/>
      <w:marRight w:val="0"/>
      <w:marTop w:val="0"/>
      <w:marBottom w:val="0"/>
      <w:divBdr>
        <w:top w:val="none" w:sz="0" w:space="0" w:color="auto"/>
        <w:left w:val="none" w:sz="0" w:space="0" w:color="auto"/>
        <w:bottom w:val="none" w:sz="0" w:space="0" w:color="auto"/>
        <w:right w:val="none" w:sz="0" w:space="0" w:color="auto"/>
      </w:divBdr>
    </w:div>
    <w:div w:id="1434548327">
      <w:bodyDiv w:val="1"/>
      <w:marLeft w:val="0"/>
      <w:marRight w:val="0"/>
      <w:marTop w:val="0"/>
      <w:marBottom w:val="0"/>
      <w:divBdr>
        <w:top w:val="none" w:sz="0" w:space="0" w:color="auto"/>
        <w:left w:val="none" w:sz="0" w:space="0" w:color="auto"/>
        <w:bottom w:val="none" w:sz="0" w:space="0" w:color="auto"/>
        <w:right w:val="none" w:sz="0" w:space="0" w:color="auto"/>
      </w:divBdr>
    </w:div>
    <w:div w:id="1449619427">
      <w:bodyDiv w:val="1"/>
      <w:marLeft w:val="0"/>
      <w:marRight w:val="0"/>
      <w:marTop w:val="0"/>
      <w:marBottom w:val="0"/>
      <w:divBdr>
        <w:top w:val="none" w:sz="0" w:space="0" w:color="auto"/>
        <w:left w:val="none" w:sz="0" w:space="0" w:color="auto"/>
        <w:bottom w:val="none" w:sz="0" w:space="0" w:color="auto"/>
        <w:right w:val="none" w:sz="0" w:space="0" w:color="auto"/>
      </w:divBdr>
    </w:div>
    <w:div w:id="1466662513">
      <w:bodyDiv w:val="1"/>
      <w:marLeft w:val="0"/>
      <w:marRight w:val="0"/>
      <w:marTop w:val="0"/>
      <w:marBottom w:val="0"/>
      <w:divBdr>
        <w:top w:val="none" w:sz="0" w:space="0" w:color="auto"/>
        <w:left w:val="none" w:sz="0" w:space="0" w:color="auto"/>
        <w:bottom w:val="none" w:sz="0" w:space="0" w:color="auto"/>
        <w:right w:val="none" w:sz="0" w:space="0" w:color="auto"/>
      </w:divBdr>
    </w:div>
    <w:div w:id="1470826611">
      <w:bodyDiv w:val="1"/>
      <w:marLeft w:val="0"/>
      <w:marRight w:val="0"/>
      <w:marTop w:val="0"/>
      <w:marBottom w:val="0"/>
      <w:divBdr>
        <w:top w:val="none" w:sz="0" w:space="0" w:color="auto"/>
        <w:left w:val="none" w:sz="0" w:space="0" w:color="auto"/>
        <w:bottom w:val="none" w:sz="0" w:space="0" w:color="auto"/>
        <w:right w:val="none" w:sz="0" w:space="0" w:color="auto"/>
      </w:divBdr>
    </w:div>
    <w:div w:id="1471433626">
      <w:bodyDiv w:val="1"/>
      <w:marLeft w:val="0"/>
      <w:marRight w:val="0"/>
      <w:marTop w:val="0"/>
      <w:marBottom w:val="0"/>
      <w:divBdr>
        <w:top w:val="none" w:sz="0" w:space="0" w:color="auto"/>
        <w:left w:val="none" w:sz="0" w:space="0" w:color="auto"/>
        <w:bottom w:val="none" w:sz="0" w:space="0" w:color="auto"/>
        <w:right w:val="none" w:sz="0" w:space="0" w:color="auto"/>
      </w:divBdr>
    </w:div>
    <w:div w:id="1487356151">
      <w:bodyDiv w:val="1"/>
      <w:marLeft w:val="0"/>
      <w:marRight w:val="0"/>
      <w:marTop w:val="0"/>
      <w:marBottom w:val="0"/>
      <w:divBdr>
        <w:top w:val="none" w:sz="0" w:space="0" w:color="auto"/>
        <w:left w:val="none" w:sz="0" w:space="0" w:color="auto"/>
        <w:bottom w:val="none" w:sz="0" w:space="0" w:color="auto"/>
        <w:right w:val="none" w:sz="0" w:space="0" w:color="auto"/>
      </w:divBdr>
    </w:div>
    <w:div w:id="1496530104">
      <w:bodyDiv w:val="1"/>
      <w:marLeft w:val="0"/>
      <w:marRight w:val="0"/>
      <w:marTop w:val="0"/>
      <w:marBottom w:val="0"/>
      <w:divBdr>
        <w:top w:val="none" w:sz="0" w:space="0" w:color="auto"/>
        <w:left w:val="none" w:sz="0" w:space="0" w:color="auto"/>
        <w:bottom w:val="none" w:sz="0" w:space="0" w:color="auto"/>
        <w:right w:val="none" w:sz="0" w:space="0" w:color="auto"/>
      </w:divBdr>
    </w:div>
    <w:div w:id="1518889272">
      <w:bodyDiv w:val="1"/>
      <w:marLeft w:val="0"/>
      <w:marRight w:val="0"/>
      <w:marTop w:val="0"/>
      <w:marBottom w:val="0"/>
      <w:divBdr>
        <w:top w:val="none" w:sz="0" w:space="0" w:color="auto"/>
        <w:left w:val="none" w:sz="0" w:space="0" w:color="auto"/>
        <w:bottom w:val="none" w:sz="0" w:space="0" w:color="auto"/>
        <w:right w:val="none" w:sz="0" w:space="0" w:color="auto"/>
      </w:divBdr>
    </w:div>
    <w:div w:id="1522861678">
      <w:bodyDiv w:val="1"/>
      <w:marLeft w:val="0"/>
      <w:marRight w:val="0"/>
      <w:marTop w:val="0"/>
      <w:marBottom w:val="0"/>
      <w:divBdr>
        <w:top w:val="none" w:sz="0" w:space="0" w:color="auto"/>
        <w:left w:val="none" w:sz="0" w:space="0" w:color="auto"/>
        <w:bottom w:val="none" w:sz="0" w:space="0" w:color="auto"/>
        <w:right w:val="none" w:sz="0" w:space="0" w:color="auto"/>
      </w:divBdr>
    </w:div>
    <w:div w:id="1524973781">
      <w:bodyDiv w:val="1"/>
      <w:marLeft w:val="0"/>
      <w:marRight w:val="0"/>
      <w:marTop w:val="0"/>
      <w:marBottom w:val="0"/>
      <w:divBdr>
        <w:top w:val="none" w:sz="0" w:space="0" w:color="auto"/>
        <w:left w:val="none" w:sz="0" w:space="0" w:color="auto"/>
        <w:bottom w:val="none" w:sz="0" w:space="0" w:color="auto"/>
        <w:right w:val="none" w:sz="0" w:space="0" w:color="auto"/>
      </w:divBdr>
    </w:div>
    <w:div w:id="1532231992">
      <w:bodyDiv w:val="1"/>
      <w:marLeft w:val="0"/>
      <w:marRight w:val="0"/>
      <w:marTop w:val="0"/>
      <w:marBottom w:val="0"/>
      <w:divBdr>
        <w:top w:val="none" w:sz="0" w:space="0" w:color="auto"/>
        <w:left w:val="none" w:sz="0" w:space="0" w:color="auto"/>
        <w:bottom w:val="none" w:sz="0" w:space="0" w:color="auto"/>
        <w:right w:val="none" w:sz="0" w:space="0" w:color="auto"/>
      </w:divBdr>
    </w:div>
    <w:div w:id="1534419379">
      <w:bodyDiv w:val="1"/>
      <w:marLeft w:val="0"/>
      <w:marRight w:val="0"/>
      <w:marTop w:val="0"/>
      <w:marBottom w:val="0"/>
      <w:divBdr>
        <w:top w:val="none" w:sz="0" w:space="0" w:color="auto"/>
        <w:left w:val="none" w:sz="0" w:space="0" w:color="auto"/>
        <w:bottom w:val="none" w:sz="0" w:space="0" w:color="auto"/>
        <w:right w:val="none" w:sz="0" w:space="0" w:color="auto"/>
      </w:divBdr>
    </w:div>
    <w:div w:id="1535655682">
      <w:bodyDiv w:val="1"/>
      <w:marLeft w:val="0"/>
      <w:marRight w:val="0"/>
      <w:marTop w:val="0"/>
      <w:marBottom w:val="0"/>
      <w:divBdr>
        <w:top w:val="none" w:sz="0" w:space="0" w:color="auto"/>
        <w:left w:val="none" w:sz="0" w:space="0" w:color="auto"/>
        <w:bottom w:val="none" w:sz="0" w:space="0" w:color="auto"/>
        <w:right w:val="none" w:sz="0" w:space="0" w:color="auto"/>
      </w:divBdr>
    </w:div>
    <w:div w:id="1536428114">
      <w:bodyDiv w:val="1"/>
      <w:marLeft w:val="0"/>
      <w:marRight w:val="0"/>
      <w:marTop w:val="0"/>
      <w:marBottom w:val="0"/>
      <w:divBdr>
        <w:top w:val="none" w:sz="0" w:space="0" w:color="auto"/>
        <w:left w:val="none" w:sz="0" w:space="0" w:color="auto"/>
        <w:bottom w:val="none" w:sz="0" w:space="0" w:color="auto"/>
        <w:right w:val="none" w:sz="0" w:space="0" w:color="auto"/>
      </w:divBdr>
    </w:div>
    <w:div w:id="1536501078">
      <w:bodyDiv w:val="1"/>
      <w:marLeft w:val="0"/>
      <w:marRight w:val="0"/>
      <w:marTop w:val="0"/>
      <w:marBottom w:val="0"/>
      <w:divBdr>
        <w:top w:val="none" w:sz="0" w:space="0" w:color="auto"/>
        <w:left w:val="none" w:sz="0" w:space="0" w:color="auto"/>
        <w:bottom w:val="none" w:sz="0" w:space="0" w:color="auto"/>
        <w:right w:val="none" w:sz="0" w:space="0" w:color="auto"/>
      </w:divBdr>
    </w:div>
    <w:div w:id="1546331727">
      <w:bodyDiv w:val="1"/>
      <w:marLeft w:val="0"/>
      <w:marRight w:val="0"/>
      <w:marTop w:val="0"/>
      <w:marBottom w:val="0"/>
      <w:divBdr>
        <w:top w:val="none" w:sz="0" w:space="0" w:color="auto"/>
        <w:left w:val="none" w:sz="0" w:space="0" w:color="auto"/>
        <w:bottom w:val="none" w:sz="0" w:space="0" w:color="auto"/>
        <w:right w:val="none" w:sz="0" w:space="0" w:color="auto"/>
      </w:divBdr>
    </w:div>
    <w:div w:id="1547596547">
      <w:bodyDiv w:val="1"/>
      <w:marLeft w:val="0"/>
      <w:marRight w:val="0"/>
      <w:marTop w:val="0"/>
      <w:marBottom w:val="0"/>
      <w:divBdr>
        <w:top w:val="none" w:sz="0" w:space="0" w:color="auto"/>
        <w:left w:val="none" w:sz="0" w:space="0" w:color="auto"/>
        <w:bottom w:val="none" w:sz="0" w:space="0" w:color="auto"/>
        <w:right w:val="none" w:sz="0" w:space="0" w:color="auto"/>
      </w:divBdr>
    </w:div>
    <w:div w:id="1562517823">
      <w:bodyDiv w:val="1"/>
      <w:marLeft w:val="0"/>
      <w:marRight w:val="0"/>
      <w:marTop w:val="0"/>
      <w:marBottom w:val="0"/>
      <w:divBdr>
        <w:top w:val="none" w:sz="0" w:space="0" w:color="auto"/>
        <w:left w:val="none" w:sz="0" w:space="0" w:color="auto"/>
        <w:bottom w:val="none" w:sz="0" w:space="0" w:color="auto"/>
        <w:right w:val="none" w:sz="0" w:space="0" w:color="auto"/>
      </w:divBdr>
    </w:div>
    <w:div w:id="1579437910">
      <w:bodyDiv w:val="1"/>
      <w:marLeft w:val="0"/>
      <w:marRight w:val="0"/>
      <w:marTop w:val="0"/>
      <w:marBottom w:val="0"/>
      <w:divBdr>
        <w:top w:val="none" w:sz="0" w:space="0" w:color="auto"/>
        <w:left w:val="none" w:sz="0" w:space="0" w:color="auto"/>
        <w:bottom w:val="none" w:sz="0" w:space="0" w:color="auto"/>
        <w:right w:val="none" w:sz="0" w:space="0" w:color="auto"/>
      </w:divBdr>
    </w:div>
    <w:div w:id="1581869419">
      <w:bodyDiv w:val="1"/>
      <w:marLeft w:val="0"/>
      <w:marRight w:val="0"/>
      <w:marTop w:val="0"/>
      <w:marBottom w:val="0"/>
      <w:divBdr>
        <w:top w:val="none" w:sz="0" w:space="0" w:color="auto"/>
        <w:left w:val="none" w:sz="0" w:space="0" w:color="auto"/>
        <w:bottom w:val="none" w:sz="0" w:space="0" w:color="auto"/>
        <w:right w:val="none" w:sz="0" w:space="0" w:color="auto"/>
      </w:divBdr>
    </w:div>
    <w:div w:id="1582252820">
      <w:bodyDiv w:val="1"/>
      <w:marLeft w:val="0"/>
      <w:marRight w:val="0"/>
      <w:marTop w:val="0"/>
      <w:marBottom w:val="0"/>
      <w:divBdr>
        <w:top w:val="none" w:sz="0" w:space="0" w:color="auto"/>
        <w:left w:val="none" w:sz="0" w:space="0" w:color="auto"/>
        <w:bottom w:val="none" w:sz="0" w:space="0" w:color="auto"/>
        <w:right w:val="none" w:sz="0" w:space="0" w:color="auto"/>
      </w:divBdr>
    </w:div>
    <w:div w:id="1585528794">
      <w:bodyDiv w:val="1"/>
      <w:marLeft w:val="0"/>
      <w:marRight w:val="0"/>
      <w:marTop w:val="0"/>
      <w:marBottom w:val="0"/>
      <w:divBdr>
        <w:top w:val="none" w:sz="0" w:space="0" w:color="auto"/>
        <w:left w:val="none" w:sz="0" w:space="0" w:color="auto"/>
        <w:bottom w:val="none" w:sz="0" w:space="0" w:color="auto"/>
        <w:right w:val="none" w:sz="0" w:space="0" w:color="auto"/>
      </w:divBdr>
    </w:div>
    <w:div w:id="1588617313">
      <w:bodyDiv w:val="1"/>
      <w:marLeft w:val="0"/>
      <w:marRight w:val="0"/>
      <w:marTop w:val="0"/>
      <w:marBottom w:val="0"/>
      <w:divBdr>
        <w:top w:val="none" w:sz="0" w:space="0" w:color="auto"/>
        <w:left w:val="none" w:sz="0" w:space="0" w:color="auto"/>
        <w:bottom w:val="none" w:sz="0" w:space="0" w:color="auto"/>
        <w:right w:val="none" w:sz="0" w:space="0" w:color="auto"/>
      </w:divBdr>
    </w:div>
    <w:div w:id="1595282920">
      <w:bodyDiv w:val="1"/>
      <w:marLeft w:val="0"/>
      <w:marRight w:val="0"/>
      <w:marTop w:val="0"/>
      <w:marBottom w:val="0"/>
      <w:divBdr>
        <w:top w:val="none" w:sz="0" w:space="0" w:color="auto"/>
        <w:left w:val="none" w:sz="0" w:space="0" w:color="auto"/>
        <w:bottom w:val="none" w:sz="0" w:space="0" w:color="auto"/>
        <w:right w:val="none" w:sz="0" w:space="0" w:color="auto"/>
      </w:divBdr>
    </w:div>
    <w:div w:id="1603799840">
      <w:bodyDiv w:val="1"/>
      <w:marLeft w:val="0"/>
      <w:marRight w:val="0"/>
      <w:marTop w:val="0"/>
      <w:marBottom w:val="0"/>
      <w:divBdr>
        <w:top w:val="none" w:sz="0" w:space="0" w:color="auto"/>
        <w:left w:val="none" w:sz="0" w:space="0" w:color="auto"/>
        <w:bottom w:val="none" w:sz="0" w:space="0" w:color="auto"/>
        <w:right w:val="none" w:sz="0" w:space="0" w:color="auto"/>
      </w:divBdr>
    </w:div>
    <w:div w:id="1609771196">
      <w:bodyDiv w:val="1"/>
      <w:marLeft w:val="0"/>
      <w:marRight w:val="0"/>
      <w:marTop w:val="0"/>
      <w:marBottom w:val="0"/>
      <w:divBdr>
        <w:top w:val="none" w:sz="0" w:space="0" w:color="auto"/>
        <w:left w:val="none" w:sz="0" w:space="0" w:color="auto"/>
        <w:bottom w:val="none" w:sz="0" w:space="0" w:color="auto"/>
        <w:right w:val="none" w:sz="0" w:space="0" w:color="auto"/>
      </w:divBdr>
    </w:div>
    <w:div w:id="1618757880">
      <w:bodyDiv w:val="1"/>
      <w:marLeft w:val="0"/>
      <w:marRight w:val="0"/>
      <w:marTop w:val="0"/>
      <w:marBottom w:val="0"/>
      <w:divBdr>
        <w:top w:val="none" w:sz="0" w:space="0" w:color="auto"/>
        <w:left w:val="none" w:sz="0" w:space="0" w:color="auto"/>
        <w:bottom w:val="none" w:sz="0" w:space="0" w:color="auto"/>
        <w:right w:val="none" w:sz="0" w:space="0" w:color="auto"/>
      </w:divBdr>
    </w:div>
    <w:div w:id="1620455897">
      <w:bodyDiv w:val="1"/>
      <w:marLeft w:val="0"/>
      <w:marRight w:val="0"/>
      <w:marTop w:val="0"/>
      <w:marBottom w:val="0"/>
      <w:divBdr>
        <w:top w:val="none" w:sz="0" w:space="0" w:color="auto"/>
        <w:left w:val="none" w:sz="0" w:space="0" w:color="auto"/>
        <w:bottom w:val="none" w:sz="0" w:space="0" w:color="auto"/>
        <w:right w:val="none" w:sz="0" w:space="0" w:color="auto"/>
      </w:divBdr>
    </w:div>
    <w:div w:id="1636640551">
      <w:bodyDiv w:val="1"/>
      <w:marLeft w:val="0"/>
      <w:marRight w:val="0"/>
      <w:marTop w:val="0"/>
      <w:marBottom w:val="0"/>
      <w:divBdr>
        <w:top w:val="none" w:sz="0" w:space="0" w:color="auto"/>
        <w:left w:val="none" w:sz="0" w:space="0" w:color="auto"/>
        <w:bottom w:val="none" w:sz="0" w:space="0" w:color="auto"/>
        <w:right w:val="none" w:sz="0" w:space="0" w:color="auto"/>
      </w:divBdr>
    </w:div>
    <w:div w:id="1645696951">
      <w:bodyDiv w:val="1"/>
      <w:marLeft w:val="0"/>
      <w:marRight w:val="0"/>
      <w:marTop w:val="0"/>
      <w:marBottom w:val="0"/>
      <w:divBdr>
        <w:top w:val="none" w:sz="0" w:space="0" w:color="auto"/>
        <w:left w:val="none" w:sz="0" w:space="0" w:color="auto"/>
        <w:bottom w:val="none" w:sz="0" w:space="0" w:color="auto"/>
        <w:right w:val="none" w:sz="0" w:space="0" w:color="auto"/>
      </w:divBdr>
    </w:div>
    <w:div w:id="1648362944">
      <w:bodyDiv w:val="1"/>
      <w:marLeft w:val="0"/>
      <w:marRight w:val="0"/>
      <w:marTop w:val="0"/>
      <w:marBottom w:val="0"/>
      <w:divBdr>
        <w:top w:val="none" w:sz="0" w:space="0" w:color="auto"/>
        <w:left w:val="none" w:sz="0" w:space="0" w:color="auto"/>
        <w:bottom w:val="none" w:sz="0" w:space="0" w:color="auto"/>
        <w:right w:val="none" w:sz="0" w:space="0" w:color="auto"/>
      </w:divBdr>
    </w:div>
    <w:div w:id="1650163428">
      <w:bodyDiv w:val="1"/>
      <w:marLeft w:val="0"/>
      <w:marRight w:val="0"/>
      <w:marTop w:val="0"/>
      <w:marBottom w:val="0"/>
      <w:divBdr>
        <w:top w:val="none" w:sz="0" w:space="0" w:color="auto"/>
        <w:left w:val="none" w:sz="0" w:space="0" w:color="auto"/>
        <w:bottom w:val="none" w:sz="0" w:space="0" w:color="auto"/>
        <w:right w:val="none" w:sz="0" w:space="0" w:color="auto"/>
      </w:divBdr>
    </w:div>
    <w:div w:id="1664896327">
      <w:bodyDiv w:val="1"/>
      <w:marLeft w:val="0"/>
      <w:marRight w:val="0"/>
      <w:marTop w:val="0"/>
      <w:marBottom w:val="0"/>
      <w:divBdr>
        <w:top w:val="none" w:sz="0" w:space="0" w:color="auto"/>
        <w:left w:val="none" w:sz="0" w:space="0" w:color="auto"/>
        <w:bottom w:val="none" w:sz="0" w:space="0" w:color="auto"/>
        <w:right w:val="none" w:sz="0" w:space="0" w:color="auto"/>
      </w:divBdr>
    </w:div>
    <w:div w:id="1672365820">
      <w:bodyDiv w:val="1"/>
      <w:marLeft w:val="0"/>
      <w:marRight w:val="0"/>
      <w:marTop w:val="0"/>
      <w:marBottom w:val="0"/>
      <w:divBdr>
        <w:top w:val="none" w:sz="0" w:space="0" w:color="auto"/>
        <w:left w:val="none" w:sz="0" w:space="0" w:color="auto"/>
        <w:bottom w:val="none" w:sz="0" w:space="0" w:color="auto"/>
        <w:right w:val="none" w:sz="0" w:space="0" w:color="auto"/>
      </w:divBdr>
    </w:div>
    <w:div w:id="1680933022">
      <w:bodyDiv w:val="1"/>
      <w:marLeft w:val="0"/>
      <w:marRight w:val="0"/>
      <w:marTop w:val="0"/>
      <w:marBottom w:val="0"/>
      <w:divBdr>
        <w:top w:val="none" w:sz="0" w:space="0" w:color="auto"/>
        <w:left w:val="none" w:sz="0" w:space="0" w:color="auto"/>
        <w:bottom w:val="none" w:sz="0" w:space="0" w:color="auto"/>
        <w:right w:val="none" w:sz="0" w:space="0" w:color="auto"/>
      </w:divBdr>
    </w:div>
    <w:div w:id="1702894102">
      <w:bodyDiv w:val="1"/>
      <w:marLeft w:val="0"/>
      <w:marRight w:val="0"/>
      <w:marTop w:val="0"/>
      <w:marBottom w:val="0"/>
      <w:divBdr>
        <w:top w:val="none" w:sz="0" w:space="0" w:color="auto"/>
        <w:left w:val="none" w:sz="0" w:space="0" w:color="auto"/>
        <w:bottom w:val="none" w:sz="0" w:space="0" w:color="auto"/>
        <w:right w:val="none" w:sz="0" w:space="0" w:color="auto"/>
      </w:divBdr>
    </w:div>
    <w:div w:id="1711566520">
      <w:bodyDiv w:val="1"/>
      <w:marLeft w:val="0"/>
      <w:marRight w:val="0"/>
      <w:marTop w:val="0"/>
      <w:marBottom w:val="0"/>
      <w:divBdr>
        <w:top w:val="none" w:sz="0" w:space="0" w:color="auto"/>
        <w:left w:val="none" w:sz="0" w:space="0" w:color="auto"/>
        <w:bottom w:val="none" w:sz="0" w:space="0" w:color="auto"/>
        <w:right w:val="none" w:sz="0" w:space="0" w:color="auto"/>
      </w:divBdr>
    </w:div>
    <w:div w:id="1712534338">
      <w:bodyDiv w:val="1"/>
      <w:marLeft w:val="0"/>
      <w:marRight w:val="0"/>
      <w:marTop w:val="0"/>
      <w:marBottom w:val="0"/>
      <w:divBdr>
        <w:top w:val="none" w:sz="0" w:space="0" w:color="auto"/>
        <w:left w:val="none" w:sz="0" w:space="0" w:color="auto"/>
        <w:bottom w:val="none" w:sz="0" w:space="0" w:color="auto"/>
        <w:right w:val="none" w:sz="0" w:space="0" w:color="auto"/>
      </w:divBdr>
    </w:div>
    <w:div w:id="1721316793">
      <w:bodyDiv w:val="1"/>
      <w:marLeft w:val="0"/>
      <w:marRight w:val="0"/>
      <w:marTop w:val="0"/>
      <w:marBottom w:val="0"/>
      <w:divBdr>
        <w:top w:val="none" w:sz="0" w:space="0" w:color="auto"/>
        <w:left w:val="none" w:sz="0" w:space="0" w:color="auto"/>
        <w:bottom w:val="none" w:sz="0" w:space="0" w:color="auto"/>
        <w:right w:val="none" w:sz="0" w:space="0" w:color="auto"/>
      </w:divBdr>
    </w:div>
    <w:div w:id="1724404395">
      <w:bodyDiv w:val="1"/>
      <w:marLeft w:val="0"/>
      <w:marRight w:val="0"/>
      <w:marTop w:val="0"/>
      <w:marBottom w:val="0"/>
      <w:divBdr>
        <w:top w:val="none" w:sz="0" w:space="0" w:color="auto"/>
        <w:left w:val="none" w:sz="0" w:space="0" w:color="auto"/>
        <w:bottom w:val="none" w:sz="0" w:space="0" w:color="auto"/>
        <w:right w:val="none" w:sz="0" w:space="0" w:color="auto"/>
      </w:divBdr>
    </w:div>
    <w:div w:id="1769042505">
      <w:bodyDiv w:val="1"/>
      <w:marLeft w:val="0"/>
      <w:marRight w:val="0"/>
      <w:marTop w:val="0"/>
      <w:marBottom w:val="0"/>
      <w:divBdr>
        <w:top w:val="none" w:sz="0" w:space="0" w:color="auto"/>
        <w:left w:val="none" w:sz="0" w:space="0" w:color="auto"/>
        <w:bottom w:val="none" w:sz="0" w:space="0" w:color="auto"/>
        <w:right w:val="none" w:sz="0" w:space="0" w:color="auto"/>
      </w:divBdr>
    </w:div>
    <w:div w:id="1772701715">
      <w:bodyDiv w:val="1"/>
      <w:marLeft w:val="0"/>
      <w:marRight w:val="0"/>
      <w:marTop w:val="0"/>
      <w:marBottom w:val="0"/>
      <w:divBdr>
        <w:top w:val="none" w:sz="0" w:space="0" w:color="auto"/>
        <w:left w:val="none" w:sz="0" w:space="0" w:color="auto"/>
        <w:bottom w:val="none" w:sz="0" w:space="0" w:color="auto"/>
        <w:right w:val="none" w:sz="0" w:space="0" w:color="auto"/>
      </w:divBdr>
    </w:div>
    <w:div w:id="1792213134">
      <w:bodyDiv w:val="1"/>
      <w:marLeft w:val="0"/>
      <w:marRight w:val="0"/>
      <w:marTop w:val="0"/>
      <w:marBottom w:val="0"/>
      <w:divBdr>
        <w:top w:val="none" w:sz="0" w:space="0" w:color="auto"/>
        <w:left w:val="none" w:sz="0" w:space="0" w:color="auto"/>
        <w:bottom w:val="none" w:sz="0" w:space="0" w:color="auto"/>
        <w:right w:val="none" w:sz="0" w:space="0" w:color="auto"/>
      </w:divBdr>
    </w:div>
    <w:div w:id="1813132202">
      <w:bodyDiv w:val="1"/>
      <w:marLeft w:val="0"/>
      <w:marRight w:val="0"/>
      <w:marTop w:val="0"/>
      <w:marBottom w:val="0"/>
      <w:divBdr>
        <w:top w:val="none" w:sz="0" w:space="0" w:color="auto"/>
        <w:left w:val="none" w:sz="0" w:space="0" w:color="auto"/>
        <w:bottom w:val="none" w:sz="0" w:space="0" w:color="auto"/>
        <w:right w:val="none" w:sz="0" w:space="0" w:color="auto"/>
      </w:divBdr>
    </w:div>
    <w:div w:id="1818645878">
      <w:bodyDiv w:val="1"/>
      <w:marLeft w:val="0"/>
      <w:marRight w:val="0"/>
      <w:marTop w:val="0"/>
      <w:marBottom w:val="0"/>
      <w:divBdr>
        <w:top w:val="none" w:sz="0" w:space="0" w:color="auto"/>
        <w:left w:val="none" w:sz="0" w:space="0" w:color="auto"/>
        <w:bottom w:val="none" w:sz="0" w:space="0" w:color="auto"/>
        <w:right w:val="none" w:sz="0" w:space="0" w:color="auto"/>
      </w:divBdr>
    </w:div>
    <w:div w:id="1832594835">
      <w:bodyDiv w:val="1"/>
      <w:marLeft w:val="0"/>
      <w:marRight w:val="0"/>
      <w:marTop w:val="0"/>
      <w:marBottom w:val="0"/>
      <w:divBdr>
        <w:top w:val="none" w:sz="0" w:space="0" w:color="auto"/>
        <w:left w:val="none" w:sz="0" w:space="0" w:color="auto"/>
        <w:bottom w:val="none" w:sz="0" w:space="0" w:color="auto"/>
        <w:right w:val="none" w:sz="0" w:space="0" w:color="auto"/>
      </w:divBdr>
    </w:div>
    <w:div w:id="1834880655">
      <w:bodyDiv w:val="1"/>
      <w:marLeft w:val="0"/>
      <w:marRight w:val="0"/>
      <w:marTop w:val="0"/>
      <w:marBottom w:val="0"/>
      <w:divBdr>
        <w:top w:val="none" w:sz="0" w:space="0" w:color="auto"/>
        <w:left w:val="none" w:sz="0" w:space="0" w:color="auto"/>
        <w:bottom w:val="none" w:sz="0" w:space="0" w:color="auto"/>
        <w:right w:val="none" w:sz="0" w:space="0" w:color="auto"/>
      </w:divBdr>
    </w:div>
    <w:div w:id="1835796795">
      <w:bodyDiv w:val="1"/>
      <w:marLeft w:val="0"/>
      <w:marRight w:val="0"/>
      <w:marTop w:val="0"/>
      <w:marBottom w:val="0"/>
      <w:divBdr>
        <w:top w:val="none" w:sz="0" w:space="0" w:color="auto"/>
        <w:left w:val="none" w:sz="0" w:space="0" w:color="auto"/>
        <w:bottom w:val="none" w:sz="0" w:space="0" w:color="auto"/>
        <w:right w:val="none" w:sz="0" w:space="0" w:color="auto"/>
      </w:divBdr>
    </w:div>
    <w:div w:id="1848133789">
      <w:bodyDiv w:val="1"/>
      <w:marLeft w:val="0"/>
      <w:marRight w:val="0"/>
      <w:marTop w:val="0"/>
      <w:marBottom w:val="0"/>
      <w:divBdr>
        <w:top w:val="none" w:sz="0" w:space="0" w:color="auto"/>
        <w:left w:val="none" w:sz="0" w:space="0" w:color="auto"/>
        <w:bottom w:val="none" w:sz="0" w:space="0" w:color="auto"/>
        <w:right w:val="none" w:sz="0" w:space="0" w:color="auto"/>
      </w:divBdr>
    </w:div>
    <w:div w:id="1860004471">
      <w:bodyDiv w:val="1"/>
      <w:marLeft w:val="0"/>
      <w:marRight w:val="0"/>
      <w:marTop w:val="0"/>
      <w:marBottom w:val="0"/>
      <w:divBdr>
        <w:top w:val="none" w:sz="0" w:space="0" w:color="auto"/>
        <w:left w:val="none" w:sz="0" w:space="0" w:color="auto"/>
        <w:bottom w:val="none" w:sz="0" w:space="0" w:color="auto"/>
        <w:right w:val="none" w:sz="0" w:space="0" w:color="auto"/>
      </w:divBdr>
    </w:div>
    <w:div w:id="1861892456">
      <w:bodyDiv w:val="1"/>
      <w:marLeft w:val="0"/>
      <w:marRight w:val="0"/>
      <w:marTop w:val="0"/>
      <w:marBottom w:val="0"/>
      <w:divBdr>
        <w:top w:val="none" w:sz="0" w:space="0" w:color="auto"/>
        <w:left w:val="none" w:sz="0" w:space="0" w:color="auto"/>
        <w:bottom w:val="none" w:sz="0" w:space="0" w:color="auto"/>
        <w:right w:val="none" w:sz="0" w:space="0" w:color="auto"/>
      </w:divBdr>
    </w:div>
    <w:div w:id="1868444967">
      <w:bodyDiv w:val="1"/>
      <w:marLeft w:val="0"/>
      <w:marRight w:val="0"/>
      <w:marTop w:val="0"/>
      <w:marBottom w:val="0"/>
      <w:divBdr>
        <w:top w:val="none" w:sz="0" w:space="0" w:color="auto"/>
        <w:left w:val="none" w:sz="0" w:space="0" w:color="auto"/>
        <w:bottom w:val="none" w:sz="0" w:space="0" w:color="auto"/>
        <w:right w:val="none" w:sz="0" w:space="0" w:color="auto"/>
      </w:divBdr>
    </w:div>
    <w:div w:id="1875382524">
      <w:bodyDiv w:val="1"/>
      <w:marLeft w:val="0"/>
      <w:marRight w:val="0"/>
      <w:marTop w:val="0"/>
      <w:marBottom w:val="0"/>
      <w:divBdr>
        <w:top w:val="none" w:sz="0" w:space="0" w:color="auto"/>
        <w:left w:val="none" w:sz="0" w:space="0" w:color="auto"/>
        <w:bottom w:val="none" w:sz="0" w:space="0" w:color="auto"/>
        <w:right w:val="none" w:sz="0" w:space="0" w:color="auto"/>
      </w:divBdr>
    </w:div>
    <w:div w:id="1883054068">
      <w:bodyDiv w:val="1"/>
      <w:marLeft w:val="0"/>
      <w:marRight w:val="0"/>
      <w:marTop w:val="0"/>
      <w:marBottom w:val="0"/>
      <w:divBdr>
        <w:top w:val="none" w:sz="0" w:space="0" w:color="auto"/>
        <w:left w:val="none" w:sz="0" w:space="0" w:color="auto"/>
        <w:bottom w:val="none" w:sz="0" w:space="0" w:color="auto"/>
        <w:right w:val="none" w:sz="0" w:space="0" w:color="auto"/>
      </w:divBdr>
    </w:div>
    <w:div w:id="1903372483">
      <w:bodyDiv w:val="1"/>
      <w:marLeft w:val="0"/>
      <w:marRight w:val="0"/>
      <w:marTop w:val="0"/>
      <w:marBottom w:val="0"/>
      <w:divBdr>
        <w:top w:val="none" w:sz="0" w:space="0" w:color="auto"/>
        <w:left w:val="none" w:sz="0" w:space="0" w:color="auto"/>
        <w:bottom w:val="none" w:sz="0" w:space="0" w:color="auto"/>
        <w:right w:val="none" w:sz="0" w:space="0" w:color="auto"/>
      </w:divBdr>
    </w:div>
    <w:div w:id="1920601179">
      <w:bodyDiv w:val="1"/>
      <w:marLeft w:val="0"/>
      <w:marRight w:val="0"/>
      <w:marTop w:val="0"/>
      <w:marBottom w:val="0"/>
      <w:divBdr>
        <w:top w:val="none" w:sz="0" w:space="0" w:color="auto"/>
        <w:left w:val="none" w:sz="0" w:space="0" w:color="auto"/>
        <w:bottom w:val="none" w:sz="0" w:space="0" w:color="auto"/>
        <w:right w:val="none" w:sz="0" w:space="0" w:color="auto"/>
      </w:divBdr>
    </w:div>
    <w:div w:id="1940989586">
      <w:bodyDiv w:val="1"/>
      <w:marLeft w:val="0"/>
      <w:marRight w:val="0"/>
      <w:marTop w:val="0"/>
      <w:marBottom w:val="0"/>
      <w:divBdr>
        <w:top w:val="none" w:sz="0" w:space="0" w:color="auto"/>
        <w:left w:val="none" w:sz="0" w:space="0" w:color="auto"/>
        <w:bottom w:val="none" w:sz="0" w:space="0" w:color="auto"/>
        <w:right w:val="none" w:sz="0" w:space="0" w:color="auto"/>
      </w:divBdr>
    </w:div>
    <w:div w:id="1943997048">
      <w:bodyDiv w:val="1"/>
      <w:marLeft w:val="0"/>
      <w:marRight w:val="0"/>
      <w:marTop w:val="0"/>
      <w:marBottom w:val="0"/>
      <w:divBdr>
        <w:top w:val="none" w:sz="0" w:space="0" w:color="auto"/>
        <w:left w:val="none" w:sz="0" w:space="0" w:color="auto"/>
        <w:bottom w:val="none" w:sz="0" w:space="0" w:color="auto"/>
        <w:right w:val="none" w:sz="0" w:space="0" w:color="auto"/>
      </w:divBdr>
    </w:div>
    <w:div w:id="1959069762">
      <w:bodyDiv w:val="1"/>
      <w:marLeft w:val="0"/>
      <w:marRight w:val="0"/>
      <w:marTop w:val="0"/>
      <w:marBottom w:val="0"/>
      <w:divBdr>
        <w:top w:val="none" w:sz="0" w:space="0" w:color="auto"/>
        <w:left w:val="none" w:sz="0" w:space="0" w:color="auto"/>
        <w:bottom w:val="none" w:sz="0" w:space="0" w:color="auto"/>
        <w:right w:val="none" w:sz="0" w:space="0" w:color="auto"/>
      </w:divBdr>
    </w:div>
    <w:div w:id="1969968624">
      <w:bodyDiv w:val="1"/>
      <w:marLeft w:val="0"/>
      <w:marRight w:val="0"/>
      <w:marTop w:val="0"/>
      <w:marBottom w:val="0"/>
      <w:divBdr>
        <w:top w:val="none" w:sz="0" w:space="0" w:color="auto"/>
        <w:left w:val="none" w:sz="0" w:space="0" w:color="auto"/>
        <w:bottom w:val="none" w:sz="0" w:space="0" w:color="auto"/>
        <w:right w:val="none" w:sz="0" w:space="0" w:color="auto"/>
      </w:divBdr>
    </w:div>
    <w:div w:id="1971545151">
      <w:bodyDiv w:val="1"/>
      <w:marLeft w:val="0"/>
      <w:marRight w:val="0"/>
      <w:marTop w:val="0"/>
      <w:marBottom w:val="0"/>
      <w:divBdr>
        <w:top w:val="none" w:sz="0" w:space="0" w:color="auto"/>
        <w:left w:val="none" w:sz="0" w:space="0" w:color="auto"/>
        <w:bottom w:val="none" w:sz="0" w:space="0" w:color="auto"/>
        <w:right w:val="none" w:sz="0" w:space="0" w:color="auto"/>
      </w:divBdr>
    </w:div>
    <w:div w:id="1978413943">
      <w:bodyDiv w:val="1"/>
      <w:marLeft w:val="0"/>
      <w:marRight w:val="0"/>
      <w:marTop w:val="0"/>
      <w:marBottom w:val="0"/>
      <w:divBdr>
        <w:top w:val="none" w:sz="0" w:space="0" w:color="auto"/>
        <w:left w:val="none" w:sz="0" w:space="0" w:color="auto"/>
        <w:bottom w:val="none" w:sz="0" w:space="0" w:color="auto"/>
        <w:right w:val="none" w:sz="0" w:space="0" w:color="auto"/>
      </w:divBdr>
    </w:div>
    <w:div w:id="1987660815">
      <w:bodyDiv w:val="1"/>
      <w:marLeft w:val="0"/>
      <w:marRight w:val="0"/>
      <w:marTop w:val="0"/>
      <w:marBottom w:val="0"/>
      <w:divBdr>
        <w:top w:val="none" w:sz="0" w:space="0" w:color="auto"/>
        <w:left w:val="none" w:sz="0" w:space="0" w:color="auto"/>
        <w:bottom w:val="none" w:sz="0" w:space="0" w:color="auto"/>
        <w:right w:val="none" w:sz="0" w:space="0" w:color="auto"/>
      </w:divBdr>
    </w:div>
    <w:div w:id="1987974080">
      <w:bodyDiv w:val="1"/>
      <w:marLeft w:val="0"/>
      <w:marRight w:val="0"/>
      <w:marTop w:val="0"/>
      <w:marBottom w:val="0"/>
      <w:divBdr>
        <w:top w:val="none" w:sz="0" w:space="0" w:color="auto"/>
        <w:left w:val="none" w:sz="0" w:space="0" w:color="auto"/>
        <w:bottom w:val="none" w:sz="0" w:space="0" w:color="auto"/>
        <w:right w:val="none" w:sz="0" w:space="0" w:color="auto"/>
      </w:divBdr>
    </w:div>
    <w:div w:id="1995448885">
      <w:bodyDiv w:val="1"/>
      <w:marLeft w:val="0"/>
      <w:marRight w:val="0"/>
      <w:marTop w:val="0"/>
      <w:marBottom w:val="0"/>
      <w:divBdr>
        <w:top w:val="none" w:sz="0" w:space="0" w:color="auto"/>
        <w:left w:val="none" w:sz="0" w:space="0" w:color="auto"/>
        <w:bottom w:val="none" w:sz="0" w:space="0" w:color="auto"/>
        <w:right w:val="none" w:sz="0" w:space="0" w:color="auto"/>
      </w:divBdr>
    </w:div>
    <w:div w:id="2010676741">
      <w:bodyDiv w:val="1"/>
      <w:marLeft w:val="0"/>
      <w:marRight w:val="0"/>
      <w:marTop w:val="0"/>
      <w:marBottom w:val="0"/>
      <w:divBdr>
        <w:top w:val="none" w:sz="0" w:space="0" w:color="auto"/>
        <w:left w:val="none" w:sz="0" w:space="0" w:color="auto"/>
        <w:bottom w:val="none" w:sz="0" w:space="0" w:color="auto"/>
        <w:right w:val="none" w:sz="0" w:space="0" w:color="auto"/>
      </w:divBdr>
    </w:div>
    <w:div w:id="2015915119">
      <w:bodyDiv w:val="1"/>
      <w:marLeft w:val="0"/>
      <w:marRight w:val="0"/>
      <w:marTop w:val="0"/>
      <w:marBottom w:val="0"/>
      <w:divBdr>
        <w:top w:val="none" w:sz="0" w:space="0" w:color="auto"/>
        <w:left w:val="none" w:sz="0" w:space="0" w:color="auto"/>
        <w:bottom w:val="none" w:sz="0" w:space="0" w:color="auto"/>
        <w:right w:val="none" w:sz="0" w:space="0" w:color="auto"/>
      </w:divBdr>
    </w:div>
    <w:div w:id="2053382272">
      <w:bodyDiv w:val="1"/>
      <w:marLeft w:val="0"/>
      <w:marRight w:val="0"/>
      <w:marTop w:val="0"/>
      <w:marBottom w:val="0"/>
      <w:divBdr>
        <w:top w:val="none" w:sz="0" w:space="0" w:color="auto"/>
        <w:left w:val="none" w:sz="0" w:space="0" w:color="auto"/>
        <w:bottom w:val="none" w:sz="0" w:space="0" w:color="auto"/>
        <w:right w:val="none" w:sz="0" w:space="0" w:color="auto"/>
      </w:divBdr>
    </w:div>
    <w:div w:id="2064670150">
      <w:bodyDiv w:val="1"/>
      <w:marLeft w:val="0"/>
      <w:marRight w:val="0"/>
      <w:marTop w:val="0"/>
      <w:marBottom w:val="0"/>
      <w:divBdr>
        <w:top w:val="none" w:sz="0" w:space="0" w:color="auto"/>
        <w:left w:val="none" w:sz="0" w:space="0" w:color="auto"/>
        <w:bottom w:val="none" w:sz="0" w:space="0" w:color="auto"/>
        <w:right w:val="none" w:sz="0" w:space="0" w:color="auto"/>
      </w:divBdr>
    </w:div>
    <w:div w:id="2067101213">
      <w:bodyDiv w:val="1"/>
      <w:marLeft w:val="0"/>
      <w:marRight w:val="0"/>
      <w:marTop w:val="0"/>
      <w:marBottom w:val="0"/>
      <w:divBdr>
        <w:top w:val="none" w:sz="0" w:space="0" w:color="auto"/>
        <w:left w:val="none" w:sz="0" w:space="0" w:color="auto"/>
        <w:bottom w:val="none" w:sz="0" w:space="0" w:color="auto"/>
        <w:right w:val="none" w:sz="0" w:space="0" w:color="auto"/>
      </w:divBdr>
    </w:div>
    <w:div w:id="2081445911">
      <w:bodyDiv w:val="1"/>
      <w:marLeft w:val="0"/>
      <w:marRight w:val="0"/>
      <w:marTop w:val="0"/>
      <w:marBottom w:val="0"/>
      <w:divBdr>
        <w:top w:val="none" w:sz="0" w:space="0" w:color="auto"/>
        <w:left w:val="none" w:sz="0" w:space="0" w:color="auto"/>
        <w:bottom w:val="none" w:sz="0" w:space="0" w:color="auto"/>
        <w:right w:val="none" w:sz="0" w:space="0" w:color="auto"/>
      </w:divBdr>
    </w:div>
    <w:div w:id="2089764593">
      <w:bodyDiv w:val="1"/>
      <w:marLeft w:val="0"/>
      <w:marRight w:val="0"/>
      <w:marTop w:val="0"/>
      <w:marBottom w:val="0"/>
      <w:divBdr>
        <w:top w:val="none" w:sz="0" w:space="0" w:color="auto"/>
        <w:left w:val="none" w:sz="0" w:space="0" w:color="auto"/>
        <w:bottom w:val="none" w:sz="0" w:space="0" w:color="auto"/>
        <w:right w:val="none" w:sz="0" w:space="0" w:color="auto"/>
      </w:divBdr>
    </w:div>
    <w:div w:id="2091849106">
      <w:bodyDiv w:val="1"/>
      <w:marLeft w:val="0"/>
      <w:marRight w:val="0"/>
      <w:marTop w:val="0"/>
      <w:marBottom w:val="0"/>
      <w:divBdr>
        <w:top w:val="none" w:sz="0" w:space="0" w:color="auto"/>
        <w:left w:val="none" w:sz="0" w:space="0" w:color="auto"/>
        <w:bottom w:val="none" w:sz="0" w:space="0" w:color="auto"/>
        <w:right w:val="none" w:sz="0" w:space="0" w:color="auto"/>
      </w:divBdr>
    </w:div>
    <w:div w:id="2106223196">
      <w:bodyDiv w:val="1"/>
      <w:marLeft w:val="0"/>
      <w:marRight w:val="0"/>
      <w:marTop w:val="0"/>
      <w:marBottom w:val="0"/>
      <w:divBdr>
        <w:top w:val="none" w:sz="0" w:space="0" w:color="auto"/>
        <w:left w:val="none" w:sz="0" w:space="0" w:color="auto"/>
        <w:bottom w:val="none" w:sz="0" w:space="0" w:color="auto"/>
        <w:right w:val="none" w:sz="0" w:space="0" w:color="auto"/>
      </w:divBdr>
    </w:div>
    <w:div w:id="2114739447">
      <w:bodyDiv w:val="1"/>
      <w:marLeft w:val="0"/>
      <w:marRight w:val="0"/>
      <w:marTop w:val="0"/>
      <w:marBottom w:val="0"/>
      <w:divBdr>
        <w:top w:val="none" w:sz="0" w:space="0" w:color="auto"/>
        <w:left w:val="none" w:sz="0" w:space="0" w:color="auto"/>
        <w:bottom w:val="none" w:sz="0" w:space="0" w:color="auto"/>
        <w:right w:val="none" w:sz="0" w:space="0" w:color="auto"/>
      </w:divBdr>
    </w:div>
    <w:div w:id="2115049597">
      <w:bodyDiv w:val="1"/>
      <w:marLeft w:val="0"/>
      <w:marRight w:val="0"/>
      <w:marTop w:val="0"/>
      <w:marBottom w:val="0"/>
      <w:divBdr>
        <w:top w:val="none" w:sz="0" w:space="0" w:color="auto"/>
        <w:left w:val="none" w:sz="0" w:space="0" w:color="auto"/>
        <w:bottom w:val="none" w:sz="0" w:space="0" w:color="auto"/>
        <w:right w:val="none" w:sz="0" w:space="0" w:color="auto"/>
      </w:divBdr>
    </w:div>
    <w:div w:id="2123301906">
      <w:bodyDiv w:val="1"/>
      <w:marLeft w:val="0"/>
      <w:marRight w:val="0"/>
      <w:marTop w:val="0"/>
      <w:marBottom w:val="0"/>
      <w:divBdr>
        <w:top w:val="none" w:sz="0" w:space="0" w:color="auto"/>
        <w:left w:val="none" w:sz="0" w:space="0" w:color="auto"/>
        <w:bottom w:val="none" w:sz="0" w:space="0" w:color="auto"/>
        <w:right w:val="none" w:sz="0" w:space="0" w:color="auto"/>
      </w:divBdr>
    </w:div>
    <w:div w:id="2141805833">
      <w:bodyDiv w:val="1"/>
      <w:marLeft w:val="0"/>
      <w:marRight w:val="0"/>
      <w:marTop w:val="0"/>
      <w:marBottom w:val="0"/>
      <w:divBdr>
        <w:top w:val="none" w:sz="0" w:space="0" w:color="auto"/>
        <w:left w:val="none" w:sz="0" w:space="0" w:color="auto"/>
        <w:bottom w:val="none" w:sz="0" w:space="0" w:color="auto"/>
        <w:right w:val="none" w:sz="0" w:space="0" w:color="auto"/>
      </w:divBdr>
    </w:div>
    <w:div w:id="214499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History_of_banking" TargetMode="Externa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000" b="1">
                <a:solidFill>
                  <a:sysClr val="windowText" lastClr="000000"/>
                </a:solidFill>
                <a:latin typeface="Arial" panose="020B0604020202020204" pitchFamily="34" charset="0"/>
                <a:cs typeface="Arial" panose="020B0604020202020204" pitchFamily="34" charset="0"/>
              </a:rPr>
              <a:t>Banking</a:t>
            </a:r>
            <a:r>
              <a:rPr lang="en-US" sz="1000" b="1" baseline="0">
                <a:solidFill>
                  <a:sysClr val="windowText" lastClr="000000"/>
                </a:solidFill>
                <a:latin typeface="Arial" panose="020B0604020202020204" pitchFamily="34" charset="0"/>
                <a:cs typeface="Arial" panose="020B0604020202020204" pitchFamily="34" charset="0"/>
              </a:rPr>
              <a:t> Branches In Germany</a:t>
            </a:r>
            <a:endParaRPr lang="en-US" sz="1000" b="1">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de-DE"/>
        </a:p>
      </c:txPr>
    </c:title>
    <c:autoTitleDeleted val="0"/>
    <c:plotArea>
      <c:layout/>
      <c:lineChart>
        <c:grouping val="standard"/>
        <c:varyColors val="0"/>
        <c:ser>
          <c:idx val="0"/>
          <c:order val="0"/>
          <c:tx>
            <c:strRef>
              <c:f>Tabelle1!$B$1</c:f>
              <c:strCache>
                <c:ptCount val="1"/>
                <c:pt idx="0">
                  <c:v>Banking Branches</c:v>
                </c:pt>
              </c:strCache>
            </c:strRef>
          </c:tx>
          <c:spPr>
            <a:ln w="28575" cap="rnd">
              <a:solidFill>
                <a:schemeClr val="tx1">
                  <a:lumMod val="95000"/>
                  <a:lumOff val="5000"/>
                </a:schemeClr>
              </a:solidFill>
              <a:round/>
            </a:ln>
            <a:effectLst/>
          </c:spPr>
          <c:marker>
            <c:symbol val="circle"/>
            <c:size val="5"/>
            <c:spPr>
              <a:solidFill>
                <a:schemeClr val="tx1">
                  <a:lumMod val="95000"/>
                  <a:lumOff val="5000"/>
                </a:schemeClr>
              </a:solidFill>
              <a:ln w="9525">
                <a:solidFill>
                  <a:schemeClr val="tx1">
                    <a:lumMod val="95000"/>
                    <a:lumOff val="5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800" b="0" i="1"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de-D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Tabelle1!$A$2:$A$11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Tabelle1!$B$2:$B$11</c:f>
              <c:numCache>
                <c:formatCode>General</c:formatCode>
                <c:ptCount val="10"/>
                <c:pt idx="0">
                  <c:v>41734</c:v>
                </c:pt>
                <c:pt idx="1">
                  <c:v>41009</c:v>
                </c:pt>
                <c:pt idx="2">
                  <c:v>40276</c:v>
                </c:pt>
                <c:pt idx="3">
                  <c:v>39799</c:v>
                </c:pt>
                <c:pt idx="4">
                  <c:v>38336</c:v>
                </c:pt>
                <c:pt idx="5">
                  <c:v>38225</c:v>
                </c:pt>
                <c:pt idx="6">
                  <c:v>37293</c:v>
                </c:pt>
                <c:pt idx="7">
                  <c:v>36005</c:v>
                </c:pt>
                <c:pt idx="8">
                  <c:v>33914</c:v>
                </c:pt>
                <c:pt idx="9">
                  <c:v>31949</c:v>
                </c:pt>
              </c:numCache>
            </c:numRef>
          </c:val>
          <c:smooth val="0"/>
          <c:extLst>
            <c:ext xmlns:c16="http://schemas.microsoft.com/office/drawing/2014/chart" uri="{C3380CC4-5D6E-409C-BE32-E72D297353CC}">
              <c16:uniqueId val="{00000000-B617-4FDA-B3E5-16B245E7F92D}"/>
            </c:ext>
          </c:extLst>
        </c:ser>
        <c:dLbls>
          <c:dLblPos val="b"/>
          <c:showLegendKey val="0"/>
          <c:showVal val="1"/>
          <c:showCatName val="0"/>
          <c:showSerName val="0"/>
          <c:showPercent val="0"/>
          <c:showBubbleSize val="0"/>
        </c:dLbls>
        <c:marker val="1"/>
        <c:smooth val="0"/>
        <c:axId val="284398152"/>
        <c:axId val="284396840"/>
      </c:lineChart>
      <c:catAx>
        <c:axId val="2843981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de-DE"/>
          </a:p>
        </c:txPr>
        <c:crossAx val="284396840"/>
        <c:crosses val="autoZero"/>
        <c:auto val="1"/>
        <c:lblAlgn val="ctr"/>
        <c:lblOffset val="100"/>
        <c:noMultiLvlLbl val="0"/>
      </c:catAx>
      <c:valAx>
        <c:axId val="284396840"/>
        <c:scaling>
          <c:orientation val="minMax"/>
          <c:min val="30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endParaRPr lang="de-DE"/>
          </a:p>
        </c:txPr>
        <c:crossAx val="284398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de-D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spc="0" baseline="0">
                <a:solidFill>
                  <a:schemeClr val="tx1"/>
                </a:solidFill>
                <a:latin typeface="Arial" panose="020B0604020202020204" pitchFamily="34" charset="0"/>
                <a:ea typeface="+mn-ea"/>
                <a:cs typeface="Arial" panose="020B0604020202020204" pitchFamily="34" charset="0"/>
              </a:defRPr>
            </a:pPr>
            <a:r>
              <a:rPr lang="en-US" sz="1050" b="1">
                <a:latin typeface="Arial" panose="020B0604020202020204" pitchFamily="34" charset="0"/>
                <a:cs typeface="Arial" panose="020B0604020202020204" pitchFamily="34" charset="0"/>
              </a:rPr>
              <a:t>Change In The Number Of Credit Institutions From 2017-2018</a:t>
            </a:r>
          </a:p>
        </c:rich>
      </c:tx>
      <c:overlay val="0"/>
      <c:spPr>
        <a:noFill/>
        <a:ln>
          <a:noFill/>
        </a:ln>
        <a:effectLst/>
      </c:spPr>
      <c:txPr>
        <a:bodyPr rot="0" spcFirstLastPara="1" vertOverflow="ellipsis" vert="horz" wrap="square" anchor="ctr" anchorCtr="1"/>
        <a:lstStyle/>
        <a:p>
          <a:pPr>
            <a:defRPr sz="1050" b="1" i="0" u="none" strike="noStrike" kern="1200" spc="0" baseline="0">
              <a:solidFill>
                <a:schemeClr val="tx1"/>
              </a:solidFill>
              <a:latin typeface="Arial" panose="020B0604020202020204" pitchFamily="34" charset="0"/>
              <a:ea typeface="+mn-ea"/>
              <a:cs typeface="Arial" panose="020B0604020202020204" pitchFamily="34" charset="0"/>
            </a:defRPr>
          </a:pPr>
          <a:endParaRPr lang="de-DE"/>
        </a:p>
      </c:txPr>
    </c:title>
    <c:autoTitleDeleted val="0"/>
    <c:plotArea>
      <c:layout/>
      <c:barChart>
        <c:barDir val="col"/>
        <c:grouping val="clustered"/>
        <c:varyColors val="0"/>
        <c:ser>
          <c:idx val="0"/>
          <c:order val="0"/>
          <c:tx>
            <c:strRef>
              <c:f>Tabelle1!$B$1</c:f>
              <c:strCache>
                <c:ptCount val="1"/>
                <c:pt idx="0">
                  <c:v>Change In Credit Institutions</c:v>
                </c:pt>
              </c:strCache>
            </c:strRef>
          </c:tx>
          <c:spPr>
            <a:solidFill>
              <a:schemeClr val="tx1"/>
            </a:solidFill>
            <a:ln>
              <a:noFill/>
            </a:ln>
            <a:effectLst/>
          </c:spPr>
          <c:invertIfNegative val="0"/>
          <c:dLbls>
            <c:spPr>
              <a:noFill/>
              <a:ln>
                <a:noFill/>
              </a:ln>
              <a:effectLst/>
            </c:spPr>
            <c:txPr>
              <a:bodyPr rot="0" spcFirstLastPara="1" vertOverflow="ellipsis" vert="horz" wrap="square" anchor="ctr" anchorCtr="1"/>
              <a:lstStyle/>
              <a:p>
                <a:pPr>
                  <a:defRPr sz="800" b="0" i="1"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de-D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Tabelle1!$A$2:$A$11</c:f>
              <c:strCache>
                <c:ptCount val="10"/>
                <c:pt idx="0">
                  <c:v>Poland</c:v>
                </c:pt>
                <c:pt idx="1">
                  <c:v>Netherlands</c:v>
                </c:pt>
                <c:pt idx="2">
                  <c:v>Portugal</c:v>
                </c:pt>
                <c:pt idx="3">
                  <c:v>Sweden</c:v>
                </c:pt>
                <c:pt idx="4">
                  <c:v>Spain</c:v>
                </c:pt>
                <c:pt idx="5">
                  <c:v>Finland</c:v>
                </c:pt>
                <c:pt idx="6">
                  <c:v>France</c:v>
                </c:pt>
                <c:pt idx="7">
                  <c:v>Austria</c:v>
                </c:pt>
                <c:pt idx="8">
                  <c:v>Italy</c:v>
                </c:pt>
                <c:pt idx="9">
                  <c:v>Germany</c:v>
                </c:pt>
              </c:strCache>
            </c:strRef>
          </c:cat>
          <c:val>
            <c:numRef>
              <c:f>Tabelle1!$B$2:$B$11</c:f>
              <c:numCache>
                <c:formatCode>General</c:formatCode>
                <c:ptCount val="10"/>
                <c:pt idx="0">
                  <c:v>2</c:v>
                </c:pt>
                <c:pt idx="1">
                  <c:v>1</c:v>
                </c:pt>
                <c:pt idx="2">
                  <c:v>0</c:v>
                </c:pt>
                <c:pt idx="3">
                  <c:v>-3</c:v>
                </c:pt>
                <c:pt idx="4">
                  <c:v>-6</c:v>
                </c:pt>
                <c:pt idx="5">
                  <c:v>-10</c:v>
                </c:pt>
                <c:pt idx="6">
                  <c:v>-13</c:v>
                </c:pt>
                <c:pt idx="7">
                  <c:v>-28</c:v>
                </c:pt>
                <c:pt idx="8">
                  <c:v>-38</c:v>
                </c:pt>
                <c:pt idx="9">
                  <c:v>-48</c:v>
                </c:pt>
              </c:numCache>
            </c:numRef>
          </c:val>
          <c:extLst>
            <c:ext xmlns:c16="http://schemas.microsoft.com/office/drawing/2014/chart" uri="{C3380CC4-5D6E-409C-BE32-E72D297353CC}">
              <c16:uniqueId val="{00000000-DD51-4BA7-AFAD-A186B437BD8B}"/>
            </c:ext>
          </c:extLst>
        </c:ser>
        <c:dLbls>
          <c:dLblPos val="outEnd"/>
          <c:showLegendKey val="0"/>
          <c:showVal val="1"/>
          <c:showCatName val="0"/>
          <c:showSerName val="0"/>
          <c:showPercent val="0"/>
          <c:showBubbleSize val="0"/>
        </c:dLbls>
        <c:gapWidth val="219"/>
        <c:overlap val="-27"/>
        <c:axId val="411234864"/>
        <c:axId val="411236176"/>
      </c:barChart>
      <c:catAx>
        <c:axId val="411234864"/>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de-DE"/>
          </a:p>
        </c:txPr>
        <c:crossAx val="411236176"/>
        <c:crosses val="autoZero"/>
        <c:auto val="1"/>
        <c:lblAlgn val="ctr"/>
        <c:lblOffset val="1000"/>
        <c:noMultiLvlLbl val="0"/>
      </c:catAx>
      <c:valAx>
        <c:axId val="411236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de-DE"/>
          </a:p>
        </c:txPr>
        <c:crossAx val="411234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defRPr>
      </a:pPr>
      <a:endParaRPr lang="de-D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000" b="1">
                <a:solidFill>
                  <a:sysClr val="windowText" lastClr="000000"/>
                </a:solidFill>
              </a:rPr>
              <a:t>Proportion (%) Of Users Of Online Banking</a:t>
            </a:r>
            <a:endParaRPr lang="de-AT" sz="1000" b="1">
              <a:solidFill>
                <a:sysClr val="windowText" lastClr="000000"/>
              </a:solidFill>
            </a:endParaRPr>
          </a:p>
        </c:rich>
      </c:tx>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de-DE"/>
        </a:p>
      </c:txPr>
    </c:title>
    <c:autoTitleDeleted val="0"/>
    <c:plotArea>
      <c:layout/>
      <c:barChart>
        <c:barDir val="col"/>
        <c:grouping val="clustered"/>
        <c:varyColors val="0"/>
        <c:ser>
          <c:idx val="0"/>
          <c:order val="0"/>
          <c:tx>
            <c:strRef>
              <c:f>Tabelle1!$B$1</c:f>
              <c:strCache>
                <c:ptCount val="1"/>
                <c:pt idx="0">
                  <c:v>Norway</c:v>
                </c:pt>
              </c:strCache>
            </c:strRef>
          </c:tx>
          <c:spPr>
            <a:solidFill>
              <a:schemeClr val="tx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de-D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c:f>
              <c:strCache>
                <c:ptCount val="1"/>
                <c:pt idx="0">
                  <c:v>Internet Banking Users</c:v>
                </c:pt>
              </c:strCache>
            </c:strRef>
          </c:cat>
          <c:val>
            <c:numRef>
              <c:f>Tabelle1!$B$2</c:f>
              <c:numCache>
                <c:formatCode>General</c:formatCode>
                <c:ptCount val="1"/>
                <c:pt idx="0">
                  <c:v>95</c:v>
                </c:pt>
              </c:numCache>
            </c:numRef>
          </c:val>
          <c:extLst>
            <c:ext xmlns:c16="http://schemas.microsoft.com/office/drawing/2014/chart" uri="{C3380CC4-5D6E-409C-BE32-E72D297353CC}">
              <c16:uniqueId val="{00000000-122E-4465-A8A5-C7F180256270}"/>
            </c:ext>
          </c:extLst>
        </c:ser>
        <c:ser>
          <c:idx val="1"/>
          <c:order val="1"/>
          <c:tx>
            <c:strRef>
              <c:f>Tabelle1!$C$1</c:f>
              <c:strCache>
                <c:ptCount val="1"/>
                <c:pt idx="0">
                  <c:v>Netherlands</c:v>
                </c:pt>
              </c:strCache>
            </c:strRef>
          </c:tx>
          <c:spPr>
            <a:solidFill>
              <a:srgbClr val="292929"/>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de-D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c:f>
              <c:strCache>
                <c:ptCount val="1"/>
                <c:pt idx="0">
                  <c:v>Internet Banking Users</c:v>
                </c:pt>
              </c:strCache>
            </c:strRef>
          </c:cat>
          <c:val>
            <c:numRef>
              <c:f>Tabelle1!$C$2</c:f>
              <c:numCache>
                <c:formatCode>General</c:formatCode>
                <c:ptCount val="1"/>
                <c:pt idx="0">
                  <c:v>91</c:v>
                </c:pt>
              </c:numCache>
            </c:numRef>
          </c:val>
          <c:extLst>
            <c:ext xmlns:c16="http://schemas.microsoft.com/office/drawing/2014/chart" uri="{C3380CC4-5D6E-409C-BE32-E72D297353CC}">
              <c16:uniqueId val="{00000001-122E-4465-A8A5-C7F180256270}"/>
            </c:ext>
          </c:extLst>
        </c:ser>
        <c:ser>
          <c:idx val="2"/>
          <c:order val="2"/>
          <c:tx>
            <c:strRef>
              <c:f>Tabelle1!$D$1</c:f>
              <c:strCache>
                <c:ptCount val="1"/>
                <c:pt idx="0">
                  <c:v>Sweden</c:v>
                </c:pt>
              </c:strCache>
            </c:strRef>
          </c:tx>
          <c:spPr>
            <a:solidFill>
              <a:srgbClr val="51515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de-D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c:f>
              <c:strCache>
                <c:ptCount val="1"/>
                <c:pt idx="0">
                  <c:v>Internet Banking Users</c:v>
                </c:pt>
              </c:strCache>
            </c:strRef>
          </c:cat>
          <c:val>
            <c:numRef>
              <c:f>Tabelle1!$D$2</c:f>
              <c:numCache>
                <c:formatCode>General</c:formatCode>
                <c:ptCount val="1"/>
                <c:pt idx="0">
                  <c:v>84</c:v>
                </c:pt>
              </c:numCache>
            </c:numRef>
          </c:val>
          <c:extLst>
            <c:ext xmlns:c16="http://schemas.microsoft.com/office/drawing/2014/chart" uri="{C3380CC4-5D6E-409C-BE32-E72D297353CC}">
              <c16:uniqueId val="{00000002-122E-4465-A8A5-C7F180256270}"/>
            </c:ext>
          </c:extLst>
        </c:ser>
        <c:ser>
          <c:idx val="3"/>
          <c:order val="3"/>
          <c:tx>
            <c:strRef>
              <c:f>Tabelle1!$E$1</c:f>
              <c:strCache>
                <c:ptCount val="1"/>
                <c:pt idx="0">
                  <c:v>Austria</c:v>
                </c:pt>
              </c:strCache>
            </c:strRef>
          </c:tx>
          <c:spPr>
            <a:solidFill>
              <a:srgbClr val="797979"/>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de-D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c:f>
              <c:strCache>
                <c:ptCount val="1"/>
                <c:pt idx="0">
                  <c:v>Internet Banking Users</c:v>
                </c:pt>
              </c:strCache>
            </c:strRef>
          </c:cat>
          <c:val>
            <c:numRef>
              <c:f>Tabelle1!$E$2</c:f>
              <c:numCache>
                <c:formatCode>General</c:formatCode>
                <c:ptCount val="1"/>
                <c:pt idx="0">
                  <c:v>63</c:v>
                </c:pt>
              </c:numCache>
            </c:numRef>
          </c:val>
          <c:extLst>
            <c:ext xmlns:c16="http://schemas.microsoft.com/office/drawing/2014/chart" uri="{C3380CC4-5D6E-409C-BE32-E72D297353CC}">
              <c16:uniqueId val="{00000003-122E-4465-A8A5-C7F180256270}"/>
            </c:ext>
          </c:extLst>
        </c:ser>
        <c:ser>
          <c:idx val="4"/>
          <c:order val="4"/>
          <c:tx>
            <c:strRef>
              <c:f>Tabelle1!$F$1</c:f>
              <c:strCache>
                <c:ptCount val="1"/>
                <c:pt idx="0">
                  <c:v>Germany</c:v>
                </c:pt>
              </c:strCache>
            </c:strRef>
          </c:tx>
          <c:spPr>
            <a:solidFill>
              <a:srgbClr val="979797"/>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de-D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c:f>
              <c:strCache>
                <c:ptCount val="1"/>
                <c:pt idx="0">
                  <c:v>Internet Banking Users</c:v>
                </c:pt>
              </c:strCache>
            </c:strRef>
          </c:cat>
          <c:val>
            <c:numRef>
              <c:f>Tabelle1!$F$2</c:f>
              <c:numCache>
                <c:formatCode>General</c:formatCode>
                <c:ptCount val="1"/>
                <c:pt idx="0">
                  <c:v>61</c:v>
                </c:pt>
              </c:numCache>
            </c:numRef>
          </c:val>
          <c:extLst>
            <c:ext xmlns:c16="http://schemas.microsoft.com/office/drawing/2014/chart" uri="{C3380CC4-5D6E-409C-BE32-E72D297353CC}">
              <c16:uniqueId val="{00000004-122E-4465-A8A5-C7F180256270}"/>
            </c:ext>
          </c:extLst>
        </c:ser>
        <c:ser>
          <c:idx val="5"/>
          <c:order val="5"/>
          <c:tx>
            <c:strRef>
              <c:f>Tabelle1!$G$1</c:f>
              <c:strCache>
                <c:ptCount val="1"/>
                <c:pt idx="0">
                  <c:v>Spain</c:v>
                </c:pt>
              </c:strCache>
            </c:strRef>
          </c:tx>
          <c:spPr>
            <a:solidFill>
              <a:srgbClr val="B5B5B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de-D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c:f>
              <c:strCache>
                <c:ptCount val="1"/>
                <c:pt idx="0">
                  <c:v>Internet Banking Users</c:v>
                </c:pt>
              </c:strCache>
            </c:strRef>
          </c:cat>
          <c:val>
            <c:numRef>
              <c:f>Tabelle1!$G$2</c:f>
              <c:numCache>
                <c:formatCode>General</c:formatCode>
                <c:ptCount val="1"/>
                <c:pt idx="0">
                  <c:v>55</c:v>
                </c:pt>
              </c:numCache>
            </c:numRef>
          </c:val>
          <c:extLst>
            <c:ext xmlns:c16="http://schemas.microsoft.com/office/drawing/2014/chart" uri="{C3380CC4-5D6E-409C-BE32-E72D297353CC}">
              <c16:uniqueId val="{00000005-122E-4465-A8A5-C7F180256270}"/>
            </c:ext>
          </c:extLst>
        </c:ser>
        <c:ser>
          <c:idx val="6"/>
          <c:order val="6"/>
          <c:tx>
            <c:strRef>
              <c:f>Tabelle1!$H$1</c:f>
              <c:strCache>
                <c:ptCount val="1"/>
                <c:pt idx="0">
                  <c:v>Italy</c:v>
                </c:pt>
              </c:strCache>
            </c:strRef>
          </c:tx>
          <c:spPr>
            <a:solidFill>
              <a:srgbClr val="D3D3D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de-D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c:f>
              <c:strCache>
                <c:ptCount val="1"/>
                <c:pt idx="0">
                  <c:v>Internet Banking Users</c:v>
                </c:pt>
              </c:strCache>
            </c:strRef>
          </c:cat>
          <c:val>
            <c:numRef>
              <c:f>Tabelle1!$H$2</c:f>
              <c:numCache>
                <c:formatCode>General</c:formatCode>
                <c:ptCount val="1"/>
                <c:pt idx="0">
                  <c:v>36</c:v>
                </c:pt>
              </c:numCache>
            </c:numRef>
          </c:val>
          <c:extLst>
            <c:ext xmlns:c16="http://schemas.microsoft.com/office/drawing/2014/chart" uri="{C3380CC4-5D6E-409C-BE32-E72D297353CC}">
              <c16:uniqueId val="{00000006-122E-4465-A8A5-C7F180256270}"/>
            </c:ext>
          </c:extLst>
        </c:ser>
        <c:ser>
          <c:idx val="7"/>
          <c:order val="7"/>
          <c:tx>
            <c:strRef>
              <c:f>Tabelle1!$I$1</c:f>
              <c:strCache>
                <c:ptCount val="1"/>
                <c:pt idx="0">
                  <c:v>Greece</c:v>
                </c:pt>
              </c:strCache>
            </c:strRef>
          </c:tx>
          <c:spPr>
            <a:solidFill>
              <a:srgbClr val="E7E7E7"/>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de-D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c:f>
              <c:strCache>
                <c:ptCount val="1"/>
                <c:pt idx="0">
                  <c:v>Internet Banking Users</c:v>
                </c:pt>
              </c:strCache>
            </c:strRef>
          </c:cat>
          <c:val>
            <c:numRef>
              <c:f>Tabelle1!$I$2</c:f>
              <c:numCache>
                <c:formatCode>General</c:formatCode>
                <c:ptCount val="1"/>
                <c:pt idx="0">
                  <c:v>31</c:v>
                </c:pt>
              </c:numCache>
            </c:numRef>
          </c:val>
          <c:extLst>
            <c:ext xmlns:c16="http://schemas.microsoft.com/office/drawing/2014/chart" uri="{C3380CC4-5D6E-409C-BE32-E72D297353CC}">
              <c16:uniqueId val="{00000007-122E-4465-A8A5-C7F180256270}"/>
            </c:ext>
          </c:extLst>
        </c:ser>
        <c:dLbls>
          <c:dLblPos val="inEnd"/>
          <c:showLegendKey val="0"/>
          <c:showVal val="1"/>
          <c:showCatName val="0"/>
          <c:showSerName val="0"/>
          <c:showPercent val="0"/>
          <c:showBubbleSize val="0"/>
        </c:dLbls>
        <c:gapWidth val="219"/>
        <c:overlap val="-27"/>
        <c:axId val="461142576"/>
        <c:axId val="461143888"/>
      </c:barChart>
      <c:catAx>
        <c:axId val="461142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de-DE"/>
          </a:p>
        </c:txPr>
        <c:crossAx val="461143888"/>
        <c:crosses val="autoZero"/>
        <c:auto val="1"/>
        <c:lblAlgn val="ctr"/>
        <c:lblOffset val="100"/>
        <c:noMultiLvlLbl val="0"/>
      </c:catAx>
      <c:valAx>
        <c:axId val="461143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de-DE"/>
          </a:p>
        </c:txPr>
        <c:crossAx val="461142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de-D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de-AT" sz="1000" b="1">
                <a:solidFill>
                  <a:sysClr val="windowText" lastClr="000000"/>
                </a:solidFill>
                <a:latin typeface="Arial" panose="020B0604020202020204" pitchFamily="34" charset="0"/>
                <a:cs typeface="Arial" panose="020B0604020202020204" pitchFamily="34" charset="0"/>
              </a:rPr>
              <a:t>Development Of The EURIBOR Compared</a:t>
            </a:r>
            <a:r>
              <a:rPr lang="de-AT" sz="1000" b="1" baseline="0">
                <a:solidFill>
                  <a:sysClr val="windowText" lastClr="000000"/>
                </a:solidFill>
                <a:latin typeface="Arial" panose="020B0604020202020204" pitchFamily="34" charset="0"/>
                <a:cs typeface="Arial" panose="020B0604020202020204" pitchFamily="34" charset="0"/>
              </a:rPr>
              <a:t> With Share Of Noninterest Income By European Countries</a:t>
            </a:r>
            <a:endParaRPr lang="de-AT" sz="1000" b="1">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de-DE"/>
        </a:p>
      </c:txPr>
    </c:title>
    <c:autoTitleDeleted val="0"/>
    <c:plotArea>
      <c:layout/>
      <c:barChart>
        <c:barDir val="col"/>
        <c:grouping val="clustered"/>
        <c:varyColors val="0"/>
        <c:ser>
          <c:idx val="0"/>
          <c:order val="0"/>
          <c:tx>
            <c:strRef>
              <c:f>Tabelle1!$B$1</c:f>
              <c:strCache>
                <c:ptCount val="1"/>
                <c:pt idx="0">
                  <c:v>Austria</c:v>
                </c:pt>
              </c:strCache>
            </c:strRef>
          </c:tx>
          <c:spPr>
            <a:solidFill>
              <a:srgbClr val="292929"/>
            </a:solidFill>
            <a:ln>
              <a:noFill/>
            </a:ln>
            <a:effectLst/>
          </c:spPr>
          <c:invertIfNegative val="0"/>
          <c:cat>
            <c:numRef>
              <c:f>Tabelle1!$A$2:$A$6</c:f>
              <c:numCache>
                <c:formatCode>General</c:formatCode>
                <c:ptCount val="5"/>
                <c:pt idx="0">
                  <c:v>2000</c:v>
                </c:pt>
                <c:pt idx="1">
                  <c:v>2004</c:v>
                </c:pt>
                <c:pt idx="2">
                  <c:v>2008</c:v>
                </c:pt>
                <c:pt idx="3">
                  <c:v>2012</c:v>
                </c:pt>
                <c:pt idx="4">
                  <c:v>2016</c:v>
                </c:pt>
              </c:numCache>
            </c:numRef>
          </c:cat>
          <c:val>
            <c:numRef>
              <c:f>Tabelle1!$B$2:$B$6</c:f>
              <c:numCache>
                <c:formatCode>General</c:formatCode>
                <c:ptCount val="5"/>
                <c:pt idx="0">
                  <c:v>39.92</c:v>
                </c:pt>
                <c:pt idx="1">
                  <c:v>38.92</c:v>
                </c:pt>
                <c:pt idx="2">
                  <c:v>32.299999999999997</c:v>
                </c:pt>
                <c:pt idx="3">
                  <c:v>36.659999999999997</c:v>
                </c:pt>
                <c:pt idx="4">
                  <c:v>45.04</c:v>
                </c:pt>
              </c:numCache>
            </c:numRef>
          </c:val>
          <c:extLst>
            <c:ext xmlns:c16="http://schemas.microsoft.com/office/drawing/2014/chart" uri="{C3380CC4-5D6E-409C-BE32-E72D297353CC}">
              <c16:uniqueId val="{00000000-0316-46DE-B90D-75EC63CF9679}"/>
            </c:ext>
          </c:extLst>
        </c:ser>
        <c:ser>
          <c:idx val="1"/>
          <c:order val="1"/>
          <c:tx>
            <c:strRef>
              <c:f>Tabelle1!$C$1</c:f>
              <c:strCache>
                <c:ptCount val="1"/>
                <c:pt idx="0">
                  <c:v>Germany</c:v>
                </c:pt>
              </c:strCache>
            </c:strRef>
          </c:tx>
          <c:spPr>
            <a:solidFill>
              <a:srgbClr val="515151"/>
            </a:solidFill>
            <a:ln>
              <a:noFill/>
            </a:ln>
            <a:effectLst/>
          </c:spPr>
          <c:invertIfNegative val="0"/>
          <c:cat>
            <c:numRef>
              <c:f>Tabelle1!$A$2:$A$6</c:f>
              <c:numCache>
                <c:formatCode>General</c:formatCode>
                <c:ptCount val="5"/>
                <c:pt idx="0">
                  <c:v>2000</c:v>
                </c:pt>
                <c:pt idx="1">
                  <c:v>2004</c:v>
                </c:pt>
                <c:pt idx="2">
                  <c:v>2008</c:v>
                </c:pt>
                <c:pt idx="3">
                  <c:v>2012</c:v>
                </c:pt>
                <c:pt idx="4">
                  <c:v>2016</c:v>
                </c:pt>
              </c:numCache>
            </c:numRef>
          </c:cat>
          <c:val>
            <c:numRef>
              <c:f>Tabelle1!$C$2:$C$6</c:f>
              <c:numCache>
                <c:formatCode>General</c:formatCode>
                <c:ptCount val="5"/>
                <c:pt idx="0">
                  <c:v>49.88</c:v>
                </c:pt>
                <c:pt idx="1">
                  <c:v>44.38</c:v>
                </c:pt>
                <c:pt idx="2">
                  <c:v>38.96</c:v>
                </c:pt>
                <c:pt idx="3">
                  <c:v>54.51</c:v>
                </c:pt>
                <c:pt idx="4">
                  <c:v>59.77</c:v>
                </c:pt>
              </c:numCache>
            </c:numRef>
          </c:val>
          <c:extLst>
            <c:ext xmlns:c16="http://schemas.microsoft.com/office/drawing/2014/chart" uri="{C3380CC4-5D6E-409C-BE32-E72D297353CC}">
              <c16:uniqueId val="{00000001-0316-46DE-B90D-75EC63CF9679}"/>
            </c:ext>
          </c:extLst>
        </c:ser>
        <c:ser>
          <c:idx val="2"/>
          <c:order val="2"/>
          <c:tx>
            <c:strRef>
              <c:f>Tabelle1!$D$1</c:f>
              <c:strCache>
                <c:ptCount val="1"/>
                <c:pt idx="0">
                  <c:v>Italy</c:v>
                </c:pt>
              </c:strCache>
            </c:strRef>
          </c:tx>
          <c:spPr>
            <a:solidFill>
              <a:srgbClr val="797979"/>
            </a:solidFill>
            <a:ln>
              <a:noFill/>
            </a:ln>
            <a:effectLst/>
          </c:spPr>
          <c:invertIfNegative val="0"/>
          <c:cat>
            <c:numRef>
              <c:f>Tabelle1!$A$2:$A$6</c:f>
              <c:numCache>
                <c:formatCode>General</c:formatCode>
                <c:ptCount val="5"/>
                <c:pt idx="0">
                  <c:v>2000</c:v>
                </c:pt>
                <c:pt idx="1">
                  <c:v>2004</c:v>
                </c:pt>
                <c:pt idx="2">
                  <c:v>2008</c:v>
                </c:pt>
                <c:pt idx="3">
                  <c:v>2012</c:v>
                </c:pt>
                <c:pt idx="4">
                  <c:v>2016</c:v>
                </c:pt>
              </c:numCache>
            </c:numRef>
          </c:cat>
          <c:val>
            <c:numRef>
              <c:f>Tabelle1!$D$2:$D$6</c:f>
              <c:numCache>
                <c:formatCode>General</c:formatCode>
                <c:ptCount val="5"/>
                <c:pt idx="0">
                  <c:v>43.6</c:v>
                </c:pt>
                <c:pt idx="1">
                  <c:v>46.68</c:v>
                </c:pt>
                <c:pt idx="2">
                  <c:v>34.31</c:v>
                </c:pt>
                <c:pt idx="3">
                  <c:v>49.17</c:v>
                </c:pt>
                <c:pt idx="4">
                  <c:v>52.04</c:v>
                </c:pt>
              </c:numCache>
            </c:numRef>
          </c:val>
          <c:extLst>
            <c:ext xmlns:c16="http://schemas.microsoft.com/office/drawing/2014/chart" uri="{C3380CC4-5D6E-409C-BE32-E72D297353CC}">
              <c16:uniqueId val="{00000002-0316-46DE-B90D-75EC63CF9679}"/>
            </c:ext>
          </c:extLst>
        </c:ser>
        <c:ser>
          <c:idx val="3"/>
          <c:order val="3"/>
          <c:tx>
            <c:strRef>
              <c:f>Tabelle1!$E$1</c:f>
              <c:strCache>
                <c:ptCount val="1"/>
                <c:pt idx="0">
                  <c:v>Netherlands</c:v>
                </c:pt>
              </c:strCache>
            </c:strRef>
          </c:tx>
          <c:spPr>
            <a:solidFill>
              <a:srgbClr val="979797"/>
            </a:solidFill>
            <a:ln>
              <a:noFill/>
            </a:ln>
            <a:effectLst/>
          </c:spPr>
          <c:invertIfNegative val="0"/>
          <c:cat>
            <c:numRef>
              <c:f>Tabelle1!$A$2:$A$6</c:f>
              <c:numCache>
                <c:formatCode>General</c:formatCode>
                <c:ptCount val="5"/>
                <c:pt idx="0">
                  <c:v>2000</c:v>
                </c:pt>
                <c:pt idx="1">
                  <c:v>2004</c:v>
                </c:pt>
                <c:pt idx="2">
                  <c:v>2008</c:v>
                </c:pt>
                <c:pt idx="3">
                  <c:v>2012</c:v>
                </c:pt>
                <c:pt idx="4">
                  <c:v>2016</c:v>
                </c:pt>
              </c:numCache>
            </c:numRef>
          </c:cat>
          <c:val>
            <c:numRef>
              <c:f>Tabelle1!$E$2:$E$6</c:f>
              <c:numCache>
                <c:formatCode>General</c:formatCode>
                <c:ptCount val="5"/>
                <c:pt idx="0">
                  <c:v>25.51</c:v>
                </c:pt>
                <c:pt idx="1">
                  <c:v>27</c:v>
                </c:pt>
                <c:pt idx="2">
                  <c:v>55.47</c:v>
                </c:pt>
                <c:pt idx="3">
                  <c:v>35.67</c:v>
                </c:pt>
                <c:pt idx="4">
                  <c:v>50.31</c:v>
                </c:pt>
              </c:numCache>
            </c:numRef>
          </c:val>
          <c:extLst>
            <c:ext xmlns:c16="http://schemas.microsoft.com/office/drawing/2014/chart" uri="{C3380CC4-5D6E-409C-BE32-E72D297353CC}">
              <c16:uniqueId val="{00000003-0316-46DE-B90D-75EC63CF9679}"/>
            </c:ext>
          </c:extLst>
        </c:ser>
        <c:dLbls>
          <c:showLegendKey val="0"/>
          <c:showVal val="0"/>
          <c:showCatName val="0"/>
          <c:showSerName val="0"/>
          <c:showPercent val="0"/>
          <c:showBubbleSize val="0"/>
        </c:dLbls>
        <c:gapWidth val="219"/>
        <c:axId val="460101616"/>
        <c:axId val="460102600"/>
      </c:barChart>
      <c:lineChart>
        <c:grouping val="standard"/>
        <c:varyColors val="0"/>
        <c:ser>
          <c:idx val="4"/>
          <c:order val="4"/>
          <c:tx>
            <c:strRef>
              <c:f>Tabelle1!$F$1</c:f>
              <c:strCache>
                <c:ptCount val="1"/>
                <c:pt idx="0">
                  <c:v>EURIBOR</c:v>
                </c:pt>
              </c:strCache>
            </c:strRef>
          </c:tx>
          <c:spPr>
            <a:ln w="28575" cap="rnd">
              <a:solidFill>
                <a:schemeClr val="tx1"/>
              </a:solidFill>
              <a:round/>
            </a:ln>
            <a:effectLst/>
          </c:spPr>
          <c:marker>
            <c:symbol val="none"/>
          </c:marker>
          <c:cat>
            <c:numRef>
              <c:f>Tabelle1!$A$2:$A$6</c:f>
              <c:numCache>
                <c:formatCode>General</c:formatCode>
                <c:ptCount val="5"/>
                <c:pt idx="0">
                  <c:v>2000</c:v>
                </c:pt>
                <c:pt idx="1">
                  <c:v>2004</c:v>
                </c:pt>
                <c:pt idx="2">
                  <c:v>2008</c:v>
                </c:pt>
                <c:pt idx="3">
                  <c:v>2012</c:v>
                </c:pt>
                <c:pt idx="4">
                  <c:v>2016</c:v>
                </c:pt>
              </c:numCache>
            </c:numRef>
          </c:cat>
          <c:val>
            <c:numRef>
              <c:f>Tabelle1!$F$2:$F$6</c:f>
              <c:numCache>
                <c:formatCode>General</c:formatCode>
                <c:ptCount val="5"/>
                <c:pt idx="0">
                  <c:v>5.0069999999999997</c:v>
                </c:pt>
                <c:pt idx="1">
                  <c:v>2.0070000000000001</c:v>
                </c:pt>
                <c:pt idx="2">
                  <c:v>5.1180000000000003</c:v>
                </c:pt>
                <c:pt idx="3">
                  <c:v>0.255</c:v>
                </c:pt>
                <c:pt idx="4">
                  <c:v>0</c:v>
                </c:pt>
              </c:numCache>
            </c:numRef>
          </c:val>
          <c:smooth val="0"/>
          <c:extLst>
            <c:ext xmlns:c16="http://schemas.microsoft.com/office/drawing/2014/chart" uri="{C3380CC4-5D6E-409C-BE32-E72D297353CC}">
              <c16:uniqueId val="{00000004-0316-46DE-B90D-75EC63CF9679}"/>
            </c:ext>
          </c:extLst>
        </c:ser>
        <c:dLbls>
          <c:showLegendKey val="0"/>
          <c:showVal val="0"/>
          <c:showCatName val="0"/>
          <c:showSerName val="0"/>
          <c:showPercent val="0"/>
          <c:showBubbleSize val="0"/>
        </c:dLbls>
        <c:marker val="1"/>
        <c:smooth val="0"/>
        <c:axId val="457722856"/>
        <c:axId val="457722528"/>
      </c:lineChart>
      <c:catAx>
        <c:axId val="460101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de-DE"/>
          </a:p>
        </c:txPr>
        <c:crossAx val="460102600"/>
        <c:crosses val="autoZero"/>
        <c:auto val="1"/>
        <c:lblAlgn val="ctr"/>
        <c:lblOffset val="100"/>
        <c:noMultiLvlLbl val="0"/>
      </c:catAx>
      <c:valAx>
        <c:axId val="460102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de-DE"/>
          </a:p>
        </c:txPr>
        <c:crossAx val="460101616"/>
        <c:crosses val="autoZero"/>
        <c:crossBetween val="between"/>
      </c:valAx>
      <c:valAx>
        <c:axId val="457722528"/>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de-DE"/>
          </a:p>
        </c:txPr>
        <c:crossAx val="457722856"/>
        <c:crosses val="max"/>
        <c:crossBetween val="between"/>
      </c:valAx>
      <c:catAx>
        <c:axId val="457722856"/>
        <c:scaling>
          <c:orientation val="minMax"/>
        </c:scaling>
        <c:delete val="1"/>
        <c:axPos val="b"/>
        <c:numFmt formatCode="General" sourceLinked="1"/>
        <c:majorTickMark val="out"/>
        <c:minorTickMark val="none"/>
        <c:tickLblPos val="nextTo"/>
        <c:crossAx val="45772252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de-D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000" b="1">
                <a:solidFill>
                  <a:sysClr val="windowText" lastClr="000000"/>
                </a:solidFill>
                <a:latin typeface="Arial" panose="020B0604020202020204" pitchFamily="34" charset="0"/>
                <a:cs typeface="Arial" panose="020B0604020202020204" pitchFamily="34" charset="0"/>
              </a:rPr>
              <a:t>Annual Banking Fees In Europe In Euros (2009)</a:t>
            </a:r>
          </a:p>
        </c:rich>
      </c:tx>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de-DE"/>
        </a:p>
      </c:txPr>
    </c:title>
    <c:autoTitleDeleted val="0"/>
    <c:plotArea>
      <c:layout/>
      <c:barChart>
        <c:barDir val="bar"/>
        <c:grouping val="clustered"/>
        <c:varyColors val="0"/>
        <c:ser>
          <c:idx val="0"/>
          <c:order val="0"/>
          <c:tx>
            <c:strRef>
              <c:f>Tabelle1!$B$1</c:f>
              <c:strCache>
                <c:ptCount val="1"/>
                <c:pt idx="0">
                  <c:v>Annual Banking Fees in Euros</c:v>
                </c:pt>
              </c:strCache>
            </c:strRef>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1"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de-D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Tabelle1!$A$2:$A$9</c:f>
              <c:strCache>
                <c:ptCount val="8"/>
                <c:pt idx="0">
                  <c:v>Portugal</c:v>
                </c:pt>
                <c:pt idx="1">
                  <c:v>Netherlands</c:v>
                </c:pt>
                <c:pt idx="2">
                  <c:v>Greece</c:v>
                </c:pt>
                <c:pt idx="3">
                  <c:v>Poland</c:v>
                </c:pt>
                <c:pt idx="4">
                  <c:v>Germany</c:v>
                </c:pt>
                <c:pt idx="5">
                  <c:v>Austria</c:v>
                </c:pt>
                <c:pt idx="6">
                  <c:v>Spain</c:v>
                </c:pt>
                <c:pt idx="7">
                  <c:v>Italy</c:v>
                </c:pt>
              </c:strCache>
            </c:strRef>
          </c:cat>
          <c:val>
            <c:numRef>
              <c:f>Tabelle1!$B$2:$B$9</c:f>
              <c:numCache>
                <c:formatCode>General</c:formatCode>
                <c:ptCount val="8"/>
                <c:pt idx="0">
                  <c:v>45</c:v>
                </c:pt>
                <c:pt idx="1">
                  <c:v>46</c:v>
                </c:pt>
                <c:pt idx="2">
                  <c:v>54</c:v>
                </c:pt>
                <c:pt idx="3">
                  <c:v>73</c:v>
                </c:pt>
                <c:pt idx="4">
                  <c:v>89</c:v>
                </c:pt>
                <c:pt idx="5">
                  <c:v>140</c:v>
                </c:pt>
                <c:pt idx="6">
                  <c:v>178</c:v>
                </c:pt>
                <c:pt idx="7">
                  <c:v>253</c:v>
                </c:pt>
              </c:numCache>
            </c:numRef>
          </c:val>
          <c:extLst>
            <c:ext xmlns:c16="http://schemas.microsoft.com/office/drawing/2014/chart" uri="{C3380CC4-5D6E-409C-BE32-E72D297353CC}">
              <c16:uniqueId val="{00000000-0345-4D27-B285-E604B03E44C0}"/>
            </c:ext>
          </c:extLst>
        </c:ser>
        <c:dLbls>
          <c:dLblPos val="outEnd"/>
          <c:showLegendKey val="0"/>
          <c:showVal val="1"/>
          <c:showCatName val="0"/>
          <c:showSerName val="0"/>
          <c:showPercent val="0"/>
          <c:showBubbleSize val="0"/>
        </c:dLbls>
        <c:gapWidth val="219"/>
        <c:axId val="403917704"/>
        <c:axId val="403914096"/>
      </c:barChart>
      <c:catAx>
        <c:axId val="4039177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de-DE"/>
          </a:p>
        </c:txPr>
        <c:crossAx val="403914096"/>
        <c:crosses val="autoZero"/>
        <c:auto val="1"/>
        <c:lblAlgn val="ctr"/>
        <c:lblOffset val="100"/>
        <c:noMultiLvlLbl val="0"/>
      </c:catAx>
      <c:valAx>
        <c:axId val="4039140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de-DE"/>
          </a:p>
        </c:txPr>
        <c:crossAx val="403917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Bec09</b:Tag>
    <b:SourceType>ArticleInAPeriodical</b:SourceType>
    <b:Guid>{F95DF5CD-D40F-41D8-918E-FC0C69A13156}</b:Guid>
    <b:Title>Financial Institutions and Markets across Countries and over Time</b:Title>
    <b:Year>2009</b:Year>
    <b:Month>May</b:Month>
    <b:Author>
      <b:Author>
        <b:NameList>
          <b:Person>
            <b:Last>Beck</b:Last>
            <b:First>Thorsten</b:First>
          </b:Person>
          <b:Person>
            <b:Last>Demirgüc-Kunt</b:Last>
            <b:First>Asli</b:First>
          </b:Person>
        </b:NameList>
      </b:Author>
    </b:Author>
    <b:PeriodicalTitle>World Bank Policy Research Working Paper, 4943</b:PeriodicalTitle>
    <b:LCID>en-US</b:LCID>
    <b:RefOrder>1</b:RefOrder>
  </b:Source>
  <b:Source>
    <b:Tag>Blo18</b:Tag>
    <b:SourceType>ArticleInAPeriodical</b:SourceType>
    <b:Guid>{4E31B9E9-2BCC-4D14-9C65-4F39A889B3D4}</b:Guid>
    <b:Title>Digitization, Digitalization, And Digital Transformation: Confuse Them At Your Peril</b:Title>
    <b:Year>2018</b:Year>
    <b:Month>April</b:Month>
    <b:Day>29</b:Day>
    <b:JournalName>Forbes</b:JournalName>
    <b:PeriodicalTitle>Forbes</b:PeriodicalTitle>
    <b:LCID>en-US</b:LCID>
    <b:Author>
      <b:Author>
        <b:NameList>
          <b:Person>
            <b:Last>Bloomberg</b:Last>
            <b:First>Jason</b:First>
          </b:Person>
        </b:NameList>
      </b:Author>
    </b:Author>
    <b:RefOrder>6</b:RefOrder>
  </b:Source>
  <b:Source>
    <b:Tag>Zei08</b:Tag>
    <b:SourceType>ArticleInAPeriodical</b:SourceType>
    <b:Guid>{72A2EC95-98C2-4F78-9592-9B2694991580}</b:Guid>
    <b:Title>Geschichte des Bankwesens - Geldgeschäfte sind Privatsache</b:Title>
    <b:Year>2008</b:Year>
    <b:Month>October</b:Month>
    <b:Day>27</b:Day>
    <b:PeriodicalTitle>Focus</b:PeriodicalTitle>
    <b:Author>
      <b:Author>
        <b:NameList>
          <b:Person>
            <b:Last>Zeilmann</b:Last>
            <b:First>Kathrin</b:First>
          </b:Person>
        </b:NameList>
      </b:Author>
    </b:Author>
    <b:RefOrder>9</b:RefOrder>
  </b:Source>
  <b:Source>
    <b:Tag>Gre13</b:Tag>
    <b:SourceType>Film</b:SourceType>
    <b:Guid>{B9687C2E-D7D5-4E02-8491-B41B779FEDDD}</b:Guid>
    <b:Title>The Great Depression: Crash Course US History</b:Title>
    <b:Year>2013</b:Year>
    <b:Author>
      <b:Director>
        <b:NameList>
          <b:Person>
            <b:Last>Green</b:Last>
            <b:First>John</b:First>
          </b:Person>
        </b:NameList>
      </b:Director>
    </b:Author>
    <b:RefOrder>14</b:RefOrder>
  </b:Source>
  <b:Source>
    <b:Tag>Bát15</b:Tag>
    <b:SourceType>DocumentFromInternetSite</b:SourceType>
    <b:Guid>{13F9C4A8-9412-4804-BB71-06FD3EEF0504}</b:Guid>
    <b:Title>A Brief History of the ATM</b:Title>
    <b:InternetSiteTitle>The Atlantic</b:InternetSiteTitle>
    <b:Year>2015</b:Year>
    <b:Month>March</b:Month>
    <b:Day>26</b:Day>
    <b:URL>https://www.theatlantic.com/technology/archive/2015/03/a-brief-history-of-the-atm/388547/</b:URL>
    <b:Author>
      <b:Author>
        <b:NameList>
          <b:Person>
            <b:Last>Bátiz-Lazo</b:Last>
            <b:First>Bernardo</b:First>
          </b:Person>
        </b:NameList>
      </b:Author>
    </b:Author>
    <b:LCID>en-US</b:LCID>
    <b:RefOrder>16</b:RefOrder>
  </b:Source>
  <b:Source>
    <b:Tag>Voz18</b:Tag>
    <b:SourceType>Report</b:SourceType>
    <b:Guid>{C34DD69A-7821-45C6-9836-17EAB382B6AD}</b:Guid>
    <b:Title>Determinants Of Banking Fee Income - Does Market Concentration Matter</b:Title>
    <b:PeriodicalTitle>Prague Economic Papers</b:PeriodicalTitle>
    <b:Year>2018</b:Year>
    <b:Publisher>Prague Economic Papers</b:Publisher>
    <b:City>Prague</b:City>
    <b:Author>
      <b:Author>
        <b:NameList>
          <b:Person>
            <b:Last>Vozková</b:Last>
            <b:First>Karolína</b:First>
          </b:Person>
          <b:Person>
            <b:Last>Teplý</b:Last>
            <b:First>Petr</b:First>
          </b:Person>
        </b:NameList>
      </b:Author>
    </b:Author>
    <b:LCID>en-US</b:LCID>
    <b:RefOrder>18</b:RefOrder>
  </b:Source>
  <b:Source>
    <b:Tag>Buc18</b:Tag>
    <b:SourceType>Report</b:SourceType>
    <b:Guid>{567F0D73-B6E6-475E-831D-EB611BC9471A}</b:Guid>
    <b:Title>Structural Changes In Banking After The Crisis</b:Title>
    <b:Year>2018</b:Year>
    <b:Publisher>Bank for International Settlements</b:Publisher>
    <b:Author>
      <b:Author>
        <b:NameList>
          <b:Person>
            <b:Last>Buch</b:Last>
            <b:First>Claudia</b:First>
          </b:Person>
          <b:Person>
            <b:Last>Dages</b:Last>
            <b:Middle>B.</b:Middle>
            <b:First>Gerard</b:First>
          </b:Person>
        </b:NameList>
      </b:Author>
    </b:Author>
    <b:LCID>en-US</b:LCID>
    <b:RefOrder>21</b:RefOrder>
  </b:Source>
  <b:Source>
    <b:Tag>Pri20</b:Tag>
    <b:SourceType>DocumentFromInternetSite</b:SourceType>
    <b:Guid>{A895B7AC-89EC-49A9-B61E-F7AD4EB625AC}</b:Guid>
    <b:Title>Get Up to Speed on the Different Types of Banks</b:Title>
    <b:InternetSiteTitle>The Balance</b:InternetSiteTitle>
    <b:Year>2020</b:Year>
    <b:Month>April</b:Month>
    <b:Day>3</b:Day>
    <b:URL>https://www.thebalance.com/types-of-banks-315214</b:URL>
    <b:Author>
      <b:Author>
        <b:NameList>
          <b:Person>
            <b:Last>Pritchard</b:Last>
            <b:First>Justing</b:First>
          </b:Person>
        </b:NameList>
      </b:Author>
    </b:Author>
    <b:LCID>en-US</b:LCID>
    <b:RefOrder>22</b:RefOrder>
  </b:Source>
  <b:Source>
    <b:Tag>Swo00</b:Tag>
    <b:SourceType>Book</b:SourceType>
    <b:Guid>{34E5EE05-84A5-472B-A980-0DB0D9B77917}</b:Guid>
    <b:Title>Direct Banking - Wie Virtuelle Institute Das Bankgeschäft Revolutionieren</b:Title>
    <b:Year>2000</b:Year>
    <b:City>Wiesbaden</b:City>
    <b:Publisher>Gabler</b:Publisher>
    <b:Author>
      <b:Author>
        <b:NameList>
          <b:Person>
            <b:Last>Swoboda</b:Last>
            <b:First>Uwe</b:First>
          </b:Person>
        </b:NameList>
      </b:Author>
    </b:Author>
    <b:LCID>en-US</b:LCID>
    <b:RefOrder>23</b:RefOrder>
  </b:Source>
  <b:Source>
    <b:Tag>Ros20</b:Tag>
    <b:SourceType>ArticleInAPeriodical</b:SourceType>
    <b:Guid>{4A07C729-9A9B-4BBF-B27D-D73C9914A0AF}</b:Guid>
    <b:Title>How To Decide If An Online-Only Bank Is Right For You</b:Title>
    <b:Year>2020</b:Year>
    <b:PeriodicalTitle>Business Insider</b:PeriodicalTitle>
    <b:Month>February</b:Month>
    <b:Day>14</b:Day>
    <b:Author>
      <b:Author>
        <b:NameList>
          <b:Person>
            <b:Last>Rosenberg</b:Last>
            <b:First>Eric</b:First>
          </b:Person>
        </b:NameList>
      </b:Author>
    </b:Author>
    <b:LCID>en-US</b:LCID>
    <b:RefOrder>24</b:RefOrder>
  </b:Source>
  <b:Source>
    <b:Tag>Bel16</b:Tag>
    <b:SourceType>DocumentFromInternetSite</b:SourceType>
    <b:Guid>{9F979F9C-C404-4E40-BB07-6EEE9592AA49}</b:Guid>
    <b:Title>How Retail Banks Must Rethink Their Customer Relationships</b:Title>
    <b:Year>2016</b:Year>
    <b:Month>June</b:Month>
    <b:Day>15</b:Day>
    <b:InternetSiteTitle>EY</b:InternetSiteTitle>
    <b:URL>https://www.ey.com/en_gl/banking-capital-markets/how-retail-banks-must-rethink-their-customer-relationships</b:URL>
    <b:Author>
      <b:Author>
        <b:NameList>
          <b:Person>
            <b:Last>Bellens</b:Last>
            <b:First>Jan</b:First>
          </b:Person>
        </b:NameList>
      </b:Author>
    </b:Author>
    <b:LCID>en-US</b:LCID>
    <b:RefOrder>25</b:RefOrder>
  </b:Source>
  <b:Source>
    <b:Tag>Urm19</b:Tag>
    <b:SourceType>DocumentFromInternetSite</b:SourceType>
    <b:Guid>{E9BED663-AD53-492B-87A2-29CDE63E8C4A}</b:Guid>
    <b:Title>Anteile der Wirtschaftssektoren am Bruttoinlandsprodukt (BIP) der EU bis 2018</b:Title>
    <b:Year>2019</b:Year>
    <b:InternetSiteTitle>Statista</b:InternetSiteTitle>
    <b:Month>August</b:Month>
    <b:Day>15</b:Day>
    <b:URL>https://de.statista.com/statistik/daten/studie/249078/umfrage/anteile-der-wirtschaftssektoren-am-bruttoinlandsprodukt-bip-der-eu/</b:URL>
    <b:Author>
      <b:Author>
        <b:NameList>
          <b:Person>
            <b:Last>Urmersbach</b:Last>
            <b:First>Bruno</b:First>
          </b:Person>
        </b:NameList>
      </b:Author>
    </b:Author>
    <b:LCID>en-US</b:LCID>
    <b:RefOrder>29</b:RefOrder>
  </b:Source>
  <b:Source>
    <b:Tag>Urm20</b:Tag>
    <b:SourceType>DocumentFromInternetSite</b:SourceType>
    <b:Guid>{4216C252-0D87-4732-8437-FA0125146BB9}</b:Guid>
    <b:Title>Erwerbstätige nach Wirtschaftssektoren in den EU-Ländern 2019</b:Title>
    <b:InternetSiteTitle>Statista</b:InternetSiteTitle>
    <b:Year>2020</b:Year>
    <b:Month>February</b:Month>
    <b:Day>10</b:Day>
    <b:URL>https://de.statista.com/statistik/daten/studie/249086/umfrage/erwerbstaetige-nach-wirtschaftssektoren-in-den-eu-laendern/</b:URL>
    <b:Author>
      <b:Author>
        <b:NameList>
          <b:Person>
            <b:Last>Urmersbach</b:Last>
            <b:First>Bruno</b:First>
          </b:Person>
        </b:NameList>
      </b:Author>
    </b:Author>
    <b:LCID>en-US</b:LCID>
    <b:RefOrder>30</b:RefOrder>
  </b:Source>
  <b:Source>
    <b:Tag>Bec16</b:Tag>
    <b:SourceType>Report</b:SourceType>
    <b:Guid>{3EF83FF2-7A53-436D-9398-1A2E3D1923C5}</b:Guid>
    <b:Title>European Banking: An Overview</b:Title>
    <b:Year>2016</b:Year>
    <b:Publisher>The Palgrave Handbook of European Banking</b:Publisher>
    <b:City>Palgrave Macmillan, London</b:City>
    <b:Author>
      <b:Author>
        <b:NameList>
          <b:Person>
            <b:Last>Beck</b:Last>
            <b:First>T.</b:First>
          </b:Person>
          <b:Person>
            <b:Last>Casu</b:Last>
            <b:First>B.</b:First>
          </b:Person>
        </b:NameList>
      </b:Author>
    </b:Author>
    <b:LCID>en-US</b:LCID>
    <b:RefOrder>31</b:RefOrder>
  </b:Source>
  <b:Source>
    <b:Tag>Meo19</b:Tag>
    <b:SourceType>ArticleInAPeriodical</b:SourceType>
    <b:Guid>{7889EE90-FF93-4E62-8156-CCC147FFD81F}</b:Guid>
    <b:Title>The Digital Trends Disrupting The Banking Industry In 2020</b:Title>
    <b:Year>2019</b:Year>
    <b:PeriodicalTitle>Business Insider</b:PeriodicalTitle>
    <b:Month>August</b:Month>
    <b:Day>8</b:Day>
    <b:Author>
      <b:Author>
        <b:NameList>
          <b:Person>
            <b:Last>Meola</b:Last>
            <b:First>Andrew</b:First>
          </b:Person>
        </b:NameList>
      </b:Author>
    </b:Author>
    <b:RefOrder>32</b:RefOrder>
  </b:Source>
  <b:Source>
    <b:Tag>Emt18</b:Tag>
    <b:SourceType>Report</b:SourceType>
    <b:Guid>{00AEDF09-2254-4D57-868D-B20E09CE9C06}</b:Guid>
    <b:Title>Cross-Border Banking In The EU Since The Crisis: What Is Driving The Great Retrenchment</b:Title>
    <b:Year>2018</b:Year>
    <b:Publisher>European Central Bank</b:Publisher>
    <b:City>Frankfurt</b:City>
    <b:Author>
      <b:Author>
        <b:NameList>
          <b:Person>
            <b:Last>Emter</b:Last>
            <b:First>Lorenz</b:First>
          </b:Person>
          <b:Person>
            <b:Last>Schmitz</b:Last>
            <b:First>Martin</b:First>
          </b:Person>
          <b:Person>
            <b:Last>Tirpák</b:Last>
            <b:First>Marcel</b:First>
          </b:Person>
        </b:NameList>
      </b:Author>
    </b:Author>
    <b:RefOrder>33</b:RefOrder>
  </b:Source>
  <b:Source>
    <b:Tag>Szm20</b:Tag>
    <b:SourceType>DocumentFromInternetSite</b:SourceType>
    <b:Guid>{6052E22C-A269-4EC6-9743-CC7359E1C8B1}</b:Guid>
    <b:Title>Number Of Fintech Startups Worldwide 2020 By Region</b:Title>
    <b:Year>2020</b:Year>
    <b:Author>
      <b:Author>
        <b:NameList>
          <b:Person>
            <b:Last>Szmigiera</b:Last>
            <b:First>M.</b:First>
          </b:Person>
        </b:NameList>
      </b:Author>
    </b:Author>
    <b:LCID>en-US</b:LCID>
    <b:InternetSiteTitle>Statista</b:InternetSiteTitle>
    <b:Month>March</b:Month>
    <b:Day>20</b:Day>
    <b:URL>https://www.statista.com/statistics/893954/number-fintech-startups-by-region/</b:URL>
    <b:RefOrder>36</b:RefOrder>
  </b:Source>
  <b:Source>
    <b:Tag>Sch16</b:Tag>
    <b:SourceType>Report</b:SourceType>
    <b:Guid>{BE20DF23-8981-48A6-9553-4825A1BC646F}</b:Guid>
    <b:Title>Taming The Beast: A Scientific Definition Of Fintech </b:Title>
    <b:Year>2016</b:Year>
    <b:Publisher>Journal of Innovation Management</b:Publisher>
    <b:City>Fribourg, Switzerland</b:City>
    <b:Author>
      <b:Author>
        <b:NameList>
          <b:Person>
            <b:Last>Schueffel</b:Last>
            <b:First>Patrick</b:First>
          </b:Person>
        </b:NameList>
      </b:Author>
    </b:Author>
    <b:LCID>en-US</b:LCID>
    <b:RefOrder>35</b:RefOrder>
  </b:Source>
  <b:Source>
    <b:Tag>Tan19</b:Tag>
    <b:SourceType>Book</b:SourceType>
    <b:Guid>{2C15D565-81BE-4CF8-A59E-259CD13C3334}</b:Guid>
    <b:Title>FinTech, BigTech And Banks</b:Title>
    <b:Year>2019</b:Year>
    <b:Publisher>Palgrave Pivot/ Springer</b:Publisher>
    <b:City>Berlin</b:City>
    <b:Author>
      <b:Author>
        <b:NameList>
          <b:Person>
            <b:Last>Tanda</b:Last>
            <b:First>Alessandra</b:First>
          </b:Person>
          <b:Person>
            <b:Last>Schena</b:Last>
            <b:First>Christiana-Maria</b:First>
          </b:Person>
        </b:NameList>
      </b:Author>
    </b:Author>
    <b:RefOrder>37</b:RefOrder>
  </b:Source>
  <b:Source>
    <b:Tag>Arn16</b:Tag>
    <b:SourceType>Report</b:SourceType>
    <b:Guid>{CA75FDA2-BD20-4BC4-BEEC-755A4EB124E2}</b:Guid>
    <b:Title>The Evolution Of FinTech:  A New Post-Crisis Paradigm</b:Title>
    <b:Year>2016</b:Year>
    <b:City>Sydney</b:City>
    <b:Publisher>SSRN Electronic Journal</b:Publisher>
    <b:Author>
      <b:Author>
        <b:NameList>
          <b:Person>
            <b:Last>Arner</b:Last>
            <b:Middle>W.</b:Middle>
            <b:First>Douglas</b:First>
          </b:Person>
          <b:Person>
            <b:Last>Barberis</b:Last>
            <b:First>János</b:First>
          </b:Person>
          <b:Person>
            <b:Last>Buckley</b:Last>
            <b:Middle>P.</b:Middle>
            <b:First>Ross</b:First>
          </b:Person>
        </b:NameList>
      </b:Author>
    </b:Author>
    <b:LCID>en-US</b:LCID>
    <b:RefOrder>38</b:RefOrder>
  </b:Source>
  <b:Source>
    <b:Tag>Aya16</b:Tag>
    <b:SourceType>Report</b:SourceType>
    <b:Guid>{A40FD425-A540-4667-99A2-B03903BFB55A}</b:Guid>
    <b:Title>Banking Business Models Monitor 2015 - Europe</b:Title>
    <b:Year>2016</b:Year>
    <b:Publisher>International Research Centre</b:Publisher>
    <b:City>Montreal</b:City>
    <b:Author>
      <b:Author>
        <b:NameList>
          <b:Person>
            <b:Last>Ayadi</b:Last>
            <b:First>Rym</b:First>
          </b:Person>
          <b:Person>
            <b:Last>De Groen</b:Last>
            <b:Middle>Pieter</b:Middle>
            <b:First>Willem</b:First>
          </b:Person>
          <b:Person>
            <b:Last>Sassi</b:Last>
            <b:First>Ibtihel</b:First>
          </b:Person>
          <b:Person>
            <b:Last>Mathlouthi</b:Last>
            <b:First>Walid</b:First>
          </b:Person>
          <b:Person>
            <b:Last>Rey</b:Last>
            <b:First>Harol</b:First>
          </b:Person>
          <b:Person>
            <b:Last>Aubry</b:Last>
            <b:First>Olivier</b:First>
          </b:Person>
        </b:NameList>
      </b:Author>
    </b:Author>
    <b:LCID>en-US</b:LCID>
    <b:RefOrder>40</b:RefOrder>
  </b:Source>
  <b:Source>
    <b:Tag>Cam09</b:Tag>
    <b:SourceType>Report</b:SourceType>
    <b:Guid>{9F8364E8-29CC-47DA-839D-F7A509769307}</b:Guid>
    <b:Title>Cost Structure, Customer Proﬁtability, and Retention Implications of Self-Service Distribution Channels: Evidence from Customer Behavior in an Online Banking Channel</b:Title>
    <b:Year>2009</b:Year>
    <b:Publisher>Harvard Business School</b:Publisher>
    <b:City>Boston</b:City>
    <b:Author>
      <b:Author>
        <b:NameList>
          <b:Person>
            <b:Last>Campbell</b:Last>
            <b:First>Dennis</b:First>
          </b:Person>
          <b:Person>
            <b:Last>Frei</b:Last>
            <b:First>Frances</b:First>
          </b:Person>
        </b:NameList>
      </b:Author>
    </b:Author>
    <b:LCID>en-US</b:LCID>
    <b:RefOrder>41</b:RefOrder>
  </b:Source>
  <b:Source>
    <b:Tag>Eur19</b:Tag>
    <b:SourceType>Report</b:SourceType>
    <b:Guid>{B98E654C-D28C-477F-B618-F70C1FA6AA18}</b:Guid>
    <b:LCID>en-US</b:LCID>
    <b:Author>
      <b:Author>
        <b:Corporate>European Banking Federation</b:Corporate>
      </b:Author>
    </b:Author>
    <b:Title>Banking in Europe: EBF Facts And Figures 2019</b:Title>
    <b:Year>2019</b:Year>
    <b:Publisher>European Banking Federation</b:Publisher>
    <b:City>Brussels</b:City>
    <b:RefOrder>27</b:RefOrder>
  </b:Source>
  <b:Source>
    <b:Tag>Sch19</b:Tag>
    <b:SourceType>Report</b:SourceType>
    <b:Guid>{B624C53B-4D40-4393-8A68-27EB0B08D0D4}</b:Guid>
    <b:LCID>en-US</b:LCID>
    <b:Title>Schnellere Wertschöpfung Dank Intelligent Automation</b:Title>
    <b:Year>2019</b:Year>
    <b:Publisher>Forbes Insights/ Kofax</b:Publisher>
    <b:City>Washington</b:City>
    <b:Author>
      <b:Author>
        <b:NameList>
          <b:Person>
            <b:Last>Maguire</b:Last>
            <b:First>Erika</b:First>
          </b:Person>
          <b:Person>
            <b:Last>Moreno</b:Last>
            <b:Middle>Wandycz</b:Middle>
            <b:First>Kasia</b:First>
          </b:Person>
          <b:Person>
            <b:Last>Moreno</b:Last>
            <b:Middle>S.</b:Middle>
            <b:First>Hugo</b:First>
          </b:Person>
          <b:Person>
            <b:Last>Gagnon</b:Last>
            <b:First>Ross</b:First>
          </b:Person>
          <b:Person>
            <b:Last>McGrath</b:Last>
            <b:First>Scott</b:First>
          </b:Person>
          <b:Person>
            <b:Last>Armstrong</b:Last>
            <b:First>Dan</b:First>
          </b:Person>
        </b:NameList>
      </b:Author>
    </b:Author>
    <b:RefOrder>43</b:RefOrder>
  </b:Source>
  <b:Source>
    <b:Tag>Cha13</b:Tag>
    <b:SourceType>ArticleInAPeriodical</b:SourceType>
    <b:Guid>{BC23F7C4-052F-4B48-97D5-FE911224EEFC}</b:Guid>
    <b:Title>Internet Banking - Benefits And Challenges In An Emerging Economy</b:Title>
    <b:Year>2013</b:Year>
    <b:Publisher>International Journal of Research in Business Management, Vol. 1</b:Publisher>
    <b:Author>
      <b:Author>
        <b:NameList>
          <b:Person>
            <b:Last>Chavan</b:Last>
            <b:First>Jayshree</b:First>
          </b:Person>
        </b:NameList>
      </b:Author>
    </b:Author>
    <b:LCID>en-US</b:LCID>
    <b:PeriodicalTitle>International Journal of Research in Business Management, Vol. 1</b:PeriodicalTitle>
    <b:Month>June</b:Month>
    <b:Day>1</b:Day>
    <b:Pages>19-26</b:Pages>
    <b:RefOrder>44</b:RefOrder>
  </b:Source>
  <b:Source>
    <b:Tag>WuJ06</b:Tag>
    <b:SourceType>JournalArticle</b:SourceType>
    <b:Guid>{FEC405AA-EC15-47D6-85D5-76C0FABD03B9}</b:Guid>
    <b:Title>Core Capabilities For Exploiting Electronic Banking</b:Title>
    <b:Year>2006</b:Year>
    <b:Pages>111-122</b:Pages>
    <b:LCID>en-US</b:LCID>
    <b:JournalName>Journal Of Electronic Commerce Research, Vol. 7</b:JournalName>
    <b:Author>
      <b:Author>
        <b:NameList>
          <b:Person>
            <b:Last>Wu</b:Last>
            <b:First>Jen-Her</b:First>
          </b:Person>
          <b:Person>
            <b:Last>Hsia</b:Last>
            <b:First>Tzyh-Li</b:First>
          </b:Person>
          <b:Person>
            <b:Last>Heng</b:Last>
            <b:Middle>S. H.</b:Middle>
            <b:First>Michael</b:First>
          </b:Person>
        </b:NameList>
      </b:Author>
    </b:Author>
    <b:RefOrder>46</b:RefOrder>
  </b:Source>
  <b:Source>
    <b:Tag>San01</b:Tag>
    <b:SourceType>JournalArticle</b:SourceType>
    <b:Guid>{3E38D163-6F1E-483E-8863-9B2BFF8A8491}</b:Guid>
    <b:Title>Self-Service Banking: Value Creation Models And Information Exchange</b:Title>
    <b:JournalName>Special Series on Information Exchange in Electronic Markets, Vol. 4, No. 3</b:JournalName>
    <b:Year>2001</b:Year>
    <b:Pages>139-148</b:Pages>
    <b:Author>
      <b:Author>
        <b:NameList>
          <b:Person>
            <b:Last>Sannes</b:Last>
            <b:First>Ragnvald</b:First>
          </b:Person>
        </b:NameList>
      </b:Author>
    </b:Author>
    <b:LCID>en-US</b:LCID>
    <b:RefOrder>47</b:RefOrder>
  </b:Source>
  <b:Source>
    <b:Tag>Hau19</b:Tag>
    <b:SourceType>Report</b:SourceType>
    <b:Guid>{E9373BBB-1477-473D-8671-49A568BF83FC}</b:Guid>
    <b:Title>Trends In The Noninterest Income Of Banks </b:Title>
    <b:Year>2019</b:Year>
    <b:Publisher>Federal Reserve Bank Of Cleveland</b:Publisher>
    <b:City>Cleveland</b:City>
    <b:Author>
      <b:Author>
        <b:NameList>
          <b:Person>
            <b:Last>Haubrich</b:Last>
            <b:Middle>G.</b:Middle>
            <b:First>Joseph</b:First>
          </b:Person>
          <b:Person>
            <b:Last>Young</b:Last>
            <b:First>Tristan</b:First>
          </b:Person>
        </b:NameList>
      </b:Author>
    </b:Author>
    <b:LCID>en-US</b:LCID>
    <b:RefOrder>48</b:RefOrder>
  </b:Source>
  <b:Source>
    <b:Tag>The20</b:Tag>
    <b:SourceType>InternetSite</b:SourceType>
    <b:Guid>{351D616B-A60C-411A-A93B-78E993DF04EE}</b:Guid>
    <b:Title>Non-Interest Income To Total Income In The European Union</b:Title>
    <b:Year>2020</b:Year>
    <b:LCID>en-US</b:LCID>
    <b:Author>
      <b:Author>
        <b:Corporate>The Global Economy</b:Corporate>
      </b:Author>
    </b:Author>
    <b:InternetSiteTitle>theglobaleconomy</b:InternetSiteTitle>
    <b:Month>April</b:Month>
    <b:Day>13</b:Day>
    <b:URL>https://www.theglobaleconomy.com/rankings/bank_non_interest_income/European-union/</b:URL>
    <b:RefOrder>49</b:RefOrder>
  </b:Source>
  <b:Source>
    <b:Tag>Koe13</b:Tag>
    <b:SourceType>Report</b:SourceType>
    <b:Guid>{6C532EBA-43D5-4B3E-B6B7-2E920F2DE195}</b:Guid>
    <b:Title>Does Non-Interest Income Make Banks More Risky: Retail- Versus Investment-Oriented Banks </b:Title>
    <b:Year>2013</b:Year>
    <b:City>Frankfurt</b:City>
    <b:Publisher>Deutsche Bundesbank</b:Publisher>
    <b:Author>
      <b:Author>
        <b:NameList>
          <b:Person>
            <b:Last>Koehler</b:Last>
            <b:First>Matthias</b:First>
          </b:Person>
        </b:NameList>
      </b:Author>
    </b:Author>
    <b:LCID>en-US</b:LCID>
    <b:RefOrder>52</b:RefOrder>
  </b:Source>
  <b:Source>
    <b:Tag>Kok17</b:Tag>
    <b:SourceType>Report</b:SourceType>
    <b:Guid>{3E219E0D-CB49-4557-A90A-3A8706303154}</b:Guid>
    <b:Title>Macro Stress Testing Euro Area Banks' Fees And Commissions </b:Title>
    <b:Year>2017</b:Year>
    <b:Publisher>European Central Bank</b:Publisher>
    <b:City>Frankfurt</b:City>
    <b:Author>
      <b:Author>
        <b:NameList>
          <b:Person>
            <b:Last>Kok</b:Last>
            <b:First>Christoffer</b:First>
          </b:Person>
          <b:Person>
            <b:Last>Mirza</b:Last>
            <b:First>Harun</b:First>
          </b:Person>
          <b:Person>
            <b:Last>Pancaro</b:Last>
            <b:First>Cosimo</b:First>
          </b:Person>
        </b:NameList>
      </b:Author>
    </b:Author>
    <b:LCID>en-US</b:LCID>
    <b:RefOrder>53</b:RefOrder>
  </b:Source>
  <b:Source>
    <b:Tag>Dvo09</b:Tag>
    <b:SourceType>Report</b:SourceType>
    <b:Guid>{E3A3721C-13DB-4CD3-8DB1-BBB122D85624}</b:Guid>
    <b:LCID>en-US</b:LCID>
    <b:Title>Paying For Banking Services: What Determines The Fees</b:Title>
    <b:Year>2009</b:Year>
    <b:Publisher>Charles University/ CERGE-EI</b:Publisher>
    <b:City>Prague</b:City>
    <b:Author>
      <b:Author>
        <b:NameList>
          <b:Person>
            <b:Last>Dvorák</b:Last>
            <b:First>Pavel</b:First>
          </b:Person>
          <b:Person>
            <b:Last>Hanousek</b:Last>
            <b:First>Jan</b:First>
          </b:Person>
        </b:NameList>
      </b:Author>
    </b:Author>
    <b:RefOrder>54</b:RefOrder>
  </b:Source>
  <b:Source>
    <b:Tag>N2619</b:Tag>
    <b:SourceType>DocumentFromInternetSite</b:SourceType>
    <b:Guid>{ADFAA29F-CB98-47E3-B91B-E6B98399745B}</b:Guid>
    <b:Title>Banking Basics - Bank Fees</b:Title>
    <b:InternetSiteTitle>N26 Blog</b:InternetSiteTitle>
    <b:Year>2019</b:Year>
    <b:Month>April</b:Month>
    <b:Day>12</b:Day>
    <b:URL>https://n26.com/en-eu/blog/banking-basics-bank-fees</b:URL>
    <b:LCID>en-US</b:LCID>
    <b:Author>
      <b:Author>
        <b:Corporate>N26</b:Corporate>
      </b:Author>
    </b:Author>
    <b:RefOrder>57</b:RefOrder>
  </b:Source>
  <b:Source>
    <b:Tag>Dem14</b:Tag>
    <b:SourceType>Report</b:SourceType>
    <b:Guid>{1F85F3EF-2AD0-4A16-AED3-F3B52273CF7A}</b:Guid>
    <b:Title>Europäische Bankenunion Stand Der Uumsetzung Und Nachbesserungsbedarf</b:Title>
    <b:Year>2014</b:Year>
    <b:LCID>en-US</b:LCID>
    <b:Publisher>Institut der Deutschen Wirtschaft Köln/ Konrad Adenauer Stiftung</b:Publisher>
    <b:City>Cologne</b:City>
    <b:Author>
      <b:Author>
        <b:NameList>
          <b:Person>
            <b:Last>Demary</b:Last>
            <b:First>Markus</b:First>
          </b:Person>
          <b:Person>
            <b:Last>Bauer</b:Last>
            <b:First>Matthias</b:First>
          </b:Person>
        </b:NameList>
      </b:Author>
    </b:Author>
    <b:RefOrder>58</b:RefOrder>
  </b:Source>
  <b:Source>
    <b:Tag>Abe20</b:Tag>
    <b:SourceType>DocumentFromInternetSite</b:SourceType>
    <b:Guid>{26C4552E-D657-4F90-9F49-CB7ACC7B3D97}</b:Guid>
    <b:Title>Die EU Senkt Die Bankgebühren Und Die Kosten Für Den Kreditkarteneinsatz</b:Title>
    <b:Year>2020</b:Year>
    <b:LCID>en-US</b:LCID>
    <b:InternetSiteTitle>European Commission - Germany</b:InternetSiteTitle>
    <b:Month>April</b:Month>
    <b:Day>28</b:Day>
    <b:URL>https://ec.europa.eu/germany/eu60/bankgebuehren_de</b:URL>
    <b:Author>
      <b:Author>
        <b:NameList>
          <b:Person>
            <b:Last>Abele</b:Last>
            <b:First>Katrin</b:First>
          </b:Person>
        </b:NameList>
      </b:Author>
    </b:Author>
    <b:RefOrder>59</b:RefOrder>
  </b:Source>
  <b:Source>
    <b:Tag>Bra17</b:Tag>
    <b:SourceType>DocumentFromInternetSite</b:SourceType>
    <b:Guid>{75D2205E-28CD-4D72-AD7B-2C8EF18827B9}</b:Guid>
    <b:Title>Deutschland bei Filialdichte im Mittelfeld</b:Title>
    <b:Year>2017</b:Year>
    <b:InternetSiteTitle>Statista</b:InternetSiteTitle>
    <b:Month>October</b:Month>
    <b:Day>9</b:Day>
    <b:URL>https://de.statista.com/infografik/11387/bankfilialen-je-10000-einwohner-in-europa/</b:URL>
    <b:Author>
      <b:Author>
        <b:NameList>
          <b:Person>
            <b:Last>Brandt</b:Last>
            <b:First>Mathias</b:First>
          </b:Person>
        </b:NameList>
      </b:Author>
    </b:Author>
    <b:LCID>en-US</b:LCID>
    <b:RefOrder>79</b:RefOrder>
  </b:Source>
  <b:Source>
    <b:Tag>Urm201</b:Tag>
    <b:SourceType>DocumentFromInternetSite</b:SourceType>
    <b:Guid>{698541DC-891B-42FB-8AC8-2B70DA2FD5AE}</b:Guid>
    <b:Title>Bruttoinlandsprodukt (BIP) Pro Kopf In Den EU-Ländern 2019</b:Title>
    <b:InternetSiteTitle>Statista</b:InternetSiteTitle>
    <b:Year>2020</b:Year>
    <b:Month>April</b:Month>
    <b:Day>7</b:Day>
    <b:URL>https://de.statista.com/statistik/daten/studie/188766/umfrage/bruttoinlandsprodukt-bip-pro-kopf-in-den-eu-laendern/</b:URL>
    <b:Author>
      <b:Author>
        <b:NameList>
          <b:Person>
            <b:Last>Urmersbach</b:Last>
            <b:First>Bruno</b:First>
          </b:Person>
        </b:NameList>
      </b:Author>
    </b:Author>
    <b:LCID>en-US</b:LCID>
    <b:RefOrder>80</b:RefOrder>
  </b:Source>
  <b:Source>
    <b:Tag>Cla20</b:Tag>
    <b:SourceType>InternetSite</b:SourceType>
    <b:Guid>{EB23BA9E-3449-4B18-9A28-1F0AA7E6D741}</b:Guid>
    <b:Title>Population Of Selected European Countries 2020</b:Title>
    <b:InternetSiteTitle>Statista</b:InternetSiteTitle>
    <b:Year>2020</b:Year>
    <b:Month>March</b:Month>
    <b:Day>25</b:Day>
    <b:URL>https://www.statista.com/statistics/685846/population-of-selected-european-countries/</b:URL>
    <b:Author>
      <b:Author>
        <b:NameList>
          <b:Person>
            <b:Last>Clark</b:Last>
            <b:First>Daniel</b:First>
          </b:Person>
        </b:NameList>
      </b:Author>
    </b:Author>
    <b:LCID>en-US</b:LCID>
    <b:RefOrder>81</b:RefOrder>
  </b:Source>
  <b:Source>
    <b:Tag>Fuc19</b:Tag>
    <b:SourceType>Report</b:SourceType>
    <b:Guid>{DBF42682-4FC3-430E-AD30-3ECFA3E030A6}</b:Guid>
    <b:Title>Fakten Zu Oesterreich Und Seinen Banken</b:Title>
    <b:Year>2019</b:Year>
    <b:Publisher>Oesterreichische Nationalbank</b:Publisher>
    <b:City>Vienna</b:City>
    <b:Author>
      <b:Author>
        <b:NameList>
          <b:Person>
            <b:Last>Fuchs</b:Last>
            <b:First>Matthias</b:First>
          </b:Person>
          <b:Person>
            <b:Last>Vondra</b:Last>
            <b:First>Klaus</b:First>
          </b:Person>
          <b:Person>
            <b:Last>Wittenberger</b:Last>
            <b:First>Tina</b:First>
          </b:Person>
          <b:Person>
            <b:Last>Roitner</b:Last>
            <b:First>Anita</b:First>
          </b:Person>
        </b:NameList>
      </b:Author>
    </b:Author>
    <b:LCID>en-US</b:LCID>
    <b:RefOrder>65</b:RefOrder>
  </b:Source>
  <b:Source>
    <b:Tag>Kor19</b:Tag>
    <b:SourceType>Report</b:SourceType>
    <b:Guid>{DBB403C2-0D1E-4E55-B204-BFA8CB53203D}</b:Guid>
    <b:Title>Bankmonitoring Ueber Spesen</b:Title>
    <b:Year>2019</b:Year>
    <b:Publisher>Arbeiterkammer</b:Publisher>
    <b:City>Vienna</b:City>
    <b:Author>
      <b:Author>
        <b:NameList>
          <b:Person>
            <b:Last>Korntheuer</b:Last>
            <b:First>Martin</b:First>
          </b:Person>
          <b:Person>
            <b:Last>Prantner</b:Last>
            <b:First>Christian</b:First>
          </b:Person>
          <b:Person>
            <b:Last>Rupprecht</b:Last>
            <b:First>Benedikta</b:First>
          </b:Person>
        </b:NameList>
      </b:Author>
    </b:Author>
    <b:LCID>en-US</b:LCID>
    <b:RefOrder>66</b:RefOrder>
  </b:Source>
  <b:Source>
    <b:Tag>Ban203</b:Tag>
    <b:SourceType>InternetSite</b:SourceType>
    <b:Guid>{E5523568-6E4C-4397-8BF9-29CE5789B39A}</b:Guid>
    <b:Title>Bankenrechner AK</b:Title>
    <b:Year>2020</b:Year>
    <b:LCID>en-US</b:LCID>
    <b:Author>
      <b:Author>
        <b:Corporate>Bankenrechner AK</b:Corporate>
      </b:Author>
    </b:Author>
    <b:InternetSiteTitle>Bankenrechner</b:InternetSiteTitle>
    <b:Month>April</b:Month>
    <b:Day>13</b:Day>
    <b:URL>https://www.bankenrechner.at/girokonto</b:URL>
    <b:RefOrder>67</b:RefOrder>
  </b:Source>
  <b:Source>
    <b:Tag>Wue19</b:Tag>
    <b:SourceType>DocumentFromInternetSite</b:SourceType>
    <b:Guid>{4D8A337B-42DC-4D0C-BF9D-56A04EBC4331}</b:Guid>
    <b:Title>Stabile Banken Gibt Es Nicht Zum Nulltarif</b:Title>
    <b:InternetSiteTitle>Bundesbank</b:InternetSiteTitle>
    <b:Year>2019</b:Year>
    <b:Month>September</b:Month>
    <b:Day>14</b:Day>
    <b:URL>https://www.bundesbank.de/de/presse/gastbeitraege/stabile-banken-gibt-es-nicht-zum-nulltarif-806868</b:URL>
    <b:Author>
      <b:Author>
        <b:NameList>
          <b:Person>
            <b:Last>Wuermeling</b:Last>
            <b:First>Joachim</b:First>
          </b:Person>
        </b:NameList>
      </b:Author>
    </b:Author>
    <b:LCID>en-US</b:LCID>
    <b:RefOrder>68</b:RefOrder>
  </b:Source>
  <b:Source>
    <b:Tag>Koc19</b:Tag>
    <b:SourceType>Report</b:SourceType>
    <b:Guid>{CEC49A28-6B56-46E7-9216-C1FEA2CA6679}</b:Guid>
    <b:Title>The Road To Success - Perspectives On German Banking</b:Title>
    <b:Year>2019</b:Year>
    <b:Publisher>McKinsey &amp; Company</b:Publisher>
    <b:City>Munich</b:City>
    <b:Author>
      <b:Author>
        <b:NameList>
          <b:Person>
            <b:Last>Koch</b:Last>
            <b:First>Philipp</b:First>
          </b:Person>
          <b:Person>
            <b:Last>Floetotto</b:Last>
            <b:First>Max</b:First>
          </b:Person>
          <b:Person>
            <b:Last>Weigl</b:Last>
            <b:First>Ursula</b:First>
          </b:Person>
          <b:Person>
            <b:Last>Ferlic</b:Last>
            <b:First>Flora</b:First>
          </b:Person>
          <b:Person>
            <b:Last>Seilern-Aspang</b:Last>
            <b:First>Dina</b:First>
          </b:Person>
          <b:Person>
            <b:Last>Spreng</b:Last>
            <b:First>Silja</b:First>
          </b:Person>
        </b:NameList>
      </b:Author>
    </b:Author>
    <b:LCID>en-US</b:LCID>
    <b:RefOrder>69</b:RefOrder>
  </b:Source>
  <b:Source>
    <b:Tag>Foc20</b:Tag>
    <b:SourceType>DocumentFromInternetSite</b:SourceType>
    <b:Guid>{F84EB8F0-6032-40FA-B10E-59958E1604EF}</b:Guid>
    <b:Title>Schock Fuer Kunden: Europas Groeßte Direktbank ING Verlangt Gebühren Von Geringverdienern</b:Title>
    <b:Year>2020</b:Year>
    <b:InternetSiteTitle>Focus</b:InternetSiteTitle>
    <b:Month>February</b:Month>
    <b:Day>7</b:Day>
    <b:URL>https://www.focus.de/finanzen/boerse/bankkonto-ing-verlangt-gebuehren-von-geringverdienern_id_11636814.html</b:URL>
    <b:Author>
      <b:Author>
        <b:Corporate>Focus</b:Corporate>
      </b:Author>
    </b:Author>
    <b:LCID>en-US</b:LCID>
    <b:RefOrder>70</b:RefOrder>
  </b:Source>
  <b:Source>
    <b:Tag>Ion15</b:Tag>
    <b:SourceType>BookSection</b:SourceType>
    <b:Guid>{A96BC0D6-135E-4740-9F0E-4F2C2CD3FB80}</b:Guid>
    <b:Title>The Banking System And Savings Allocation In Italy</b:Title>
    <b:Year>2015</b:Year>
    <b:LCID>en-US</b:LCID>
    <b:BookTitle>The Routledge Handbook of Contemporary Italy: History, Politics, Society</b:BookTitle>
    <b:Pages>285-292</b:Pages>
    <b:City>Abdingdon</b:City>
    <b:Publisher>Routledge</b:Publisher>
    <b:Author>
      <b:Author>
        <b:NameList>
          <b:Person>
            <b:Last>Iona</b:Last>
            <b:First>Alfonsina</b:First>
          </b:Person>
          <b:Person>
            <b:Last>Leonida</b:Last>
            <b:First>Leone</b:First>
          </b:Person>
          <b:Person>
            <b:Last>Silipo</b:Last>
            <b:Middle>Bruno</b:Middle>
            <b:First>Damiano</b:First>
          </b:Person>
        </b:NameList>
      </b:Author>
      <b:BookAuthor>
        <b:NameList>
          <b:Person>
            <b:Last>Mammone</b:Last>
            <b:First>Andrea</b:First>
          </b:Person>
          <b:Person>
            <b:Last>Parini </b:Last>
            <b:Middle>Giap</b:Middle>
            <b:First>Ercole</b:First>
          </b:Person>
          <b:Person>
            <b:Last>Veltri</b:Last>
            <b:Middle>A.</b:Middle>
            <b:First>Giuseppe</b:First>
          </b:Person>
        </b:NameList>
      </b:BookAuthor>
    </b:Author>
    <b:RefOrder>71</b:RefOrder>
  </b:Source>
  <b:Source>
    <b:Tag>Bra16</b:Tag>
    <b:SourceType>ArticleInAPeriodical</b:SourceType>
    <b:Guid>{2B4253EE-22FE-4686-B11F-07FE9E77074D}</b:Guid>
    <b:Title>Krise? Aber doch nicht in Italien!</b:Title>
    <b:Year>2016</b:Year>
    <b:Month>July</b:Month>
    <b:Day>11</b:Day>
    <b:PeriodicalTitle>Zeit</b:PeriodicalTitle>
    <b:Author>
      <b:Author>
        <b:NameList>
          <b:Person>
            <b:Last>Braun</b:Last>
            <b:First>Michael</b:First>
          </b:Person>
        </b:NameList>
      </b:Author>
    </b:Author>
    <b:LCID>en-US</b:LCID>
    <b:RefOrder>72</b:RefOrder>
  </b:Source>
  <b:Source>
    <b:Tag>Sch161</b:Tag>
    <b:SourceType>Report</b:SourceType>
    <b:Guid>{D887100E-4F46-470C-A8BF-2F2E3FB1202C}</b:Guid>
    <b:Title>Italiens Bankensektor: Unter Druck</b:Title>
    <b:Year>2016</b:Year>
    <b:Publisher>Springer</b:Publisher>
    <b:City>Heidelberg</b:City>
    <b:Author>
      <b:Author>
        <b:NameList>
          <b:Person>
            <b:Last>Schrooten</b:Last>
            <b:First>Mechthild</b:First>
          </b:Person>
        </b:NameList>
      </b:Author>
    </b:Author>
    <b:LCID>en-US</b:LCID>
    <b:RefOrder>73</b:RefOrder>
  </b:Source>
  <b:Source>
    <b:Tag>Ban19</b:Tag>
    <b:SourceType>Report</b:SourceType>
    <b:Guid>{3A0433DD-AA45-4354-AC3C-382857A3453E}</b:Guid>
    <b:LCID>en-US</b:LCID>
    <b:Author>
      <b:Author>
        <b:Corporate>Banca D'Italia</b:Corporate>
      </b:Author>
    </b:Author>
    <b:Title>Annual Report</b:Title>
    <b:Year>2019</b:Year>
    <b:Publisher>Banca D'Italia</b:Publisher>
    <b:City>Rome</b:City>
    <b:RefOrder>74</b:RefOrder>
  </b:Source>
  <b:Source>
    <b:Tag>DeN15</b:Tag>
    <b:SourceType>Report</b:SourceType>
    <b:Guid>{FC94E83C-4713-414F-8F8A-98480DA68014}</b:Guid>
    <b:Author>
      <b:Author>
        <b:Corporate>DeNederlandsche Bank</b:Corporate>
      </b:Author>
    </b:Author>
    <b:Title>Perspective On The Structure Of The  Dutch Banking Sector</b:Title>
    <b:Year>2015</b:Year>
    <b:Publisher>DeNederlandsche Bank</b:Publisher>
    <b:City>Amsterdam</b:City>
    <b:RefOrder>76</b:RefOrder>
  </b:Source>
  <b:Source>
    <b:Tag>deB20</b:Tag>
    <b:SourceType>DocumentFromInternetSite</b:SourceType>
    <b:Guid>{3B71A18D-58CD-45C2-ACD9-2D06322DACF5}</b:Guid>
    <b:Title>Biggest Banks Of The Netherlands 2020 Based On Number Of Branches</b:Title>
    <b:Year>2020</b:Year>
    <b:InternetSiteTitle>Statista</b:InternetSiteTitle>
    <b:Month>April</b:Month>
    <b:Day>28</b:Day>
    <b:URL>https://www.statista.com/statistics/671040/leading-banks-in-the-netherlands-by-number-of-offices/</b:URL>
    <b:Author>
      <b:Author>
        <b:NameList>
          <b:Person>
            <b:Last>de Best</b:Last>
            <b:First>Raynor</b:First>
          </b:Person>
        </b:NameList>
      </b:Author>
    </b:Author>
    <b:LCID>en-US</b:LCID>
    <b:RefOrder>77</b:RefOrder>
  </b:Source>
  <b:Source>
    <b:Tag>deB201</b:Tag>
    <b:SourceType>DocumentFromInternetSite</b:SourceType>
    <b:Guid>{3BB1725C-D06D-4BD6-A4FF-944D836343A5}</b:Guid>
    <b:LCID>en-US</b:LCID>
    <b:Title>Banking Activities In The Netherlands - Statistics &amp; Facts</b:Title>
    <b:InternetSiteTitle>Statista</b:InternetSiteTitle>
    <b:Year>2020</b:Year>
    <b:Month>January</b:Month>
    <b:Day>20</b:Day>
    <b:URL>https://www.statista.com/topics/3442/the-banking-sector-in-the-netherlands/</b:URL>
    <b:Author>
      <b:Author>
        <b:NameList>
          <b:Person>
            <b:Last>de Best</b:Last>
            <b:First>Raynor</b:First>
          </b:Person>
        </b:NameList>
      </b:Author>
    </b:Author>
    <b:RefOrder>78</b:RefOrder>
  </b:Source>
  <b:Source>
    <b:Tag>EUR20</b:Tag>
    <b:SourceType>InternetSite</b:SourceType>
    <b:Guid>{2F4B10AD-D099-4408-95C2-B10368370EF2}</b:Guid>
    <b:Title>Euribor Grafiken - Historische Euribor Werte</b:Title>
    <b:InternetSiteTitle>EURIBOR-Rates</b:InternetSiteTitle>
    <b:Year>2020</b:Year>
    <b:Month>April</b:Month>
    <b:Day>16</b:Day>
    <b:URL>https://www.euribor-rates.eu/de/euribor-grafik/</b:URL>
    <b:LCID>en-US</b:LCID>
    <b:Author>
      <b:Author>
        <b:Corporate>EURIBOR-Rates</b:Corporate>
      </b:Author>
    </b:Author>
    <b:RefOrder>50</b:RefOrder>
  </b:Source>
  <b:Source>
    <b:Tag>EUR18</b:Tag>
    <b:SourceType>DocumentFromInternetSite</b:SourceType>
    <b:Guid>{2A470157-BE80-4B7E-A8E8-FC790F2AA3C5}</b:Guid>
    <b:Title>Fees for card-based payments</b:Title>
    <b:InternetSiteTitle>Eur-Lex Europa</b:InternetSiteTitle>
    <b:Year>2018</b:Year>
    <b:Month>August</b:Month>
    <b:Day>30</b:Day>
    <b:URL>https://eur-lex.europa.eu/legal-content/EN/TXT/?uri=LEGISSUM:24040603_1</b:URL>
    <b:LCID>en-US</b:LCID>
    <b:Author>
      <b:Author>
        <b:Corporate>EUR-Lex</b:Corporate>
      </b:Author>
    </b:Author>
    <b:RefOrder>62</b:RefOrder>
  </b:Source>
  <b:Source>
    <b:Tag>EUR19</b:Tag>
    <b:SourceType>DocumentFromInternetSite</b:SourceType>
    <b:Guid>{D316E57D-5BBB-4878-8BD5-51815AC924BD}</b:Guid>
    <b:LCID>en-US</b:LCID>
    <b:Author>
      <b:Author>
        <b:Corporate>EUR-Lex</b:Corporate>
      </b:Author>
    </b:Author>
    <b:Title>Single Euro Payments Area Regulation</b:Title>
    <b:InternetSiteTitle>Eur-Lex Europa</b:InternetSiteTitle>
    <b:Year>2019</b:Year>
    <b:Month>May</b:Month>
    <b:Day>14</b:Day>
    <b:URL>https://eur-lex.europa.eu/legal-content/EN/TXT/?uri=LEGISSUM:4373224</b:URL>
    <b:RefOrder>63</b:RefOrder>
  </b:Source>
  <b:Source>
    <b:Tag>Rab20</b:Tag>
    <b:SourceType>DocumentFromInternetSite</b:SourceType>
    <b:Guid>{368A06B5-11E8-4AD7-87AA-32A3A6C13216}</b:Guid>
    <b:Title>Anteil Der Nutzer Von Online-Banking In Europa Nach Ausgewaehlten Laendern 2019</b:Title>
    <b:InternetSiteTitle>Statista</b:InternetSiteTitle>
    <b:Year>2020</b:Year>
    <b:Month>January</b:Month>
    <b:Day>17</b:Day>
    <b:URL>https://de.statista.com/statistik/daten/studie/4102/umfrage/online-banking-in-europa/</b:URL>
    <b:Author>
      <b:Author>
        <b:NameList>
          <b:Person>
            <b:Last>Rabe</b:Last>
            <b:First>L.</b:First>
          </b:Person>
        </b:NameList>
      </b:Author>
    </b:Author>
    <b:LCID>en-US</b:LCID>
    <b:RefOrder>45</b:RefOrder>
  </b:Source>
  <b:Source>
    <b:Tag>Ban191</b:Tag>
    <b:SourceType>DocumentFromInternetSite</b:SourceType>
    <b:Guid>{39411F30-2B55-4D76-A889-89F48693FAF3}</b:Guid>
    <b:LCID>en-US</b:LCID>
    <b:Author>
      <b:Author>
        <b:Corporate>Bankenverband</b:Corporate>
      </b:Author>
    </b:Author>
    <b:Title>Kreditinstitute Und Bankstellen</b:Title>
    <b:InternetSiteTitle>Bankenverband</b:InternetSiteTitle>
    <b:Year>2019</b:Year>
    <b:Month>January</b:Month>
    <b:Day>18</b:Day>
    <b:URL>https://bankenverband.de/statistik/banken-deutschland/kreditinstitute-und-bankstellen/</b:URL>
    <b:RefOrder>20</b:RefOrder>
  </b:Source>
  <b:Source>
    <b:Tag>Sta09</b:Tag>
    <b:SourceType>DocumentFromInternetSite</b:SourceType>
    <b:Guid>{EF4293AE-8AF1-4913-8B9C-5065947BA5C7}</b:Guid>
    <b:LCID>en-US</b:LCID>
    <b:Author>
      <b:Author>
        <b:Corporate>Statista Research Department</b:Corporate>
      </b:Author>
    </b:Author>
    <b:Title>Durchschnittliche jährliche Bankgebühren in Europa nach Ländern</b:Title>
    <b:InternetSiteTitle>Statista</b:InternetSiteTitle>
    <b:Year>2009</b:Year>
    <b:Month>September</b:Month>
    <b:Day>23</b:Day>
    <b:URL>https://de.statista.com/statistik/daten/studie/38133/umfrage/durchschnittliche-jaehrliche-bankgebuehren-in-europa-nach-laendern/</b:URL>
    <b:RefOrder>64</b:RefOrder>
  </b:Source>
  <b:Source>
    <b:Tag>Wor20</b:Tag>
    <b:SourceType>DocumentFromInternetSite</b:SourceType>
    <b:Guid>{66505742-6C3C-4F2E-B36A-1DCA880FF064}</b:Guid>
    <b:LCID>en-US</b:LCID>
    <b:Author>
      <b:Author>
        <b:Corporate>World Bank</b:Corporate>
      </b:Author>
    </b:Author>
    <b:Title>GDP Growth Rate Annual %</b:Title>
    <b:InternetSiteTitle>World Bank</b:InternetSiteTitle>
    <b:Year>2020</b:Year>
    <b:Month>April</b:Month>
    <b:Day>24</b:Day>
    <b:URL>https://data.worldbank.org/indicator/NY.GDP.MKTP.KD.ZG?locations=NL-AT-DE-IT&amp;name_desc=false</b:URL>
    <b:RefOrder>75</b:RefOrder>
  </b:Source>
  <b:Source>
    <b:Tag>Sta20</b:Tag>
    <b:SourceType>DocumentFromInternetSite</b:SourceType>
    <b:Guid>{789658F3-6907-4EF0-A490-C73F532BA529}</b:Guid>
    <b:LCID>en-US</b:LCID>
    <b:Author>
      <b:Author>
        <b:Corporate>Statista Research Department</b:Corporate>
      </b:Author>
    </b:Author>
    <b:Title>www.statista.com</b:Title>
    <b:InternetSiteTitle>Kredite an Unternehmen und Privatpersonen bis 2019</b:InternetSiteTitle>
    <b:Year>2020</b:Year>
    <b:Month>February</b:Month>
    <b:Day>24</b:Day>
    <b:URL>https://de.statista.com/statistik/daten/studie/72495/umfrage/kredite-der-banken-in-deutschland-an-unternehmen-und-privatpersonen/</b:URL>
    <b:RefOrder>51</b:RefOrder>
  </b:Source>
  <b:Source>
    <b:Tag>Ban20</b:Tag>
    <b:SourceType>InternetSite</b:SourceType>
    <b:Guid>{290B08B1-8A68-468A-A606-EA9CF429EC4E}</b:Guid>
    <b:Title>Bank Charge</b:Title>
    <b:Year>2020</b:Year>
    <b:Month>March</b:Month>
    <b:Day>16</b:Day>
    <b:URL>https://en.wikipedia.org/w/index.php?title=Bank_charge&amp;oldid=945866347</b:URL>
    <b:InternetSiteTitle>Wikipedia, The Free Encyclopedia.</b:InternetSiteTitle>
    <b:LCID>en-US</b:LCID>
    <b:Author>
      <b:Author>
        <b:Corporate>Wikipedia Contributors</b:Corporate>
      </b:Author>
    </b:Author>
    <b:RefOrder>2</b:RefOrder>
  </b:Source>
  <b:Source>
    <b:Tag>Ban201</b:Tag>
    <b:SourceType>InternetSite</b:SourceType>
    <b:Guid>{4446D0FF-7169-4E2E-9B9D-58B1F4F2976C}</b:Guid>
    <b:Title>Bankgebühr</b:Title>
    <b:Year>2020</b:Year>
    <b:Month>April</b:Month>
    <b:Day>13</b:Day>
    <b:InternetSiteTitle>Wikipedia, Die freie Enzyklopädie.</b:InternetSiteTitle>
    <b:URL>https://de.wikipedia.org/w/index.php?title=Bankgeb%C3%BChr&amp;oldid=198817721</b:URL>
    <b:LCID>en-US</b:LCID>
    <b:Author>
      <b:Author>
        <b:Corporate>Wikipedia contributors</b:Corporate>
      </b:Author>
    </b:Author>
    <b:RefOrder>3</b:RefOrder>
  </b:Source>
  <b:Source>
    <b:Tag>Tax20</b:Tag>
    <b:SourceType>InternetSite</b:SourceType>
    <b:Guid>{1C1DA5EA-1E30-4C4C-A714-77FEAD373DDD}</b:Guid>
    <b:LCID>en-US</b:LCID>
    <b:Title>Tax</b:Title>
    <b:InternetSiteTitle>Wikipedia, The Free Encyclopedia.</b:InternetSiteTitle>
    <b:Year>2020</b:Year>
    <b:Month>April</b:Month>
    <b:Day>24</b:Day>
    <b:URL>https://en.wikipedia.org/w/index.php?title=Tax&amp;oldid=952663998</b:URL>
    <b:Author>
      <b:Author>
        <b:Corporate>Wikipedia Contributors</b:Corporate>
      </b:Author>
    </b:Author>
    <b:RefOrder>4</b:RefOrder>
  </b:Source>
  <b:Source>
    <b:Tag>Eur20</b:Tag>
    <b:SourceType>InternetSite</b:SourceType>
    <b:Guid>{EF0FCB48-B1A4-4367-807B-5A83B6876132}</b:Guid>
    <b:LCID>en-US</b:LCID>
    <b:Title>Euribor</b:Title>
    <b:InternetSiteTitle>Wikipedia, Die freie Enzyklopädie.</b:InternetSiteTitle>
    <b:Year>2020</b:Year>
    <b:Month>February</b:Month>
    <b:Day>21</b:Day>
    <b:URL>https://en.wikipedia.org/w/index.php?title=Euribor&amp;oldid=943602657</b:URL>
    <b:Author>
      <b:Author>
        <b:Corporate>Wikipedia Contributors</b:Corporate>
      </b:Author>
    </b:Author>
    <b:RefOrder>5</b:RefOrder>
  </b:Source>
  <b:Source>
    <b:Tag>Gar20</b:Tag>
    <b:SourceType>DocumentFromInternetSite</b:SourceType>
    <b:Guid>{BF6D75D9-CD91-41E3-8F09-52368FDD956D}</b:Guid>
    <b:LCID>en-US</b:LCID>
    <b:Author>
      <b:Author>
        <b:Corporate>Gartner</b:Corporate>
      </b:Author>
    </b:Author>
    <b:Title>Digitalization</b:Title>
    <b:InternetSiteTitle>Gartner</b:InternetSiteTitle>
    <b:Year>2020</b:Year>
    <b:Month>April</b:Month>
    <b:Day>04</b:Day>
    <b:URL>https://www.gartner.com/en/information-technology/glossary/digitalization</b:URL>
    <b:RefOrder>7</b:RefOrder>
  </b:Source>
  <b:Source>
    <b:Tag>His20</b:Tag>
    <b:SourceType>InternetSite</b:SourceType>
    <b:Guid>{DF0CAB2D-33C8-40DF-A04B-A7E75FFD4FA3}</b:Guid>
    <b:Title>History of Banking</b:Title>
    <b:Year>2020</b:Year>
    <b:Month>March</b:Month>
    <b:Day>26</b:Day>
    <b:LCID>en-US</b:LCID>
    <b:InternetSiteTitle>Wikipedia, The Free Encyclopedia.</b:InternetSiteTitle>
    <b:URL>https://en.wikipedia.org/w/index.php?title=History_of_banking&amp;oldid=946988785</b:URL>
    <b:Author>
      <b:Author>
        <b:Corporate>Wikipedia Contributors</b:Corporate>
      </b:Author>
    </b:Author>
    <b:RefOrder>8</b:RefOrder>
  </b:Source>
  <b:Source>
    <b:Tag>Ban202</b:Tag>
    <b:SourceType>InternetSite</b:SourceType>
    <b:Guid>{0A49248A-3E9A-4401-A83D-67DDF99E79AE}</b:Guid>
    <b:Title>Banco di San Giorgio</b:Title>
    <b:Year>2020</b:Year>
    <b:Month>April</b:Month>
    <b:Day>22</b:Day>
    <b:LCID>en-US</b:LCID>
    <b:InternetSiteTitle>Wikipedia, Die freie Enzyklopädie.</b:InternetSiteTitle>
    <b:URL>https://de.wikipedia.org/w/index.php?title=Banco_di_San_Giorgio&amp;oldid=199155680</b:URL>
    <b:Author>
      <b:Author>
        <b:Corporate>Wikipedia Contributers</b:Corporate>
      </b:Author>
    </b:Author>
    <b:RefOrder>10</b:RefOrder>
  </b:Source>
  <b:Source>
    <b:Tag>The17</b:Tag>
    <b:SourceType>DocumentFromInternetSite</b:SourceType>
    <b:Guid>{8D0B9936-2E4F-4607-8DCD-00B21925BE01}</b:Guid>
    <b:Title>Savings Bank</b:Title>
    <b:InternetSiteTitle>Encyclopædia Britannica</b:InternetSiteTitle>
    <b:Year>2017</b:Year>
    <b:Month>July</b:Month>
    <b:Day>18</b:Day>
    <b:URL>https://www.britannica.com/topic/savings-bank</b:URL>
    <b:Author>
      <b:Author>
        <b:NameList>
          <b:Person>
            <b:Last>Britannica</b:Last>
            <b:First>The</b:First>
            <b:Middle>Editors of Encyclopaedia</b:Middle>
          </b:Person>
        </b:NameList>
      </b:Author>
    </b:Author>
    <b:LCID>en-US</b:LCID>
    <b:RefOrder>11</b:RefOrder>
  </b:Source>
  <b:Source>
    <b:Tag>Ama20</b:Tag>
    <b:SourceType>DocumentFromInternetSite</b:SourceType>
    <b:Guid>{DFF3DB4E-8801-408E-A2DD-3A72181F8558}</b:Guid>
    <b:Title>Stock Market Crash of 1929 Facts, Causes, and Impact</b:Title>
    <b:Year>2020</b:Year>
    <b:InternetSiteTitle>The Balance</b:InternetSiteTitle>
    <b:Month>March</b:Month>
    <b:Day>17</b:Day>
    <b:URL>https://www.thebalance.com/stock-market-crash-of-1929-causes-effects-and-facts-3305891</b:URL>
    <b:Author>
      <b:Author>
        <b:NameList>
          <b:Person>
            <b:Last>Amadeo</b:Last>
            <b:First>Kimberly</b:First>
          </b:Person>
        </b:NameList>
      </b:Author>
    </b:Author>
    <b:LCID>en-US</b:LCID>
    <b:RefOrder>13</b:RefOrder>
  </b:Source>
  <b:Source>
    <b:Tag>Aga17</b:Tag>
    <b:SourceType>Report</b:SourceType>
    <b:Guid>{5E9070C6-A91E-4EB5-AE9F-A34129DC4A83}</b:Guid>
    <b:Title>First Industrial Revolution and Second Industrial Revolution: Technological Differences and the Differences in Banking and Financing of the Firms</b:Title>
    <b:Year>2017</b:Year>
    <b:Publisher>Saudi Journal of Humanities and Social Sciences</b:Publisher>
    <b:City>Dubai</b:City>
    <b:Author>
      <b:Author>
        <b:NameList>
          <b:Person>
            <b:Last>Agarwal</b:Last>
            <b:First>Harshit</b:First>
          </b:Person>
          <b:Person>
            <b:Last>Agarwal</b:Last>
            <b:First>Rashi</b:First>
          </b:Person>
        </b:NameList>
      </b:Author>
    </b:Author>
    <b:LCID>en-US</b:LCID>
    <b:RefOrder>12</b:RefOrder>
  </b:Source>
  <b:Source>
    <b:Tag>Che19</b:Tag>
    <b:SourceType>DocumentFromInternetSite</b:SourceType>
    <b:Guid>{BA11BBE2-52D1-40A8-AC18-BB3D2E8BECCA}</b:Guid>
    <b:Title>Bretton Woods Agreement and System</b:Title>
    <b:Year>2019</b:Year>
    <b:InternetSiteTitle>Investopedia</b:InternetSiteTitle>
    <b:Month>September</b:Month>
    <b:Day>5</b:Day>
    <b:URL>https://www.investopedia.com/terms/b/brettonwoodsagreement.asp</b:URL>
    <b:Author>
      <b:Author>
        <b:NameList>
          <b:Person>
            <b:Last>Chen</b:Last>
            <b:First>James</b:First>
          </b:Person>
        </b:NameList>
      </b:Author>
    </b:Author>
    <b:LCID>en-US</b:LCID>
    <b:RefOrder>15</b:RefOrder>
  </b:Source>
  <b:Source>
    <b:Tag>Joh83</b:Tag>
    <b:SourceType>ArticleInAPeriodical</b:SourceType>
    <b:Guid>{F54B9F57-C737-4788-9CA1-E1DED862E513}</b:Guid>
    <b:Title>Banking in the '80s: Electronics ushering in faster, safer services</b:Title>
    <b:Year>1983</b:Year>
    <b:Month>September</b:Month>
    <b:Day>13</b:Day>
    <b:PeriodicalTitle>Price Waterhouse Review</b:PeriodicalTitle>
    <b:Author>
      <b:Author>
        <b:NameList>
          <b:Person>
            <b:Last>Johnson</b:Last>
            <b:Middle>G.</b:Middle>
            <b:First>Howard</b:First>
          </b:Person>
        </b:NameList>
      </b:Author>
    </b:Author>
    <b:LCID>en-US</b:LCID>
    <b:RefOrder>17</b:RefOrder>
  </b:Source>
  <b:Source>
    <b:Tag>Fin20</b:Tag>
    <b:SourceType>InternetSite</b:SourceType>
    <b:Guid>{5AC543B8-AA5C-4886-8FCE-ACBDE540F87F}</b:Guid>
    <b:Title>Financial Crisis Of 2007–08</b:Title>
    <b:Year>2020</b:Year>
    <b:InternetSiteTitle>Wikipedia, The Free Encyclopedia.</b:InternetSiteTitle>
    <b:Month>April</b:Month>
    <b:Day>24</b:Day>
    <b:URL>https://en.wikipedia.org/w/index.php?title=Financial_crisis_of_2007%E2%80%9308&amp;oldid=952805944</b:URL>
    <b:LCID>en-US</b:LCID>
    <b:Author>
      <b:Author>
        <b:Corporate>Wikipedia Contributors</b:Corporate>
      </b:Author>
    </b:Author>
    <b:RefOrder>19</b:RefOrder>
  </b:Source>
  <b:Source>
    <b:Tag>Jed20</b:Tag>
    <b:SourceType>ArticleInAPeriodical</b:SourceType>
    <b:Guid>{726FB6C7-EAB1-488B-81DD-35EEAB4CEA4A}</b:Guid>
    <b:Title>Jede Vierte Bankfiliale Seit Dem Jahr 2000 Geschlossen</b:Title>
    <b:JournalName>Der Standard</b:JournalName>
    <b:Year>2020</b:Year>
    <b:PeriodicalTitle>Der Standard</b:PeriodicalTitle>
    <b:Month>January</b:Month>
    <b:Day>3</b:Day>
    <b:LCID>en-US</b:LCID>
    <b:Author>
      <b:Author>
        <b:Corporate>Der Standard</b:Corporate>
      </b:Author>
    </b:Author>
    <b:RefOrder>26</b:RefOrder>
  </b:Source>
  <b:Source>
    <b:Tag>Bon19</b:Tag>
    <b:SourceType>Report</b:SourceType>
    <b:Guid>{3B6F3236-5398-4C69-AA68-A44DA7074AD0}</b:Guid>
    <b:Title>Digital Banks: Development Trends</b:Title>
    <b:Year>2019</b:Year>
    <b:Publisher>Atlantis Press</b:Publisher>
    <b:City>Moscow</b:City>
    <b:Author>
      <b:Author>
        <b:NameList>
          <b:Person>
            <b:Last>Bondarenko</b:Last>
            <b:Middle>Viktorovna</b:Middle>
            <b:First>Anastasia</b:First>
          </b:Person>
          <b:Person>
            <b:Last>Evdokimova</b:Last>
            <b:Middle>Viktorovna</b:Middle>
            <b:First>Yulia</b:First>
          </b:Person>
          <b:Person>
            <b:Last>Shinkareva</b:Last>
            <b:Middle>Vladimirovna</b:Middle>
            <b:First>Olga</b:First>
          </b:Person>
        </b:NameList>
      </b:Author>
    </b:Author>
    <b:LCID>en-US</b:LCID>
    <b:RefOrder>28</b:RefOrder>
  </b:Source>
  <b:Source>
    <b:Tag>Arn08</b:Tag>
    <b:SourceType>Report</b:SourceType>
    <b:Guid>{4B3C3B9B-7153-41A7-AAF9-78BEFB5A3798}</b:Guid>
    <b:Title>Internet Banking In Europe: A Comparative Analysis</b:Title>
    <b:Year>2008</b:Year>
    <b:Publisher>Research Institute of Applied Economics</b:Publisher>
    <b:City>Milan</b:City>
    <b:Author>
      <b:Author>
        <b:NameList>
          <b:Person>
            <b:Last>Arnaboldi</b:Last>
            <b:First>Francesca</b:First>
          </b:Person>
          <b:Person>
            <b:Last>Claeys</b:Last>
            <b:First>Peter</b:First>
          </b:Person>
        </b:NameList>
      </b:Author>
    </b:Author>
    <b:LCID>en-US</b:LCID>
    <b:RefOrder>34</b:RefOrder>
  </b:Source>
  <b:Source>
    <b:Tag>Sch17</b:Tag>
    <b:SourceType>Report</b:SourceType>
    <b:Guid>{C239EB50-CEC4-4673-8B8C-4D192AF5B3AC}</b:Guid>
    <b:Title>Digitalization Of The Banking Industry:  A Multiple Stakeholder Analysis On Strategic Alignment</b:Title>
    <b:Year>2017</b:Year>
    <b:City>Boston</b:City>
    <b:Author>
      <b:Author>
        <b:NameList>
          <b:Person>
            <b:Last>Schmidt</b:Last>
            <b:First>Julian</b:First>
          </b:Person>
          <b:Person>
            <b:Last>Drews</b:Last>
            <b:First>Paul</b:First>
          </b:Person>
          <b:Person>
            <b:Last>Schirmer</b:Last>
            <b:First>Ingrid</b:First>
          </b:Person>
        </b:NameList>
      </b:Author>
    </b:Author>
    <b:LCID>en-US</b:LCID>
    <b:Publisher>Twenty-Third Americas Conference on Information Systems</b:Publisher>
    <b:RefOrder>39</b:RefOrder>
  </b:Source>
  <b:Source>
    <b:Tag>Nik08</b:Tag>
    <b:SourceType>Report</b:SourceType>
    <b:Guid>{47E6C05A-6FE0-4BA8-A9F5-C96DF568EDA9}</b:Guid>
    <b:Title>Business Processes Modelling And Automation In The Banking Sector: A Case Study</b:Title>
    <b:Year>2008</b:Year>
    <b:Publisher>International Journal Of Simulation, Vol. 2, No. 2</b:Publisher>
    <b:Author>
      <b:Author>
        <b:NameList>
          <b:Person>
            <b:Last>Nikolaidou</b:Last>
            <b:First>Mara</b:First>
          </b:Person>
          <b:Person>
            <b:Last>Anagnostopoulos</b:Last>
            <b:First>Dimosthenis</b:First>
          </b:Person>
          <b:Person>
            <b:Last>Tsalgatidou</b:Last>
            <b:First>Aphrodite</b:First>
          </b:Person>
        </b:NameList>
      </b:Author>
    </b:Author>
    <b:LCID>en-US</b:LCID>
    <b:City>Athens</b:City>
    <b:RefOrder>42</b:RefOrder>
  </b:Source>
  <b:Source>
    <b:Tag>ATM20</b:Tag>
    <b:SourceType>InternetSite</b:SourceType>
    <b:Guid>{756013E7-9E41-4870-9357-D56AAAC8E643}</b:Guid>
    <b:Title>ATM Usage Fees</b:Title>
    <b:Year>2020</b:Year>
    <b:InternetSiteTitle>Wikipedia, The Free Encyclopedia.</b:InternetSiteTitle>
    <b:Month>March</b:Month>
    <b:Day>26</b:Day>
    <b:URL>https://en.wikipedia.org/w/index.php?title=ATM_usage_fees&amp;oldid=958489560</b:URL>
    <b:LCID>en-US</b:LCID>
    <b:Author>
      <b:Author>
        <b:Corporate>Wikipedia Contributors</b:Corporate>
      </b:Author>
    </b:Author>
    <b:RefOrder>55</b:RefOrder>
  </b:Source>
  <b:Source>
    <b:Tag>Eur201</b:Tag>
    <b:SourceType>DocumentFromInternetSite</b:SourceType>
    <b:Guid>{6EE73B86-C36D-4D13-BA57-12515AA290A4}</b:Guid>
    <b:Title>Payments, transfers and cheques</b:Title>
    <b:InternetSiteTitle>Europa</b:InternetSiteTitle>
    <b:Year>2020</b:Year>
    <b:Month>January</b:Month>
    <b:Day>27</b:Day>
    <b:URL>https://europa.eu/youreurope/citizens/consumers/financial-products-and-services/payments-transfers-cheques/index_en.htm</b:URL>
    <b:LCID>en-US</b:LCID>
    <b:Author>
      <b:Author>
        <b:Corporate>European Union</b:Corporate>
      </b:Author>
    </b:Author>
    <b:RefOrder>56</b:RefOrder>
  </b:Source>
  <b:Source>
    <b:Tag>Zah20</b:Tag>
    <b:SourceType>DocumentFromInternetSite</b:SourceType>
    <b:Guid>{478CF21A-C283-4307-96E7-0D14AB170F84}</b:Guid>
    <b:LCID>en-US</b:LCID>
    <b:Title>Zahlungsdiensterichtlinie</b:Title>
    <b:InternetSiteTitle>Wikipedia, Die freie Enzyklopädie.</b:InternetSiteTitle>
    <b:Year>2020</b:Year>
    <b:Month>April</b:Month>
    <b:Day>2</b:Day>
    <b:URL>https://de.wikipedia.org/w/index.php?title=Zahlungsdiensterichtlinie&amp;oldid=195059885</b:URL>
    <b:Author>
      <b:Author>
        <b:Corporate>Wikipedia Contributors</b:Corporate>
      </b:Author>
    </b:Author>
    <b:RefOrder>60</b:RefOrder>
  </b:Source>
  <b:Source>
    <b:Tag>Sin20</b:Tag>
    <b:SourceType>DocumentFromInternetSite</b:SourceType>
    <b:Guid>{A782F7B3-2180-4CB4-9BD5-0DF6716913E9}</b:Guid>
    <b:LCID>en-US</b:LCID>
    <b:Title>Single Euro Payments Area</b:Title>
    <b:InternetSiteTitle>Wikipedia, The Free Encyclopedia.</b:InternetSiteTitle>
    <b:Year>2020</b:Year>
    <b:Month>April</b:Month>
    <b:Day>2</b:Day>
    <b:URL>https://en.wikipedia.org/w/index.php?title=Single_Euro_Payments_Area&amp;oldid=948535739</b:URL>
    <b:Author>
      <b:Author>
        <b:Corporate>Wikipedia Contributors</b:Corporate>
      </b:Author>
    </b:Author>
    <b:RefOrder>61</b:RefOrder>
  </b:Source>
</b:Sources>
</file>

<file path=customXml/itemProps1.xml><?xml version="1.0" encoding="utf-8"?>
<ds:datastoreItem xmlns:ds="http://schemas.openxmlformats.org/officeDocument/2006/customXml" ds:itemID="{3D880E5E-5F8A-4DFC-B073-CBF161A6A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13700</Words>
  <Characters>86315</Characters>
  <Application>Microsoft Office Word</Application>
  <DocSecurity>0</DocSecurity>
  <Lines>719</Lines>
  <Paragraphs>199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Cservenka</dc:creator>
  <cp:keywords/>
  <dc:description/>
  <cp:lastModifiedBy>Markus Cservenka</cp:lastModifiedBy>
  <cp:revision>4</cp:revision>
  <cp:lastPrinted>2020-06-03T16:31:00Z</cp:lastPrinted>
  <dcterms:created xsi:type="dcterms:W3CDTF">2020-06-03T16:31:00Z</dcterms:created>
  <dcterms:modified xsi:type="dcterms:W3CDTF">2020-06-03T16:32:00Z</dcterms:modified>
</cp:coreProperties>
</file>