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eastAsiaTheme="minorHAnsi"/>
          <w:color w:val="4472C4" w:themeColor="accent1"/>
          <w:lang w:val="de-AT" w:eastAsia="en-US"/>
        </w:rPr>
        <w:id w:val="1078947462"/>
        <w:docPartObj>
          <w:docPartGallery w:val="Cover Pages"/>
          <w:docPartUnique/>
        </w:docPartObj>
      </w:sdtPr>
      <w:sdtEndPr>
        <w:rPr>
          <w:color w:val="auto"/>
        </w:rPr>
      </w:sdtEndPr>
      <w:sdtContent>
        <w:p w14:paraId="65A0E52D" w14:textId="7C7EBDCA" w:rsidR="00081177" w:rsidRDefault="00081177">
          <w:pPr>
            <w:pStyle w:val="KeinLeerraum"/>
            <w:spacing w:before="1540" w:after="240"/>
            <w:jc w:val="center"/>
            <w:rPr>
              <w:color w:val="4472C4" w:themeColor="accent1"/>
            </w:rPr>
          </w:pPr>
        </w:p>
        <w:sdt>
          <w:sdtPr>
            <w:rPr>
              <w:rFonts w:asciiTheme="majorHAnsi" w:eastAsiaTheme="majorEastAsia" w:hAnsiTheme="majorHAnsi" w:cstheme="majorBidi"/>
              <w:caps/>
              <w:color w:val="000000" w:themeColor="text1"/>
              <w:sz w:val="52"/>
              <w:szCs w:val="52"/>
            </w:rPr>
            <w:alias w:val="Titel"/>
            <w:tag w:val=""/>
            <w:id w:val="1735040861"/>
            <w:placeholder>
              <w:docPart w:val="BFB8D4F39EC9456683FACE37C4AC4ACF"/>
            </w:placeholder>
            <w:dataBinding w:prefixMappings="xmlns:ns0='http://purl.org/dc/elements/1.1/' xmlns:ns1='http://schemas.openxmlformats.org/package/2006/metadata/core-properties' " w:xpath="/ns1:coreProperties[1]/ns0:title[1]" w:storeItemID="{6C3C8BC8-F283-45AE-878A-BAB7291924A1}"/>
            <w:text/>
          </w:sdtPr>
          <w:sdtEndPr/>
          <w:sdtContent>
            <w:p w14:paraId="6884CE21" w14:textId="75D981C5" w:rsidR="00081177" w:rsidRDefault="00081177" w:rsidP="008E4226">
              <w:pPr>
                <w:pStyle w:val="KeinLeerraum"/>
                <w:pBdr>
                  <w:top w:val="single" w:sz="4" w:space="6" w:color="auto"/>
                  <w:bottom w:val="single" w:sz="4" w:space="6" w:color="auto"/>
                </w:pBdr>
                <w:spacing w:after="240"/>
                <w:jc w:val="center"/>
                <w:rPr>
                  <w:rFonts w:asciiTheme="majorHAnsi" w:eastAsiaTheme="majorEastAsia" w:hAnsiTheme="majorHAnsi" w:cstheme="majorBidi"/>
                  <w:caps/>
                  <w:color w:val="4472C4" w:themeColor="accent1"/>
                  <w:sz w:val="80"/>
                  <w:szCs w:val="80"/>
                </w:rPr>
              </w:pPr>
              <w:r w:rsidRPr="008E4226">
                <w:rPr>
                  <w:rFonts w:asciiTheme="majorHAnsi" w:eastAsiaTheme="majorEastAsia" w:hAnsiTheme="majorHAnsi" w:cstheme="majorBidi"/>
                  <w:caps/>
                  <w:color w:val="000000" w:themeColor="text1"/>
                  <w:sz w:val="52"/>
                  <w:szCs w:val="52"/>
                </w:rPr>
                <w:t>Die europäische Datenschutzgrundverordnung</w:t>
              </w:r>
            </w:p>
          </w:sdtContent>
        </w:sdt>
        <w:sdt>
          <w:sdtPr>
            <w:rPr>
              <w:color w:val="000000" w:themeColor="text1"/>
              <w:sz w:val="28"/>
              <w:szCs w:val="28"/>
            </w:rPr>
            <w:alias w:val="Untertitel"/>
            <w:tag w:val=""/>
            <w:id w:val="328029620"/>
            <w:placeholder>
              <w:docPart w:val="2B0910E29B5C458EA551E69A00C056E0"/>
            </w:placeholder>
            <w:dataBinding w:prefixMappings="xmlns:ns0='http://purl.org/dc/elements/1.1/' xmlns:ns1='http://schemas.openxmlformats.org/package/2006/metadata/core-properties' " w:xpath="/ns1:coreProperties[1]/ns0:subject[1]" w:storeItemID="{6C3C8BC8-F283-45AE-878A-BAB7291924A1}"/>
            <w:text/>
          </w:sdtPr>
          <w:sdtEndPr/>
          <w:sdtContent>
            <w:p w14:paraId="49E4BF93" w14:textId="3F1E7A0B" w:rsidR="00081177" w:rsidRDefault="00081177">
              <w:pPr>
                <w:pStyle w:val="KeinLeerraum"/>
                <w:jc w:val="center"/>
                <w:rPr>
                  <w:color w:val="4472C4" w:themeColor="accent1"/>
                  <w:sz w:val="28"/>
                  <w:szCs w:val="28"/>
                </w:rPr>
              </w:pPr>
              <w:r w:rsidRPr="008E4226">
                <w:rPr>
                  <w:color w:val="000000" w:themeColor="text1"/>
                  <w:sz w:val="28"/>
                  <w:szCs w:val="28"/>
                </w:rPr>
                <w:t>Ein wirksamer Schutz der Persönlichkeitsrechte europäischer Bürger?</w:t>
              </w:r>
            </w:p>
          </w:sdtContent>
        </w:sdt>
        <w:p w14:paraId="67964058" w14:textId="2543E419" w:rsidR="00081177" w:rsidRDefault="00081177">
          <w:pPr>
            <w:pStyle w:val="KeinLeerraum"/>
            <w:spacing w:before="480"/>
            <w:jc w:val="center"/>
            <w:rPr>
              <w:color w:val="4472C4" w:themeColor="accent1"/>
            </w:rPr>
          </w:pPr>
        </w:p>
        <w:p w14:paraId="4FD6B159" w14:textId="34D01E84" w:rsidR="00081177" w:rsidRDefault="00081177">
          <w:r>
            <w:rPr>
              <w:noProof/>
            </w:rPr>
            <mc:AlternateContent>
              <mc:Choice Requires="wps">
                <w:drawing>
                  <wp:anchor distT="45720" distB="45720" distL="114300" distR="114300" simplePos="0" relativeHeight="251659264" behindDoc="0" locked="0" layoutInCell="1" allowOverlap="1" wp14:anchorId="2F2F7A02" wp14:editId="28C8A102">
                    <wp:simplePos x="0" y="0"/>
                    <wp:positionH relativeFrom="margin">
                      <wp:align>center</wp:align>
                    </wp:positionH>
                    <wp:positionV relativeFrom="paragraph">
                      <wp:posOffset>1228090</wp:posOffset>
                    </wp:positionV>
                    <wp:extent cx="4972050" cy="1404620"/>
                    <wp:effectExtent l="0" t="0" r="0" b="44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1404620"/>
                            </a:xfrm>
                            <a:prstGeom prst="rect">
                              <a:avLst/>
                            </a:prstGeom>
                            <a:solidFill>
                              <a:srgbClr val="FFFFFF"/>
                            </a:solidFill>
                            <a:ln w="9525">
                              <a:noFill/>
                              <a:miter lim="800000"/>
                              <a:headEnd/>
                              <a:tailEnd/>
                            </a:ln>
                          </wps:spPr>
                          <wps:txbx>
                            <w:txbxContent>
                              <w:p w14:paraId="5C7709ED" w14:textId="34ADFB1C" w:rsidR="007F06A1" w:rsidRPr="007F06A1" w:rsidRDefault="007F06A1">
                                <w:pPr>
                                  <w:rPr>
                                    <w:rFonts w:ascii="Arial" w:hAnsi="Arial" w:cs="Arial"/>
                                    <w:color w:val="000000" w:themeColor="text1"/>
                                  </w:rPr>
                                </w:pPr>
                                <w:r w:rsidRPr="007F06A1">
                                  <w:rPr>
                                    <w:rFonts w:ascii="Arial" w:hAnsi="Arial" w:cs="Arial"/>
                                    <w:color w:val="000000" w:themeColor="text1"/>
                                  </w:rPr>
                                  <w:t>Datum</w:t>
                                </w:r>
                                <w:r w:rsidR="00161190">
                                  <w:rPr>
                                    <w:rFonts w:ascii="Arial" w:hAnsi="Arial" w:cs="Arial"/>
                                    <w:color w:val="000000" w:themeColor="text1"/>
                                  </w:rPr>
                                  <w:t>/Date</w:t>
                                </w:r>
                                <w:r w:rsidRPr="007F06A1">
                                  <w:rPr>
                                    <w:rFonts w:ascii="Arial" w:hAnsi="Arial" w:cs="Arial"/>
                                    <w:color w:val="000000" w:themeColor="text1"/>
                                  </w:rPr>
                                  <w:t>: 03.06.2020</w:t>
                                </w:r>
                              </w:p>
                              <w:p w14:paraId="5A7BA6A1" w14:textId="38A53BB2" w:rsidR="007F06A1" w:rsidRPr="007F06A1" w:rsidRDefault="007F06A1">
                                <w:pPr>
                                  <w:rPr>
                                    <w:rFonts w:ascii="Arial" w:hAnsi="Arial" w:cs="Arial"/>
                                    <w:color w:val="000000" w:themeColor="text1"/>
                                  </w:rPr>
                                </w:pPr>
                                <w:r w:rsidRPr="007F06A1">
                                  <w:rPr>
                                    <w:rFonts w:ascii="Arial" w:hAnsi="Arial" w:cs="Arial"/>
                                    <w:color w:val="000000" w:themeColor="text1"/>
                                  </w:rPr>
                                  <w:t>Verfasser/Author, ID: Benjamin Schuster, h1600761</w:t>
                                </w:r>
                              </w:p>
                              <w:p w14:paraId="64EE4A54" w14:textId="1A21C807" w:rsidR="007F06A1" w:rsidRPr="007F06A1" w:rsidRDefault="007F06A1">
                                <w:pPr>
                                  <w:rPr>
                                    <w:rFonts w:ascii="Arial" w:hAnsi="Arial" w:cs="Arial"/>
                                    <w:color w:val="000000" w:themeColor="text1"/>
                                  </w:rPr>
                                </w:pPr>
                                <w:r w:rsidRPr="007F06A1">
                                  <w:rPr>
                                    <w:rFonts w:ascii="Arial" w:hAnsi="Arial" w:cs="Arial"/>
                                    <w:color w:val="000000" w:themeColor="text1"/>
                                  </w:rPr>
                                  <w:t>LV/Course: SBWL BIS K5, 4167, SS 2020</w:t>
                                </w:r>
                              </w:p>
                              <w:p w14:paraId="1B6C35F7" w14:textId="5D7182DE" w:rsidR="007F06A1" w:rsidRPr="007F06A1" w:rsidRDefault="007F06A1">
                                <w:pPr>
                                  <w:rPr>
                                    <w:rFonts w:ascii="Arial" w:hAnsi="Arial" w:cs="Arial"/>
                                    <w:color w:val="000000" w:themeColor="text1"/>
                                  </w:rPr>
                                </w:pPr>
                                <w:r w:rsidRPr="007F06A1">
                                  <w:rPr>
                                    <w:rFonts w:ascii="Arial" w:hAnsi="Arial" w:cs="Arial"/>
                                    <w:color w:val="000000" w:themeColor="text1"/>
                                  </w:rPr>
                                  <w:t>Betreuer/</w:t>
                                </w:r>
                                <w:proofErr w:type="spellStart"/>
                                <w:r w:rsidRPr="007F06A1">
                                  <w:rPr>
                                    <w:rFonts w:ascii="Arial" w:hAnsi="Arial" w:cs="Arial"/>
                                    <w:color w:val="000000" w:themeColor="text1"/>
                                  </w:rPr>
                                  <w:t>Examiner</w:t>
                                </w:r>
                                <w:proofErr w:type="spellEnd"/>
                                <w:r w:rsidRPr="007F06A1">
                                  <w:rPr>
                                    <w:rFonts w:ascii="Arial" w:hAnsi="Arial" w:cs="Arial"/>
                                    <w:color w:val="000000" w:themeColor="text1"/>
                                  </w:rPr>
                                  <w:t xml:space="preserve">: </w:t>
                                </w:r>
                                <w:proofErr w:type="spellStart"/>
                                <w:r w:rsidRPr="007F06A1">
                                  <w:rPr>
                                    <w:rStyle w:val="honorific-prefix"/>
                                    <w:rFonts w:ascii="Arial" w:hAnsi="Arial" w:cs="Arial"/>
                                    <w:color w:val="000000" w:themeColor="text1"/>
                                    <w:shd w:val="clear" w:color="auto" w:fill="FFFFFF"/>
                                  </w:rPr>
                                  <w:t>ao.Univ.Prof</w:t>
                                </w:r>
                                <w:proofErr w:type="spellEnd"/>
                                <w:r w:rsidRPr="007F06A1">
                                  <w:rPr>
                                    <w:rStyle w:val="honorific-prefix"/>
                                    <w:rFonts w:ascii="Arial" w:hAnsi="Arial" w:cs="Arial"/>
                                    <w:color w:val="000000" w:themeColor="text1"/>
                                    <w:shd w:val="clear" w:color="auto" w:fill="FFFFFF"/>
                                  </w:rPr>
                                  <w:t xml:space="preserve">. </w:t>
                                </w:r>
                                <w:proofErr w:type="spellStart"/>
                                <w:r w:rsidRPr="007F06A1">
                                  <w:rPr>
                                    <w:rStyle w:val="honorific-prefix"/>
                                    <w:rFonts w:ascii="Arial" w:hAnsi="Arial" w:cs="Arial"/>
                                    <w:color w:val="000000" w:themeColor="text1"/>
                                    <w:shd w:val="clear" w:color="auto" w:fill="FFFFFF"/>
                                  </w:rPr>
                                  <w:t>Mag.Dr.rer.soc.oec</w:t>
                                </w:r>
                                <w:proofErr w:type="spellEnd"/>
                                <w:r w:rsidRPr="007F06A1">
                                  <w:rPr>
                                    <w:rStyle w:val="honorific-prefix"/>
                                    <w:rFonts w:ascii="Arial" w:hAnsi="Arial" w:cs="Arial"/>
                                    <w:color w:val="000000" w:themeColor="text1"/>
                                    <w:shd w:val="clear" w:color="auto" w:fill="FFFFFF"/>
                                  </w:rPr>
                                  <w:t>. </w:t>
                                </w:r>
                                <w:r w:rsidRPr="007F06A1">
                                  <w:rPr>
                                    <w:rStyle w:val="given-name"/>
                                    <w:rFonts w:ascii="Arial" w:hAnsi="Arial" w:cs="Arial"/>
                                    <w:color w:val="000000" w:themeColor="text1"/>
                                    <w:shd w:val="clear" w:color="auto" w:fill="FFFFFF"/>
                                  </w:rPr>
                                  <w:t>Rony G.</w:t>
                                </w:r>
                                <w:r w:rsidRPr="007F06A1">
                                  <w:rPr>
                                    <w:rFonts w:ascii="Arial" w:hAnsi="Arial" w:cs="Arial"/>
                                    <w:color w:val="000000" w:themeColor="text1"/>
                                    <w:shd w:val="clear" w:color="auto" w:fill="FFFFFF"/>
                                  </w:rPr>
                                  <w:t> </w:t>
                                </w:r>
                                <w:proofErr w:type="spellStart"/>
                                <w:r w:rsidRPr="007F06A1">
                                  <w:rPr>
                                    <w:rStyle w:val="family-name"/>
                                    <w:rFonts w:ascii="Arial" w:hAnsi="Arial" w:cs="Arial"/>
                                    <w:color w:val="000000" w:themeColor="text1"/>
                                    <w:shd w:val="clear" w:color="auto" w:fill="FFFFFF"/>
                                  </w:rPr>
                                  <w:t>Flatscher</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2F7A02" id="_x0000_t202" coordsize="21600,21600" o:spt="202" path="m,l,21600r21600,l21600,xe">
                    <v:stroke joinstyle="miter"/>
                    <v:path gradientshapeok="t" o:connecttype="rect"/>
                  </v:shapetype>
                  <v:shape id="Textfeld 2" o:spid="_x0000_s1026" type="#_x0000_t202" style="position:absolute;margin-left:0;margin-top:96.7pt;width:391.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" stroked="f">
                    <v:textbox style="mso-fit-shape-to-text:t">
                      <w:txbxContent>
                        <w:p w14:paraId="5C7709ED" w14:textId="34ADFB1C" w:rsidR="007F06A1" w:rsidRPr="007F06A1" w:rsidRDefault="007F06A1">
                          <w:pPr>
                            <w:rPr>
                              <w:rFonts w:ascii="Arial" w:hAnsi="Arial" w:cs="Arial"/>
                              <w:color w:val="000000" w:themeColor="text1"/>
                            </w:rPr>
                          </w:pPr>
                          <w:r w:rsidRPr="007F06A1">
                            <w:rPr>
                              <w:rFonts w:ascii="Arial" w:hAnsi="Arial" w:cs="Arial"/>
                              <w:color w:val="000000" w:themeColor="text1"/>
                            </w:rPr>
                            <w:t>Datum</w:t>
                          </w:r>
                          <w:r w:rsidR="00161190">
                            <w:rPr>
                              <w:rFonts w:ascii="Arial" w:hAnsi="Arial" w:cs="Arial"/>
                              <w:color w:val="000000" w:themeColor="text1"/>
                            </w:rPr>
                            <w:t>/Date</w:t>
                          </w:r>
                          <w:r w:rsidRPr="007F06A1">
                            <w:rPr>
                              <w:rFonts w:ascii="Arial" w:hAnsi="Arial" w:cs="Arial"/>
                              <w:color w:val="000000" w:themeColor="text1"/>
                            </w:rPr>
                            <w:t>: 03.06.2020</w:t>
                          </w:r>
                        </w:p>
                        <w:p w14:paraId="5A7BA6A1" w14:textId="38A53BB2" w:rsidR="007F06A1" w:rsidRPr="007F06A1" w:rsidRDefault="007F06A1">
                          <w:pPr>
                            <w:rPr>
                              <w:rFonts w:ascii="Arial" w:hAnsi="Arial" w:cs="Arial"/>
                              <w:color w:val="000000" w:themeColor="text1"/>
                            </w:rPr>
                          </w:pPr>
                          <w:r w:rsidRPr="007F06A1">
                            <w:rPr>
                              <w:rFonts w:ascii="Arial" w:hAnsi="Arial" w:cs="Arial"/>
                              <w:color w:val="000000" w:themeColor="text1"/>
                            </w:rPr>
                            <w:t>Verfasser/Author, ID: Benjamin Schuster, h1600761</w:t>
                          </w:r>
                        </w:p>
                        <w:p w14:paraId="64EE4A54" w14:textId="1A21C807" w:rsidR="007F06A1" w:rsidRPr="007F06A1" w:rsidRDefault="007F06A1">
                          <w:pPr>
                            <w:rPr>
                              <w:rFonts w:ascii="Arial" w:hAnsi="Arial" w:cs="Arial"/>
                              <w:color w:val="000000" w:themeColor="text1"/>
                            </w:rPr>
                          </w:pPr>
                          <w:r w:rsidRPr="007F06A1">
                            <w:rPr>
                              <w:rFonts w:ascii="Arial" w:hAnsi="Arial" w:cs="Arial"/>
                              <w:color w:val="000000" w:themeColor="text1"/>
                            </w:rPr>
                            <w:t>LV/Course: SBWL BIS K5, 4167, SS 2020</w:t>
                          </w:r>
                        </w:p>
                        <w:p w14:paraId="1B6C35F7" w14:textId="5D7182DE" w:rsidR="007F06A1" w:rsidRPr="007F06A1" w:rsidRDefault="007F06A1">
                          <w:pPr>
                            <w:rPr>
                              <w:rFonts w:ascii="Arial" w:hAnsi="Arial" w:cs="Arial"/>
                              <w:color w:val="000000" w:themeColor="text1"/>
                            </w:rPr>
                          </w:pPr>
                          <w:r w:rsidRPr="007F06A1">
                            <w:rPr>
                              <w:rFonts w:ascii="Arial" w:hAnsi="Arial" w:cs="Arial"/>
                              <w:color w:val="000000" w:themeColor="text1"/>
                            </w:rPr>
                            <w:t>Betreuer/</w:t>
                          </w:r>
                          <w:proofErr w:type="spellStart"/>
                          <w:r w:rsidRPr="007F06A1">
                            <w:rPr>
                              <w:rFonts w:ascii="Arial" w:hAnsi="Arial" w:cs="Arial"/>
                              <w:color w:val="000000" w:themeColor="text1"/>
                            </w:rPr>
                            <w:t>Examiner</w:t>
                          </w:r>
                          <w:proofErr w:type="spellEnd"/>
                          <w:r w:rsidRPr="007F06A1">
                            <w:rPr>
                              <w:rFonts w:ascii="Arial" w:hAnsi="Arial" w:cs="Arial"/>
                              <w:color w:val="000000" w:themeColor="text1"/>
                            </w:rPr>
                            <w:t xml:space="preserve">: </w:t>
                          </w:r>
                          <w:proofErr w:type="spellStart"/>
                          <w:r w:rsidRPr="007F06A1">
                            <w:rPr>
                              <w:rStyle w:val="honorific-prefix"/>
                              <w:rFonts w:ascii="Arial" w:hAnsi="Arial" w:cs="Arial"/>
                              <w:color w:val="000000" w:themeColor="text1"/>
                              <w:shd w:val="clear" w:color="auto" w:fill="FFFFFF"/>
                            </w:rPr>
                            <w:t>ao.Univ.Prof</w:t>
                          </w:r>
                          <w:proofErr w:type="spellEnd"/>
                          <w:r w:rsidRPr="007F06A1">
                            <w:rPr>
                              <w:rStyle w:val="honorific-prefix"/>
                              <w:rFonts w:ascii="Arial" w:hAnsi="Arial" w:cs="Arial"/>
                              <w:color w:val="000000" w:themeColor="text1"/>
                              <w:shd w:val="clear" w:color="auto" w:fill="FFFFFF"/>
                            </w:rPr>
                            <w:t xml:space="preserve">. </w:t>
                          </w:r>
                          <w:proofErr w:type="spellStart"/>
                          <w:r w:rsidRPr="007F06A1">
                            <w:rPr>
                              <w:rStyle w:val="honorific-prefix"/>
                              <w:rFonts w:ascii="Arial" w:hAnsi="Arial" w:cs="Arial"/>
                              <w:color w:val="000000" w:themeColor="text1"/>
                              <w:shd w:val="clear" w:color="auto" w:fill="FFFFFF"/>
                            </w:rPr>
                            <w:t>Mag.Dr.rer.soc.oec</w:t>
                          </w:r>
                          <w:proofErr w:type="spellEnd"/>
                          <w:r w:rsidRPr="007F06A1">
                            <w:rPr>
                              <w:rStyle w:val="honorific-prefix"/>
                              <w:rFonts w:ascii="Arial" w:hAnsi="Arial" w:cs="Arial"/>
                              <w:color w:val="000000" w:themeColor="text1"/>
                              <w:shd w:val="clear" w:color="auto" w:fill="FFFFFF"/>
                            </w:rPr>
                            <w:t>. </w:t>
                          </w:r>
                          <w:r w:rsidRPr="007F06A1">
                            <w:rPr>
                              <w:rStyle w:val="given-name"/>
                              <w:rFonts w:ascii="Arial" w:hAnsi="Arial" w:cs="Arial"/>
                              <w:color w:val="000000" w:themeColor="text1"/>
                              <w:shd w:val="clear" w:color="auto" w:fill="FFFFFF"/>
                            </w:rPr>
                            <w:t>Rony G.</w:t>
                          </w:r>
                          <w:r w:rsidRPr="007F06A1">
                            <w:rPr>
                              <w:rFonts w:ascii="Arial" w:hAnsi="Arial" w:cs="Arial"/>
                              <w:color w:val="000000" w:themeColor="text1"/>
                              <w:shd w:val="clear" w:color="auto" w:fill="FFFFFF"/>
                            </w:rPr>
                            <w:t> </w:t>
                          </w:r>
                          <w:proofErr w:type="spellStart"/>
                          <w:r w:rsidRPr="007F06A1">
                            <w:rPr>
                              <w:rStyle w:val="family-name"/>
                              <w:rFonts w:ascii="Arial" w:hAnsi="Arial" w:cs="Arial"/>
                              <w:color w:val="000000" w:themeColor="text1"/>
                              <w:shd w:val="clear" w:color="auto" w:fill="FFFFFF"/>
                            </w:rPr>
                            <w:t>Flatscher</w:t>
                          </w:r>
                          <w:proofErr w:type="spellEnd"/>
                        </w:p>
                      </w:txbxContent>
                    </v:textbox>
                    <w10:wrap type="square" anchorx="margin"/>
                  </v:shape>
                </w:pict>
              </mc:Fallback>
            </mc:AlternateContent>
          </w:r>
          <w:r>
            <w:br w:type="page"/>
          </w:r>
        </w:p>
      </w:sdtContent>
    </w:sdt>
    <w:p w14:paraId="1E6BF813" w14:textId="2E3D451D" w:rsidR="00435AC0" w:rsidRPr="00435AC0" w:rsidRDefault="00435AC0" w:rsidP="00435AC0">
      <w:pPr>
        <w:spacing w:line="360" w:lineRule="auto"/>
        <w:jc w:val="both"/>
        <w:rPr>
          <w:rFonts w:ascii="Arial" w:hAnsi="Arial" w:cs="Arial"/>
          <w:b/>
          <w:bCs/>
          <w:sz w:val="24"/>
          <w:szCs w:val="24"/>
          <w:u w:val="single"/>
        </w:rPr>
      </w:pPr>
      <w:r w:rsidRPr="00435AC0">
        <w:rPr>
          <w:rFonts w:ascii="Arial" w:hAnsi="Arial" w:cs="Arial"/>
          <w:b/>
          <w:bCs/>
          <w:sz w:val="24"/>
          <w:szCs w:val="24"/>
          <w:u w:val="single"/>
        </w:rPr>
        <w:lastRenderedPageBreak/>
        <w:t>Eidesstaatliche Erklärung</w:t>
      </w:r>
    </w:p>
    <w:p w14:paraId="7C4CA965" w14:textId="2CA78DBD" w:rsidR="00435AC0" w:rsidRDefault="00435AC0" w:rsidP="00435AC0">
      <w:pPr>
        <w:spacing w:line="360" w:lineRule="auto"/>
        <w:jc w:val="both"/>
        <w:rPr>
          <w:rFonts w:ascii="Arial" w:hAnsi="Arial" w:cs="Arial"/>
        </w:rPr>
      </w:pPr>
      <w:r>
        <w:rPr>
          <w:rFonts w:ascii="Arial" w:hAnsi="Arial" w:cs="Arial"/>
        </w:rPr>
        <w:t>Hiermit versichere ich, dass</w:t>
      </w:r>
    </w:p>
    <w:p w14:paraId="318A7D04" w14:textId="6D487C64" w:rsidR="00435AC0" w:rsidRDefault="00435AC0" w:rsidP="00435AC0">
      <w:pPr>
        <w:spacing w:line="360" w:lineRule="auto"/>
        <w:jc w:val="both"/>
        <w:rPr>
          <w:rFonts w:ascii="Arial" w:hAnsi="Arial" w:cs="Arial"/>
        </w:rPr>
      </w:pPr>
      <w:r>
        <w:rPr>
          <w:rFonts w:ascii="Arial" w:hAnsi="Arial" w:cs="Arial"/>
        </w:rPr>
        <w:t>1. ich die vorliegende Seminararbeit selbständig und ohne Verwendung unerlaubter Hilfsmittel     verfasst habe. Alle Inhalte, die direkt oder indirekt aus fremden Quellen entnommen sind, sind durch entsprechende Quellenangaben gekennzeichnet.</w:t>
      </w:r>
    </w:p>
    <w:p w14:paraId="708DE222" w14:textId="77777777" w:rsidR="00435AC0" w:rsidRDefault="00435AC0" w:rsidP="00435AC0">
      <w:pPr>
        <w:spacing w:line="360" w:lineRule="auto"/>
        <w:jc w:val="both"/>
        <w:rPr>
          <w:rFonts w:ascii="Arial" w:hAnsi="Arial" w:cs="Arial"/>
        </w:rPr>
      </w:pPr>
      <w:r>
        <w:rPr>
          <w:rFonts w:ascii="Arial" w:hAnsi="Arial" w:cs="Arial"/>
        </w:rPr>
        <w:t>2. die vorliegende Arbeit bisher weder im Ausland zur Beurteilung vorgelegt bzw. veröffentlich worden ist.</w:t>
      </w:r>
    </w:p>
    <w:p w14:paraId="1D577534" w14:textId="77777777" w:rsidR="00611BCA" w:rsidRDefault="00611BCA" w:rsidP="00435AC0">
      <w:pPr>
        <w:spacing w:line="360" w:lineRule="auto"/>
        <w:jc w:val="both"/>
        <w:rPr>
          <w:rFonts w:ascii="Arial" w:hAnsi="Arial" w:cs="Arial"/>
        </w:rPr>
      </w:pPr>
    </w:p>
    <w:p w14:paraId="65EFE0EB" w14:textId="77777777" w:rsidR="00611BCA" w:rsidRDefault="00611BCA" w:rsidP="00435AC0">
      <w:pPr>
        <w:spacing w:line="360" w:lineRule="auto"/>
        <w:jc w:val="both"/>
        <w:rPr>
          <w:rFonts w:ascii="Arial" w:hAnsi="Arial" w:cs="Arial"/>
        </w:rPr>
      </w:pPr>
    </w:p>
    <w:p w14:paraId="2A1D6866" w14:textId="77777777" w:rsidR="00213078" w:rsidRDefault="00435AC0" w:rsidP="00435AC0">
      <w:pPr>
        <w:spacing w:line="360" w:lineRule="auto"/>
        <w:jc w:val="both"/>
        <w:rPr>
          <w:rFonts w:ascii="Arial" w:hAnsi="Arial" w:cs="Arial"/>
        </w:rPr>
      </w:pPr>
      <w:r>
        <w:rPr>
          <w:rFonts w:ascii="Arial" w:hAnsi="Arial" w:cs="Arial"/>
        </w:rPr>
        <w:t xml:space="preserve">Datum: 03.06.2020 </w:t>
      </w:r>
      <w:r w:rsidR="00611BCA">
        <w:rPr>
          <w:rFonts w:ascii="Arial" w:hAnsi="Arial" w:cs="Arial"/>
        </w:rPr>
        <w:tab/>
      </w:r>
      <w:r w:rsidR="00611BCA">
        <w:rPr>
          <w:rFonts w:ascii="Arial" w:hAnsi="Arial" w:cs="Arial"/>
        </w:rPr>
        <w:tab/>
      </w:r>
      <w:r w:rsidR="00611BCA">
        <w:rPr>
          <w:rFonts w:ascii="Arial" w:hAnsi="Arial" w:cs="Arial"/>
        </w:rPr>
        <w:tab/>
      </w:r>
      <w:r>
        <w:rPr>
          <w:rFonts w:ascii="Arial" w:hAnsi="Arial" w:cs="Arial"/>
        </w:rPr>
        <w:t>Name: Benjamin Schuster</w:t>
      </w:r>
      <w:r>
        <w:rPr>
          <w:rFonts w:ascii="Arial" w:hAnsi="Arial" w:cs="Arial"/>
        </w:rPr>
        <w:tab/>
      </w:r>
    </w:p>
    <w:p w14:paraId="2AEF1EE6" w14:textId="77777777" w:rsidR="00A22DE2" w:rsidRDefault="00435AC0" w:rsidP="00435AC0">
      <w:pPr>
        <w:spacing w:line="360" w:lineRule="auto"/>
        <w:jc w:val="both"/>
        <w:rPr>
          <w:rFonts w:ascii="Arial" w:hAnsi="Arial" w:cs="Arial"/>
        </w:rPr>
      </w:pPr>
      <w:r>
        <w:rPr>
          <w:rFonts w:ascii="Arial" w:hAnsi="Arial" w:cs="Arial"/>
        </w:rPr>
        <w:tab/>
      </w:r>
    </w:p>
    <w:p w14:paraId="48C09F97" w14:textId="5940EDC9" w:rsidR="00435AC0" w:rsidRPr="00435AC0" w:rsidRDefault="00435AC0" w:rsidP="00435AC0">
      <w:pPr>
        <w:spacing w:line="360" w:lineRule="auto"/>
        <w:jc w:val="both"/>
        <w:rPr>
          <w:rFonts w:ascii="Arial" w:hAnsi="Arial" w:cs="Arial"/>
        </w:rPr>
      </w:pPr>
      <w:r>
        <w:rPr>
          <w:rFonts w:ascii="Arial" w:hAnsi="Arial" w:cs="Arial"/>
        </w:rPr>
        <w:t xml:space="preserve">  </w:t>
      </w:r>
      <w:r>
        <w:br w:type="page"/>
      </w:r>
    </w:p>
    <w:sdt>
      <w:sdtPr>
        <w:rPr>
          <w:rFonts w:asciiTheme="minorHAnsi" w:eastAsiaTheme="minorHAnsi" w:hAnsiTheme="minorHAnsi" w:cstheme="minorBidi"/>
          <w:color w:val="auto"/>
          <w:sz w:val="22"/>
          <w:szCs w:val="22"/>
          <w:lang w:val="de-AT" w:eastAsia="en-US"/>
        </w:rPr>
        <w:id w:val="1053200738"/>
        <w:docPartObj>
          <w:docPartGallery w:val="Table of Contents"/>
          <w:docPartUnique/>
        </w:docPartObj>
      </w:sdtPr>
      <w:sdtEndPr>
        <w:rPr>
          <w:b/>
          <w:bCs/>
        </w:rPr>
      </w:sdtEndPr>
      <w:sdtContent>
        <w:p w14:paraId="411CA774" w14:textId="54D349BC" w:rsidR="00B64117" w:rsidRDefault="00B64117">
          <w:pPr>
            <w:pStyle w:val="Inhaltsverzeichnisberschrift"/>
          </w:pPr>
          <w:r>
            <w:t>Inhaltsverzeichnis</w:t>
          </w:r>
        </w:p>
        <w:p w14:paraId="323D1C19" w14:textId="77777777" w:rsidR="00E51910" w:rsidRPr="00E51910" w:rsidRDefault="00E51910" w:rsidP="00E51910">
          <w:pPr>
            <w:rPr>
              <w:lang w:val="de-DE" w:eastAsia="de-DE"/>
            </w:rPr>
          </w:pPr>
        </w:p>
        <w:p w14:paraId="2F506DAF" w14:textId="57FCF6EC" w:rsidR="00A22DE2" w:rsidRDefault="00B64117">
          <w:pPr>
            <w:pStyle w:val="Verzeichnis1"/>
            <w:rPr>
              <w:rFonts w:asciiTheme="minorHAnsi" w:eastAsiaTheme="minorEastAsia" w:hAnsiTheme="minorHAnsi" w:cstheme="minorBidi"/>
              <w:b w:val="0"/>
              <w:bCs w:val="0"/>
              <w:lang w:val="de-DE" w:eastAsia="de-DE"/>
            </w:rPr>
          </w:pPr>
          <w:r w:rsidRPr="00DE59E1">
            <w:rPr>
              <w:rFonts w:ascii="Arial" w:hAnsi="Arial" w:cs="Arial"/>
            </w:rPr>
            <w:fldChar w:fldCharType="begin"/>
          </w:r>
          <w:r w:rsidRPr="00DE59E1">
            <w:rPr>
              <w:rFonts w:ascii="Arial" w:hAnsi="Arial" w:cs="Arial"/>
            </w:rPr>
            <w:instrText xml:space="preserve"> TOC \o "1-3" \h \z \u </w:instrText>
          </w:r>
          <w:r w:rsidRPr="00DE59E1">
            <w:rPr>
              <w:rFonts w:ascii="Arial" w:hAnsi="Arial" w:cs="Arial"/>
            </w:rPr>
            <w:fldChar w:fldCharType="separate"/>
          </w:r>
          <w:hyperlink w:anchor="_Toc42089726" w:history="1">
            <w:r w:rsidR="00A22DE2" w:rsidRPr="00192A6D">
              <w:rPr>
                <w:rStyle w:val="Hyperlink"/>
                <w:rFonts w:ascii="Arial" w:hAnsi="Arial" w:cs="Arial"/>
              </w:rPr>
              <w:t>Abbildungsverzeichnis</w:t>
            </w:r>
            <w:r w:rsidR="00A22DE2">
              <w:rPr>
                <w:webHidden/>
              </w:rPr>
              <w:tab/>
            </w:r>
            <w:r w:rsidR="00A22DE2">
              <w:rPr>
                <w:webHidden/>
              </w:rPr>
              <w:fldChar w:fldCharType="begin"/>
            </w:r>
            <w:r w:rsidR="00A22DE2">
              <w:rPr>
                <w:webHidden/>
              </w:rPr>
              <w:instrText xml:space="preserve"> PAGEREF _Toc42089726 \h </w:instrText>
            </w:r>
            <w:r w:rsidR="00A22DE2">
              <w:rPr>
                <w:webHidden/>
              </w:rPr>
            </w:r>
            <w:r w:rsidR="00A22DE2">
              <w:rPr>
                <w:webHidden/>
              </w:rPr>
              <w:fldChar w:fldCharType="separate"/>
            </w:r>
            <w:r w:rsidR="00A22DE2">
              <w:rPr>
                <w:webHidden/>
              </w:rPr>
              <w:t>3</w:t>
            </w:r>
            <w:r w:rsidR="00A22DE2">
              <w:rPr>
                <w:webHidden/>
              </w:rPr>
              <w:fldChar w:fldCharType="end"/>
            </w:r>
          </w:hyperlink>
        </w:p>
        <w:p w14:paraId="3B8C902A" w14:textId="683050A3" w:rsidR="00A22DE2" w:rsidRDefault="00A22DE2">
          <w:pPr>
            <w:pStyle w:val="Verzeichnis1"/>
            <w:rPr>
              <w:rFonts w:asciiTheme="minorHAnsi" w:eastAsiaTheme="minorEastAsia" w:hAnsiTheme="minorHAnsi" w:cstheme="minorBidi"/>
              <w:b w:val="0"/>
              <w:bCs w:val="0"/>
              <w:lang w:val="de-DE" w:eastAsia="de-DE"/>
            </w:rPr>
          </w:pPr>
          <w:hyperlink w:anchor="_Toc42089727" w:history="1">
            <w:r w:rsidRPr="00192A6D">
              <w:rPr>
                <w:rStyle w:val="Hyperlink"/>
                <w:rFonts w:ascii="Arial" w:hAnsi="Arial" w:cs="Arial"/>
              </w:rPr>
              <w:t>1 Einleitung</w:t>
            </w:r>
            <w:r>
              <w:rPr>
                <w:webHidden/>
              </w:rPr>
              <w:tab/>
            </w:r>
            <w:r>
              <w:rPr>
                <w:webHidden/>
              </w:rPr>
              <w:fldChar w:fldCharType="begin"/>
            </w:r>
            <w:r>
              <w:rPr>
                <w:webHidden/>
              </w:rPr>
              <w:instrText xml:space="preserve"> PAGEREF _Toc42089727 \h </w:instrText>
            </w:r>
            <w:r>
              <w:rPr>
                <w:webHidden/>
              </w:rPr>
            </w:r>
            <w:r>
              <w:rPr>
                <w:webHidden/>
              </w:rPr>
              <w:fldChar w:fldCharType="separate"/>
            </w:r>
            <w:r>
              <w:rPr>
                <w:webHidden/>
              </w:rPr>
              <w:t>5</w:t>
            </w:r>
            <w:r>
              <w:rPr>
                <w:webHidden/>
              </w:rPr>
              <w:fldChar w:fldCharType="end"/>
            </w:r>
          </w:hyperlink>
        </w:p>
        <w:p w14:paraId="1A8380F0" w14:textId="68682406" w:rsidR="00A22DE2" w:rsidRDefault="00A22DE2">
          <w:pPr>
            <w:pStyle w:val="Verzeichnis1"/>
            <w:rPr>
              <w:rFonts w:asciiTheme="minorHAnsi" w:eastAsiaTheme="minorEastAsia" w:hAnsiTheme="minorHAnsi" w:cstheme="minorBidi"/>
              <w:b w:val="0"/>
              <w:bCs w:val="0"/>
              <w:lang w:val="de-DE" w:eastAsia="de-DE"/>
            </w:rPr>
          </w:pPr>
          <w:hyperlink w:anchor="_Toc42089728" w:history="1">
            <w:r w:rsidRPr="00192A6D">
              <w:rPr>
                <w:rStyle w:val="Hyperlink"/>
                <w:rFonts w:ascii="Arial" w:hAnsi="Arial" w:cs="Arial"/>
              </w:rPr>
              <w:t>2 Struktur und Ziele der DSGVO</w:t>
            </w:r>
            <w:r>
              <w:rPr>
                <w:webHidden/>
              </w:rPr>
              <w:tab/>
            </w:r>
            <w:r>
              <w:rPr>
                <w:webHidden/>
              </w:rPr>
              <w:fldChar w:fldCharType="begin"/>
            </w:r>
            <w:r>
              <w:rPr>
                <w:webHidden/>
              </w:rPr>
              <w:instrText xml:space="preserve"> PAGEREF _Toc42089728 \h </w:instrText>
            </w:r>
            <w:r>
              <w:rPr>
                <w:webHidden/>
              </w:rPr>
            </w:r>
            <w:r>
              <w:rPr>
                <w:webHidden/>
              </w:rPr>
              <w:fldChar w:fldCharType="separate"/>
            </w:r>
            <w:r>
              <w:rPr>
                <w:webHidden/>
              </w:rPr>
              <w:t>7</w:t>
            </w:r>
            <w:r>
              <w:rPr>
                <w:webHidden/>
              </w:rPr>
              <w:fldChar w:fldCharType="end"/>
            </w:r>
          </w:hyperlink>
        </w:p>
        <w:p w14:paraId="41F63D52" w14:textId="0466B135" w:rsidR="00A22DE2" w:rsidRDefault="00A22DE2">
          <w:pPr>
            <w:pStyle w:val="Verzeichnis2"/>
            <w:rPr>
              <w:rFonts w:eastAsiaTheme="minorEastAsia"/>
              <w:noProof/>
              <w:lang w:val="de-DE" w:eastAsia="de-DE"/>
            </w:rPr>
          </w:pPr>
          <w:hyperlink w:anchor="_Toc42089729" w:history="1">
            <w:r w:rsidRPr="00192A6D">
              <w:rPr>
                <w:rStyle w:val="Hyperlink"/>
                <w:rFonts w:ascii="Arial" w:hAnsi="Arial" w:cs="Arial"/>
                <w:noProof/>
              </w:rPr>
              <w:t>2.1 Einführung und Historische Entwicklung der DSGVO</w:t>
            </w:r>
            <w:r>
              <w:rPr>
                <w:noProof/>
                <w:webHidden/>
              </w:rPr>
              <w:tab/>
            </w:r>
            <w:r>
              <w:rPr>
                <w:noProof/>
                <w:webHidden/>
              </w:rPr>
              <w:fldChar w:fldCharType="begin"/>
            </w:r>
            <w:r>
              <w:rPr>
                <w:noProof/>
                <w:webHidden/>
              </w:rPr>
              <w:instrText xml:space="preserve"> PAGEREF _Toc42089729 \h </w:instrText>
            </w:r>
            <w:r>
              <w:rPr>
                <w:noProof/>
                <w:webHidden/>
              </w:rPr>
            </w:r>
            <w:r>
              <w:rPr>
                <w:noProof/>
                <w:webHidden/>
              </w:rPr>
              <w:fldChar w:fldCharType="separate"/>
            </w:r>
            <w:r>
              <w:rPr>
                <w:noProof/>
                <w:webHidden/>
              </w:rPr>
              <w:t>7</w:t>
            </w:r>
            <w:r>
              <w:rPr>
                <w:noProof/>
                <w:webHidden/>
              </w:rPr>
              <w:fldChar w:fldCharType="end"/>
            </w:r>
          </w:hyperlink>
        </w:p>
        <w:p w14:paraId="1E9B4D3B" w14:textId="2CC7C927" w:rsidR="00A22DE2" w:rsidRDefault="00A22DE2">
          <w:pPr>
            <w:pStyle w:val="Verzeichnis2"/>
            <w:rPr>
              <w:rFonts w:eastAsiaTheme="minorEastAsia"/>
              <w:noProof/>
              <w:lang w:val="de-DE" w:eastAsia="de-DE"/>
            </w:rPr>
          </w:pPr>
          <w:hyperlink w:anchor="_Toc42089730" w:history="1">
            <w:r w:rsidRPr="00192A6D">
              <w:rPr>
                <w:rStyle w:val="Hyperlink"/>
                <w:rFonts w:ascii="Arial" w:hAnsi="Arial" w:cs="Arial"/>
                <w:noProof/>
              </w:rPr>
              <w:t>2.2 Ziele und Inhalte der DSGVO</w:t>
            </w:r>
            <w:r>
              <w:rPr>
                <w:noProof/>
                <w:webHidden/>
              </w:rPr>
              <w:tab/>
            </w:r>
            <w:r>
              <w:rPr>
                <w:noProof/>
                <w:webHidden/>
              </w:rPr>
              <w:fldChar w:fldCharType="begin"/>
            </w:r>
            <w:r>
              <w:rPr>
                <w:noProof/>
                <w:webHidden/>
              </w:rPr>
              <w:instrText xml:space="preserve"> PAGEREF _Toc42089730 \h </w:instrText>
            </w:r>
            <w:r>
              <w:rPr>
                <w:noProof/>
                <w:webHidden/>
              </w:rPr>
            </w:r>
            <w:r>
              <w:rPr>
                <w:noProof/>
                <w:webHidden/>
              </w:rPr>
              <w:fldChar w:fldCharType="separate"/>
            </w:r>
            <w:r>
              <w:rPr>
                <w:noProof/>
                <w:webHidden/>
              </w:rPr>
              <w:t>8</w:t>
            </w:r>
            <w:r>
              <w:rPr>
                <w:noProof/>
                <w:webHidden/>
              </w:rPr>
              <w:fldChar w:fldCharType="end"/>
            </w:r>
          </w:hyperlink>
        </w:p>
        <w:p w14:paraId="46EE8D20" w14:textId="2BE8AC7C" w:rsidR="00A22DE2" w:rsidRDefault="00A22DE2">
          <w:pPr>
            <w:pStyle w:val="Verzeichnis2"/>
            <w:rPr>
              <w:rFonts w:eastAsiaTheme="minorEastAsia"/>
              <w:noProof/>
              <w:lang w:val="de-DE" w:eastAsia="de-DE"/>
            </w:rPr>
          </w:pPr>
          <w:hyperlink w:anchor="_Toc42089731" w:history="1">
            <w:r w:rsidRPr="00192A6D">
              <w:rPr>
                <w:rStyle w:val="Hyperlink"/>
                <w:rFonts w:ascii="Arial" w:hAnsi="Arial" w:cs="Arial"/>
                <w:noProof/>
              </w:rPr>
              <w:t>2.3 Personenbezogene Daten</w:t>
            </w:r>
            <w:r>
              <w:rPr>
                <w:noProof/>
                <w:webHidden/>
              </w:rPr>
              <w:tab/>
            </w:r>
            <w:r>
              <w:rPr>
                <w:noProof/>
                <w:webHidden/>
              </w:rPr>
              <w:fldChar w:fldCharType="begin"/>
            </w:r>
            <w:r>
              <w:rPr>
                <w:noProof/>
                <w:webHidden/>
              </w:rPr>
              <w:instrText xml:space="preserve"> PAGEREF _Toc42089731 \h </w:instrText>
            </w:r>
            <w:r>
              <w:rPr>
                <w:noProof/>
                <w:webHidden/>
              </w:rPr>
            </w:r>
            <w:r>
              <w:rPr>
                <w:noProof/>
                <w:webHidden/>
              </w:rPr>
              <w:fldChar w:fldCharType="separate"/>
            </w:r>
            <w:r>
              <w:rPr>
                <w:noProof/>
                <w:webHidden/>
              </w:rPr>
              <w:t>9</w:t>
            </w:r>
            <w:r>
              <w:rPr>
                <w:noProof/>
                <w:webHidden/>
              </w:rPr>
              <w:fldChar w:fldCharType="end"/>
            </w:r>
          </w:hyperlink>
        </w:p>
        <w:p w14:paraId="48A8E369" w14:textId="5CDB2878" w:rsidR="00A22DE2" w:rsidRDefault="00A22DE2">
          <w:pPr>
            <w:pStyle w:val="Verzeichnis2"/>
            <w:rPr>
              <w:rFonts w:eastAsiaTheme="minorEastAsia"/>
              <w:noProof/>
              <w:lang w:val="de-DE" w:eastAsia="de-DE"/>
            </w:rPr>
          </w:pPr>
          <w:hyperlink w:anchor="_Toc42089732" w:history="1">
            <w:r w:rsidRPr="00192A6D">
              <w:rPr>
                <w:rStyle w:val="Hyperlink"/>
                <w:rFonts w:ascii="Arial" w:hAnsi="Arial" w:cs="Arial"/>
                <w:noProof/>
              </w:rPr>
              <w:t>2.4 Besondere Arten der personenbezogenen Daten</w:t>
            </w:r>
            <w:r>
              <w:rPr>
                <w:noProof/>
                <w:webHidden/>
              </w:rPr>
              <w:tab/>
            </w:r>
            <w:r>
              <w:rPr>
                <w:noProof/>
                <w:webHidden/>
              </w:rPr>
              <w:fldChar w:fldCharType="begin"/>
            </w:r>
            <w:r>
              <w:rPr>
                <w:noProof/>
                <w:webHidden/>
              </w:rPr>
              <w:instrText xml:space="preserve"> PAGEREF _Toc42089732 \h </w:instrText>
            </w:r>
            <w:r>
              <w:rPr>
                <w:noProof/>
                <w:webHidden/>
              </w:rPr>
            </w:r>
            <w:r>
              <w:rPr>
                <w:noProof/>
                <w:webHidden/>
              </w:rPr>
              <w:fldChar w:fldCharType="separate"/>
            </w:r>
            <w:r>
              <w:rPr>
                <w:noProof/>
                <w:webHidden/>
              </w:rPr>
              <w:t>10</w:t>
            </w:r>
            <w:r>
              <w:rPr>
                <w:noProof/>
                <w:webHidden/>
              </w:rPr>
              <w:fldChar w:fldCharType="end"/>
            </w:r>
          </w:hyperlink>
        </w:p>
        <w:p w14:paraId="1229045F" w14:textId="66B3EB8C" w:rsidR="00A22DE2" w:rsidRDefault="00A22DE2">
          <w:pPr>
            <w:pStyle w:val="Verzeichnis2"/>
            <w:rPr>
              <w:rFonts w:eastAsiaTheme="minorEastAsia"/>
              <w:noProof/>
              <w:lang w:val="de-DE" w:eastAsia="de-DE"/>
            </w:rPr>
          </w:pPr>
          <w:hyperlink w:anchor="_Toc42089733" w:history="1">
            <w:r w:rsidRPr="00192A6D">
              <w:rPr>
                <w:rStyle w:val="Hyperlink"/>
                <w:rFonts w:ascii="Arial" w:hAnsi="Arial" w:cs="Arial"/>
                <w:noProof/>
              </w:rPr>
              <w:t>2.5 Prinzipien der EU-DSGVO</w:t>
            </w:r>
            <w:r>
              <w:rPr>
                <w:noProof/>
                <w:webHidden/>
              </w:rPr>
              <w:tab/>
            </w:r>
            <w:r>
              <w:rPr>
                <w:noProof/>
                <w:webHidden/>
              </w:rPr>
              <w:fldChar w:fldCharType="begin"/>
            </w:r>
            <w:r>
              <w:rPr>
                <w:noProof/>
                <w:webHidden/>
              </w:rPr>
              <w:instrText xml:space="preserve"> PAGEREF _Toc42089733 \h </w:instrText>
            </w:r>
            <w:r>
              <w:rPr>
                <w:noProof/>
                <w:webHidden/>
              </w:rPr>
            </w:r>
            <w:r>
              <w:rPr>
                <w:noProof/>
                <w:webHidden/>
              </w:rPr>
              <w:fldChar w:fldCharType="separate"/>
            </w:r>
            <w:r>
              <w:rPr>
                <w:noProof/>
                <w:webHidden/>
              </w:rPr>
              <w:t>11</w:t>
            </w:r>
            <w:r>
              <w:rPr>
                <w:noProof/>
                <w:webHidden/>
              </w:rPr>
              <w:fldChar w:fldCharType="end"/>
            </w:r>
          </w:hyperlink>
        </w:p>
        <w:p w14:paraId="4A996017" w14:textId="165A41DA" w:rsidR="00A22DE2" w:rsidRDefault="00A22DE2">
          <w:pPr>
            <w:pStyle w:val="Verzeichnis3"/>
            <w:rPr>
              <w:rStyle w:val="Hyperlink"/>
              <w:noProof/>
            </w:rPr>
          </w:pPr>
          <w:hyperlink w:anchor="_Toc42089734" w:history="1">
            <w:r w:rsidRPr="00192A6D">
              <w:rPr>
                <w:rStyle w:val="Hyperlink"/>
                <w:rFonts w:ascii="Arial" w:hAnsi="Arial" w:cs="Arial"/>
                <w:noProof/>
              </w:rPr>
              <w:t>2.5.1 Grundsätze für die Verarbeitung personenbezogener Daten (Art. 5 DSGVO)</w:t>
            </w:r>
            <w:r>
              <w:rPr>
                <w:noProof/>
                <w:webHidden/>
              </w:rPr>
              <w:tab/>
            </w:r>
            <w:r>
              <w:rPr>
                <w:noProof/>
                <w:webHidden/>
              </w:rPr>
              <w:fldChar w:fldCharType="begin"/>
            </w:r>
            <w:r>
              <w:rPr>
                <w:noProof/>
                <w:webHidden/>
              </w:rPr>
              <w:instrText xml:space="preserve"> PAGEREF _Toc42089734 \h </w:instrText>
            </w:r>
            <w:r>
              <w:rPr>
                <w:noProof/>
                <w:webHidden/>
              </w:rPr>
            </w:r>
            <w:r>
              <w:rPr>
                <w:noProof/>
                <w:webHidden/>
              </w:rPr>
              <w:fldChar w:fldCharType="separate"/>
            </w:r>
            <w:r>
              <w:rPr>
                <w:noProof/>
                <w:webHidden/>
              </w:rPr>
              <w:t>11</w:t>
            </w:r>
            <w:r>
              <w:rPr>
                <w:noProof/>
                <w:webHidden/>
              </w:rPr>
              <w:fldChar w:fldCharType="end"/>
            </w:r>
          </w:hyperlink>
        </w:p>
        <w:p w14:paraId="1F9D1779" w14:textId="32CEC15A" w:rsidR="00A22DE2" w:rsidRPr="00A22DE2" w:rsidRDefault="00A22DE2" w:rsidP="00A22DE2">
          <w:r>
            <w:t xml:space="preserve">        </w:t>
          </w:r>
          <w:r w:rsidRPr="00A22DE2">
            <w:rPr>
              <w:rFonts w:ascii="Arial" w:hAnsi="Arial" w:cs="Arial"/>
            </w:rPr>
            <w:t xml:space="preserve"> 2.5.2</w:t>
          </w:r>
          <w:r w:rsidRPr="00A22DE2">
            <w:rPr>
              <w:rFonts w:ascii="Arial" w:hAnsi="Arial" w:cs="Arial"/>
              <w:sz w:val="24"/>
              <w:szCs w:val="24"/>
            </w:rPr>
            <w:t>.</w:t>
          </w:r>
          <w:r w:rsidRPr="00A22DE2">
            <w:rPr>
              <w:rFonts w:ascii="Arial" w:hAnsi="Arial" w:cs="Arial"/>
            </w:rPr>
            <w:t xml:space="preserve"> Prinzip der Zweckbindung</w:t>
          </w:r>
          <w:r w:rsidRPr="00A22DE2">
            <w:rPr>
              <w:rFonts w:cstheme="minorHAnsi"/>
            </w:rPr>
            <w:t>………………………………………………………………</w:t>
          </w:r>
          <w:r>
            <w:rPr>
              <w:rFonts w:cstheme="minorHAnsi"/>
            </w:rPr>
            <w:t>……………………</w:t>
          </w:r>
          <w:proofErr w:type="gramStart"/>
          <w:r>
            <w:rPr>
              <w:rFonts w:cstheme="minorHAnsi"/>
            </w:rPr>
            <w:t>…….</w:t>
          </w:r>
          <w:proofErr w:type="gramEnd"/>
          <w:r w:rsidRPr="00A22DE2">
            <w:rPr>
              <w:rFonts w:cstheme="minorHAnsi"/>
            </w:rPr>
            <w:t xml:space="preserve">11 </w:t>
          </w:r>
        </w:p>
        <w:p w14:paraId="7908394E" w14:textId="48B0A3F9" w:rsidR="00A22DE2" w:rsidRDefault="00A22DE2">
          <w:pPr>
            <w:pStyle w:val="Verzeichnis3"/>
            <w:rPr>
              <w:rFonts w:eastAsiaTheme="minorEastAsia"/>
              <w:noProof/>
              <w:lang w:val="de-DE" w:eastAsia="de-DE"/>
            </w:rPr>
          </w:pPr>
          <w:hyperlink w:anchor="_Toc42089735" w:history="1">
            <w:r w:rsidRPr="00192A6D">
              <w:rPr>
                <w:rStyle w:val="Hyperlink"/>
                <w:rFonts w:ascii="Arial" w:hAnsi="Arial" w:cs="Arial"/>
                <w:noProof/>
              </w:rPr>
              <w:t>2.5.3 Prinzip der Datenminimierung</w:t>
            </w:r>
            <w:r>
              <w:rPr>
                <w:noProof/>
                <w:webHidden/>
              </w:rPr>
              <w:tab/>
            </w:r>
            <w:r>
              <w:rPr>
                <w:noProof/>
                <w:webHidden/>
              </w:rPr>
              <w:fldChar w:fldCharType="begin"/>
            </w:r>
            <w:r>
              <w:rPr>
                <w:noProof/>
                <w:webHidden/>
              </w:rPr>
              <w:instrText xml:space="preserve"> PAGEREF _Toc42089735 \h </w:instrText>
            </w:r>
            <w:r>
              <w:rPr>
                <w:noProof/>
                <w:webHidden/>
              </w:rPr>
            </w:r>
            <w:r>
              <w:rPr>
                <w:noProof/>
                <w:webHidden/>
              </w:rPr>
              <w:fldChar w:fldCharType="separate"/>
            </w:r>
            <w:r>
              <w:rPr>
                <w:noProof/>
                <w:webHidden/>
              </w:rPr>
              <w:t>11</w:t>
            </w:r>
            <w:r>
              <w:rPr>
                <w:noProof/>
                <w:webHidden/>
              </w:rPr>
              <w:fldChar w:fldCharType="end"/>
            </w:r>
          </w:hyperlink>
        </w:p>
        <w:p w14:paraId="4B8B5534" w14:textId="05BD59F9" w:rsidR="00A22DE2" w:rsidRDefault="00A22DE2">
          <w:pPr>
            <w:pStyle w:val="Verzeichnis3"/>
            <w:rPr>
              <w:rFonts w:eastAsiaTheme="minorEastAsia"/>
              <w:noProof/>
              <w:lang w:val="de-DE" w:eastAsia="de-DE"/>
            </w:rPr>
          </w:pPr>
          <w:hyperlink w:anchor="_Toc42089736" w:history="1">
            <w:r w:rsidRPr="00192A6D">
              <w:rPr>
                <w:rStyle w:val="Hyperlink"/>
                <w:rFonts w:ascii="Arial" w:hAnsi="Arial" w:cs="Arial"/>
                <w:noProof/>
              </w:rPr>
              <w:t>2.5.4 Prinzip der Richtigkeit</w:t>
            </w:r>
            <w:r>
              <w:rPr>
                <w:noProof/>
                <w:webHidden/>
              </w:rPr>
              <w:tab/>
            </w:r>
            <w:r>
              <w:rPr>
                <w:noProof/>
                <w:webHidden/>
              </w:rPr>
              <w:fldChar w:fldCharType="begin"/>
            </w:r>
            <w:r>
              <w:rPr>
                <w:noProof/>
                <w:webHidden/>
              </w:rPr>
              <w:instrText xml:space="preserve"> PAGEREF _Toc42089736 \h </w:instrText>
            </w:r>
            <w:r>
              <w:rPr>
                <w:noProof/>
                <w:webHidden/>
              </w:rPr>
            </w:r>
            <w:r>
              <w:rPr>
                <w:noProof/>
                <w:webHidden/>
              </w:rPr>
              <w:fldChar w:fldCharType="separate"/>
            </w:r>
            <w:r>
              <w:rPr>
                <w:noProof/>
                <w:webHidden/>
              </w:rPr>
              <w:t>11</w:t>
            </w:r>
            <w:r>
              <w:rPr>
                <w:noProof/>
                <w:webHidden/>
              </w:rPr>
              <w:fldChar w:fldCharType="end"/>
            </w:r>
          </w:hyperlink>
        </w:p>
        <w:p w14:paraId="3B508D13" w14:textId="78A0EEAB" w:rsidR="00A22DE2" w:rsidRDefault="00A22DE2">
          <w:pPr>
            <w:pStyle w:val="Verzeichnis3"/>
            <w:rPr>
              <w:rFonts w:eastAsiaTheme="minorEastAsia"/>
              <w:noProof/>
              <w:lang w:val="de-DE" w:eastAsia="de-DE"/>
            </w:rPr>
          </w:pPr>
          <w:hyperlink w:anchor="_Toc42089737" w:history="1">
            <w:r w:rsidRPr="00192A6D">
              <w:rPr>
                <w:rStyle w:val="Hyperlink"/>
                <w:rFonts w:ascii="Arial" w:hAnsi="Arial" w:cs="Arial"/>
                <w:noProof/>
              </w:rPr>
              <w:t>2.5.5 Prinzip der Speicherbegrenzung</w:t>
            </w:r>
            <w:r>
              <w:rPr>
                <w:noProof/>
                <w:webHidden/>
              </w:rPr>
              <w:tab/>
            </w:r>
            <w:r>
              <w:rPr>
                <w:noProof/>
                <w:webHidden/>
              </w:rPr>
              <w:fldChar w:fldCharType="begin"/>
            </w:r>
            <w:r>
              <w:rPr>
                <w:noProof/>
                <w:webHidden/>
              </w:rPr>
              <w:instrText xml:space="preserve"> PAGEREF _Toc42089737 \h </w:instrText>
            </w:r>
            <w:r>
              <w:rPr>
                <w:noProof/>
                <w:webHidden/>
              </w:rPr>
            </w:r>
            <w:r>
              <w:rPr>
                <w:noProof/>
                <w:webHidden/>
              </w:rPr>
              <w:fldChar w:fldCharType="separate"/>
            </w:r>
            <w:r>
              <w:rPr>
                <w:noProof/>
                <w:webHidden/>
              </w:rPr>
              <w:t>11</w:t>
            </w:r>
            <w:r>
              <w:rPr>
                <w:noProof/>
                <w:webHidden/>
              </w:rPr>
              <w:fldChar w:fldCharType="end"/>
            </w:r>
          </w:hyperlink>
        </w:p>
        <w:p w14:paraId="1C40DBEF" w14:textId="12DC8D21" w:rsidR="00A22DE2" w:rsidRDefault="00A22DE2">
          <w:pPr>
            <w:pStyle w:val="Verzeichnis3"/>
            <w:rPr>
              <w:rFonts w:eastAsiaTheme="minorEastAsia"/>
              <w:noProof/>
              <w:lang w:val="de-DE" w:eastAsia="de-DE"/>
            </w:rPr>
          </w:pPr>
          <w:hyperlink w:anchor="_Toc42089738" w:history="1">
            <w:r w:rsidRPr="00192A6D">
              <w:rPr>
                <w:rStyle w:val="Hyperlink"/>
                <w:rFonts w:ascii="Arial" w:hAnsi="Arial" w:cs="Arial"/>
                <w:noProof/>
              </w:rPr>
              <w:t>2.5.6 Prinzip der Integrität und Vertraulichkeit</w:t>
            </w:r>
            <w:r>
              <w:rPr>
                <w:noProof/>
                <w:webHidden/>
              </w:rPr>
              <w:tab/>
            </w:r>
            <w:r>
              <w:rPr>
                <w:noProof/>
                <w:webHidden/>
              </w:rPr>
              <w:fldChar w:fldCharType="begin"/>
            </w:r>
            <w:r>
              <w:rPr>
                <w:noProof/>
                <w:webHidden/>
              </w:rPr>
              <w:instrText xml:space="preserve"> PAGEREF _Toc42089738 \h </w:instrText>
            </w:r>
            <w:r>
              <w:rPr>
                <w:noProof/>
                <w:webHidden/>
              </w:rPr>
            </w:r>
            <w:r>
              <w:rPr>
                <w:noProof/>
                <w:webHidden/>
              </w:rPr>
              <w:fldChar w:fldCharType="separate"/>
            </w:r>
            <w:r>
              <w:rPr>
                <w:noProof/>
                <w:webHidden/>
              </w:rPr>
              <w:t>12</w:t>
            </w:r>
            <w:r>
              <w:rPr>
                <w:noProof/>
                <w:webHidden/>
              </w:rPr>
              <w:fldChar w:fldCharType="end"/>
            </w:r>
          </w:hyperlink>
        </w:p>
        <w:p w14:paraId="7F4224FB" w14:textId="3F5C58F2" w:rsidR="00A22DE2" w:rsidRDefault="00A22DE2">
          <w:pPr>
            <w:pStyle w:val="Verzeichnis3"/>
            <w:rPr>
              <w:rFonts w:eastAsiaTheme="minorEastAsia"/>
              <w:noProof/>
              <w:lang w:val="de-DE" w:eastAsia="de-DE"/>
            </w:rPr>
          </w:pPr>
          <w:hyperlink w:anchor="_Toc42089739" w:history="1">
            <w:r w:rsidRPr="00192A6D">
              <w:rPr>
                <w:rStyle w:val="Hyperlink"/>
                <w:rFonts w:ascii="Arial" w:hAnsi="Arial" w:cs="Arial"/>
                <w:noProof/>
              </w:rPr>
              <w:t>2.5.7 Prinzip der Rechenschaftspflicht</w:t>
            </w:r>
            <w:r>
              <w:rPr>
                <w:noProof/>
                <w:webHidden/>
              </w:rPr>
              <w:tab/>
            </w:r>
            <w:r>
              <w:rPr>
                <w:noProof/>
                <w:webHidden/>
              </w:rPr>
              <w:fldChar w:fldCharType="begin"/>
            </w:r>
            <w:r>
              <w:rPr>
                <w:noProof/>
                <w:webHidden/>
              </w:rPr>
              <w:instrText xml:space="preserve"> PAGEREF _Toc42089739 \h </w:instrText>
            </w:r>
            <w:r>
              <w:rPr>
                <w:noProof/>
                <w:webHidden/>
              </w:rPr>
            </w:r>
            <w:r>
              <w:rPr>
                <w:noProof/>
                <w:webHidden/>
              </w:rPr>
              <w:fldChar w:fldCharType="separate"/>
            </w:r>
            <w:r>
              <w:rPr>
                <w:noProof/>
                <w:webHidden/>
              </w:rPr>
              <w:t>12</w:t>
            </w:r>
            <w:r>
              <w:rPr>
                <w:noProof/>
                <w:webHidden/>
              </w:rPr>
              <w:fldChar w:fldCharType="end"/>
            </w:r>
          </w:hyperlink>
        </w:p>
        <w:p w14:paraId="2791A420" w14:textId="24E7D52D" w:rsidR="00A22DE2" w:rsidRDefault="00A22DE2">
          <w:pPr>
            <w:pStyle w:val="Verzeichnis3"/>
            <w:rPr>
              <w:rFonts w:eastAsiaTheme="minorEastAsia"/>
              <w:noProof/>
              <w:lang w:val="de-DE" w:eastAsia="de-DE"/>
            </w:rPr>
          </w:pPr>
          <w:hyperlink w:anchor="_Toc42089740" w:history="1">
            <w:r w:rsidRPr="00192A6D">
              <w:rPr>
                <w:rStyle w:val="Hyperlink"/>
                <w:rFonts w:ascii="Arial" w:hAnsi="Arial" w:cs="Arial"/>
                <w:noProof/>
              </w:rPr>
              <w:t>2.5.8 Prinzip der Rechtmäßigkeit</w:t>
            </w:r>
            <w:r>
              <w:rPr>
                <w:noProof/>
                <w:webHidden/>
              </w:rPr>
              <w:tab/>
            </w:r>
            <w:r>
              <w:rPr>
                <w:noProof/>
                <w:webHidden/>
              </w:rPr>
              <w:fldChar w:fldCharType="begin"/>
            </w:r>
            <w:r>
              <w:rPr>
                <w:noProof/>
                <w:webHidden/>
              </w:rPr>
              <w:instrText xml:space="preserve"> PAGEREF _Toc42089740 \h </w:instrText>
            </w:r>
            <w:r>
              <w:rPr>
                <w:noProof/>
                <w:webHidden/>
              </w:rPr>
            </w:r>
            <w:r>
              <w:rPr>
                <w:noProof/>
                <w:webHidden/>
              </w:rPr>
              <w:fldChar w:fldCharType="separate"/>
            </w:r>
            <w:r>
              <w:rPr>
                <w:noProof/>
                <w:webHidden/>
              </w:rPr>
              <w:t>12</w:t>
            </w:r>
            <w:r>
              <w:rPr>
                <w:noProof/>
                <w:webHidden/>
              </w:rPr>
              <w:fldChar w:fldCharType="end"/>
            </w:r>
          </w:hyperlink>
        </w:p>
        <w:p w14:paraId="19522BAE" w14:textId="3F63987D" w:rsidR="00A22DE2" w:rsidRDefault="00A22DE2">
          <w:pPr>
            <w:pStyle w:val="Verzeichnis2"/>
            <w:rPr>
              <w:rFonts w:eastAsiaTheme="minorEastAsia"/>
              <w:noProof/>
              <w:lang w:val="de-DE" w:eastAsia="de-DE"/>
            </w:rPr>
          </w:pPr>
          <w:hyperlink w:anchor="_Toc42089741" w:history="1">
            <w:r w:rsidRPr="00192A6D">
              <w:rPr>
                <w:rStyle w:val="Hyperlink"/>
                <w:rFonts w:ascii="Arial" w:hAnsi="Arial" w:cs="Arial"/>
                <w:noProof/>
              </w:rPr>
              <w:t>2.6 Struktur und Aufbau der DSGVO</w:t>
            </w:r>
            <w:r>
              <w:rPr>
                <w:noProof/>
                <w:webHidden/>
              </w:rPr>
              <w:tab/>
            </w:r>
            <w:r>
              <w:rPr>
                <w:noProof/>
                <w:webHidden/>
              </w:rPr>
              <w:fldChar w:fldCharType="begin"/>
            </w:r>
            <w:r>
              <w:rPr>
                <w:noProof/>
                <w:webHidden/>
              </w:rPr>
              <w:instrText xml:space="preserve"> PAGEREF _Toc42089741 \h </w:instrText>
            </w:r>
            <w:r>
              <w:rPr>
                <w:noProof/>
                <w:webHidden/>
              </w:rPr>
            </w:r>
            <w:r>
              <w:rPr>
                <w:noProof/>
                <w:webHidden/>
              </w:rPr>
              <w:fldChar w:fldCharType="separate"/>
            </w:r>
            <w:r>
              <w:rPr>
                <w:noProof/>
                <w:webHidden/>
              </w:rPr>
              <w:t>12</w:t>
            </w:r>
            <w:r>
              <w:rPr>
                <w:noProof/>
                <w:webHidden/>
              </w:rPr>
              <w:fldChar w:fldCharType="end"/>
            </w:r>
          </w:hyperlink>
        </w:p>
        <w:p w14:paraId="006273B4" w14:textId="1BBC7F80" w:rsidR="00A22DE2" w:rsidRDefault="00A22DE2">
          <w:pPr>
            <w:pStyle w:val="Verzeichnis1"/>
            <w:rPr>
              <w:rFonts w:asciiTheme="minorHAnsi" w:eastAsiaTheme="minorEastAsia" w:hAnsiTheme="minorHAnsi" w:cstheme="minorBidi"/>
              <w:b w:val="0"/>
              <w:bCs w:val="0"/>
              <w:lang w:val="de-DE" w:eastAsia="de-DE"/>
            </w:rPr>
          </w:pPr>
          <w:hyperlink w:anchor="_Toc42089742" w:history="1">
            <w:r w:rsidRPr="00192A6D">
              <w:rPr>
                <w:rStyle w:val="Hyperlink"/>
                <w:rFonts w:ascii="Arial" w:hAnsi="Arial" w:cs="Arial"/>
              </w:rPr>
              <w:t>3 Kapitel 4 der DSGVO – Pflichten der Datenverarbeiter</w:t>
            </w:r>
            <w:r>
              <w:rPr>
                <w:webHidden/>
              </w:rPr>
              <w:tab/>
            </w:r>
            <w:r>
              <w:rPr>
                <w:webHidden/>
              </w:rPr>
              <w:fldChar w:fldCharType="begin"/>
            </w:r>
            <w:r>
              <w:rPr>
                <w:webHidden/>
              </w:rPr>
              <w:instrText xml:space="preserve"> PAGEREF _Toc42089742 \h </w:instrText>
            </w:r>
            <w:r>
              <w:rPr>
                <w:webHidden/>
              </w:rPr>
            </w:r>
            <w:r>
              <w:rPr>
                <w:webHidden/>
              </w:rPr>
              <w:fldChar w:fldCharType="separate"/>
            </w:r>
            <w:r>
              <w:rPr>
                <w:webHidden/>
              </w:rPr>
              <w:t>13</w:t>
            </w:r>
            <w:r>
              <w:rPr>
                <w:webHidden/>
              </w:rPr>
              <w:fldChar w:fldCharType="end"/>
            </w:r>
          </w:hyperlink>
        </w:p>
        <w:p w14:paraId="5BFD6A6D" w14:textId="45BEAF94" w:rsidR="00A22DE2" w:rsidRDefault="00A22DE2">
          <w:pPr>
            <w:pStyle w:val="Verzeichnis2"/>
            <w:rPr>
              <w:rFonts w:eastAsiaTheme="minorEastAsia"/>
              <w:noProof/>
              <w:lang w:val="de-DE" w:eastAsia="de-DE"/>
            </w:rPr>
          </w:pPr>
          <w:hyperlink w:anchor="_Toc42089743" w:history="1">
            <w:r w:rsidRPr="00192A6D">
              <w:rPr>
                <w:rStyle w:val="Hyperlink"/>
                <w:rFonts w:ascii="Arial" w:hAnsi="Arial" w:cs="Arial"/>
                <w:noProof/>
              </w:rPr>
              <w:t>3.1 Datenschutz und Datensicherheit</w:t>
            </w:r>
            <w:r>
              <w:rPr>
                <w:noProof/>
                <w:webHidden/>
              </w:rPr>
              <w:tab/>
            </w:r>
            <w:r>
              <w:rPr>
                <w:noProof/>
                <w:webHidden/>
              </w:rPr>
              <w:fldChar w:fldCharType="begin"/>
            </w:r>
            <w:r>
              <w:rPr>
                <w:noProof/>
                <w:webHidden/>
              </w:rPr>
              <w:instrText xml:space="preserve"> PAGEREF _Toc42089743 \h </w:instrText>
            </w:r>
            <w:r>
              <w:rPr>
                <w:noProof/>
                <w:webHidden/>
              </w:rPr>
            </w:r>
            <w:r>
              <w:rPr>
                <w:noProof/>
                <w:webHidden/>
              </w:rPr>
              <w:fldChar w:fldCharType="separate"/>
            </w:r>
            <w:r>
              <w:rPr>
                <w:noProof/>
                <w:webHidden/>
              </w:rPr>
              <w:t>13</w:t>
            </w:r>
            <w:r>
              <w:rPr>
                <w:noProof/>
                <w:webHidden/>
              </w:rPr>
              <w:fldChar w:fldCharType="end"/>
            </w:r>
          </w:hyperlink>
        </w:p>
        <w:p w14:paraId="23E8AD9E" w14:textId="7F248794" w:rsidR="00A22DE2" w:rsidRDefault="00A22DE2">
          <w:pPr>
            <w:pStyle w:val="Verzeichnis3"/>
            <w:rPr>
              <w:rFonts w:eastAsiaTheme="minorEastAsia"/>
              <w:noProof/>
              <w:lang w:val="de-DE" w:eastAsia="de-DE"/>
            </w:rPr>
          </w:pPr>
          <w:hyperlink w:anchor="_Toc42089744" w:history="1">
            <w:r w:rsidRPr="00192A6D">
              <w:rPr>
                <w:rStyle w:val="Hyperlink"/>
                <w:rFonts w:ascii="Arial" w:hAnsi="Arial" w:cs="Arial"/>
                <w:noProof/>
              </w:rPr>
              <w:t>3.1.1 Privacy By Design</w:t>
            </w:r>
            <w:r>
              <w:rPr>
                <w:noProof/>
                <w:webHidden/>
              </w:rPr>
              <w:tab/>
            </w:r>
            <w:r>
              <w:rPr>
                <w:noProof/>
                <w:webHidden/>
              </w:rPr>
              <w:fldChar w:fldCharType="begin"/>
            </w:r>
            <w:r>
              <w:rPr>
                <w:noProof/>
                <w:webHidden/>
              </w:rPr>
              <w:instrText xml:space="preserve"> PAGEREF _Toc42089744 \h </w:instrText>
            </w:r>
            <w:r>
              <w:rPr>
                <w:noProof/>
                <w:webHidden/>
              </w:rPr>
            </w:r>
            <w:r>
              <w:rPr>
                <w:noProof/>
                <w:webHidden/>
              </w:rPr>
              <w:fldChar w:fldCharType="separate"/>
            </w:r>
            <w:r>
              <w:rPr>
                <w:noProof/>
                <w:webHidden/>
              </w:rPr>
              <w:t>14</w:t>
            </w:r>
            <w:r>
              <w:rPr>
                <w:noProof/>
                <w:webHidden/>
              </w:rPr>
              <w:fldChar w:fldCharType="end"/>
            </w:r>
          </w:hyperlink>
        </w:p>
        <w:p w14:paraId="30595C58" w14:textId="7B35E137" w:rsidR="00A22DE2" w:rsidRDefault="00A22DE2">
          <w:pPr>
            <w:pStyle w:val="Verzeichnis3"/>
            <w:rPr>
              <w:rFonts w:eastAsiaTheme="minorEastAsia"/>
              <w:noProof/>
              <w:lang w:val="de-DE" w:eastAsia="de-DE"/>
            </w:rPr>
          </w:pPr>
          <w:hyperlink w:anchor="_Toc42089745" w:history="1">
            <w:r w:rsidRPr="00192A6D">
              <w:rPr>
                <w:rStyle w:val="Hyperlink"/>
                <w:rFonts w:ascii="Arial" w:hAnsi="Arial" w:cs="Arial"/>
                <w:noProof/>
              </w:rPr>
              <w:t>3.1.2 Privacy by Default</w:t>
            </w:r>
            <w:r>
              <w:rPr>
                <w:noProof/>
                <w:webHidden/>
              </w:rPr>
              <w:tab/>
            </w:r>
            <w:r>
              <w:rPr>
                <w:noProof/>
                <w:webHidden/>
              </w:rPr>
              <w:fldChar w:fldCharType="begin"/>
            </w:r>
            <w:r>
              <w:rPr>
                <w:noProof/>
                <w:webHidden/>
              </w:rPr>
              <w:instrText xml:space="preserve"> PAGEREF _Toc42089745 \h </w:instrText>
            </w:r>
            <w:r>
              <w:rPr>
                <w:noProof/>
                <w:webHidden/>
              </w:rPr>
            </w:r>
            <w:r>
              <w:rPr>
                <w:noProof/>
                <w:webHidden/>
              </w:rPr>
              <w:fldChar w:fldCharType="separate"/>
            </w:r>
            <w:r>
              <w:rPr>
                <w:noProof/>
                <w:webHidden/>
              </w:rPr>
              <w:t>14</w:t>
            </w:r>
            <w:r>
              <w:rPr>
                <w:noProof/>
                <w:webHidden/>
              </w:rPr>
              <w:fldChar w:fldCharType="end"/>
            </w:r>
          </w:hyperlink>
        </w:p>
        <w:p w14:paraId="6F385C8E" w14:textId="66259D12" w:rsidR="00A22DE2" w:rsidRDefault="00A22DE2">
          <w:pPr>
            <w:pStyle w:val="Verzeichnis3"/>
            <w:rPr>
              <w:rFonts w:eastAsiaTheme="minorEastAsia"/>
              <w:noProof/>
              <w:lang w:val="de-DE" w:eastAsia="de-DE"/>
            </w:rPr>
          </w:pPr>
          <w:hyperlink w:anchor="_Toc42089746" w:history="1">
            <w:r w:rsidRPr="00192A6D">
              <w:rPr>
                <w:rStyle w:val="Hyperlink"/>
                <w:rFonts w:ascii="Arial" w:hAnsi="Arial" w:cs="Arial"/>
                <w:noProof/>
              </w:rPr>
              <w:t>3.1.3 Technische und organisatorische Maßnahmen (TOMs)</w:t>
            </w:r>
            <w:r>
              <w:rPr>
                <w:noProof/>
                <w:webHidden/>
              </w:rPr>
              <w:tab/>
            </w:r>
            <w:r>
              <w:rPr>
                <w:noProof/>
                <w:webHidden/>
              </w:rPr>
              <w:fldChar w:fldCharType="begin"/>
            </w:r>
            <w:r>
              <w:rPr>
                <w:noProof/>
                <w:webHidden/>
              </w:rPr>
              <w:instrText xml:space="preserve"> PAGEREF _Toc42089746 \h </w:instrText>
            </w:r>
            <w:r>
              <w:rPr>
                <w:noProof/>
                <w:webHidden/>
              </w:rPr>
            </w:r>
            <w:r>
              <w:rPr>
                <w:noProof/>
                <w:webHidden/>
              </w:rPr>
              <w:fldChar w:fldCharType="separate"/>
            </w:r>
            <w:r>
              <w:rPr>
                <w:noProof/>
                <w:webHidden/>
              </w:rPr>
              <w:t>14</w:t>
            </w:r>
            <w:r>
              <w:rPr>
                <w:noProof/>
                <w:webHidden/>
              </w:rPr>
              <w:fldChar w:fldCharType="end"/>
            </w:r>
          </w:hyperlink>
        </w:p>
        <w:p w14:paraId="6043A374" w14:textId="33A59D20" w:rsidR="00A22DE2" w:rsidRDefault="00A22DE2">
          <w:pPr>
            <w:pStyle w:val="Verzeichnis2"/>
            <w:rPr>
              <w:rFonts w:eastAsiaTheme="minorEastAsia"/>
              <w:noProof/>
              <w:lang w:val="de-DE" w:eastAsia="de-DE"/>
            </w:rPr>
          </w:pPr>
          <w:hyperlink w:anchor="_Toc42089747" w:history="1">
            <w:r w:rsidRPr="00192A6D">
              <w:rPr>
                <w:rStyle w:val="Hyperlink"/>
                <w:rFonts w:ascii="Arial" w:hAnsi="Arial" w:cs="Arial"/>
                <w:noProof/>
              </w:rPr>
              <w:t>3.2 Dokumentationspflicht</w:t>
            </w:r>
            <w:r>
              <w:rPr>
                <w:noProof/>
                <w:webHidden/>
              </w:rPr>
              <w:tab/>
            </w:r>
            <w:r>
              <w:rPr>
                <w:noProof/>
                <w:webHidden/>
              </w:rPr>
              <w:fldChar w:fldCharType="begin"/>
            </w:r>
            <w:r>
              <w:rPr>
                <w:noProof/>
                <w:webHidden/>
              </w:rPr>
              <w:instrText xml:space="preserve"> PAGEREF _Toc42089747 \h </w:instrText>
            </w:r>
            <w:r>
              <w:rPr>
                <w:noProof/>
                <w:webHidden/>
              </w:rPr>
            </w:r>
            <w:r>
              <w:rPr>
                <w:noProof/>
                <w:webHidden/>
              </w:rPr>
              <w:fldChar w:fldCharType="separate"/>
            </w:r>
            <w:r>
              <w:rPr>
                <w:noProof/>
                <w:webHidden/>
              </w:rPr>
              <w:t>15</w:t>
            </w:r>
            <w:r>
              <w:rPr>
                <w:noProof/>
                <w:webHidden/>
              </w:rPr>
              <w:fldChar w:fldCharType="end"/>
            </w:r>
          </w:hyperlink>
        </w:p>
        <w:p w14:paraId="1DE27A53" w14:textId="1AB83D97" w:rsidR="00A22DE2" w:rsidRDefault="00A22DE2">
          <w:pPr>
            <w:pStyle w:val="Verzeichnis2"/>
            <w:rPr>
              <w:rFonts w:eastAsiaTheme="minorEastAsia"/>
              <w:noProof/>
              <w:lang w:val="de-DE" w:eastAsia="de-DE"/>
            </w:rPr>
          </w:pPr>
          <w:hyperlink w:anchor="_Toc42089748" w:history="1">
            <w:r w:rsidRPr="00192A6D">
              <w:rPr>
                <w:rStyle w:val="Hyperlink"/>
                <w:rFonts w:ascii="Arial" w:hAnsi="Arial" w:cs="Arial"/>
                <w:noProof/>
              </w:rPr>
              <w:t>3.3 Pflichten bei Datenschutzverletzung</w:t>
            </w:r>
            <w:r>
              <w:rPr>
                <w:noProof/>
                <w:webHidden/>
              </w:rPr>
              <w:tab/>
            </w:r>
            <w:r>
              <w:rPr>
                <w:noProof/>
                <w:webHidden/>
              </w:rPr>
              <w:fldChar w:fldCharType="begin"/>
            </w:r>
            <w:r>
              <w:rPr>
                <w:noProof/>
                <w:webHidden/>
              </w:rPr>
              <w:instrText xml:space="preserve"> PAGEREF _Toc42089748 \h </w:instrText>
            </w:r>
            <w:r>
              <w:rPr>
                <w:noProof/>
                <w:webHidden/>
              </w:rPr>
            </w:r>
            <w:r>
              <w:rPr>
                <w:noProof/>
                <w:webHidden/>
              </w:rPr>
              <w:fldChar w:fldCharType="separate"/>
            </w:r>
            <w:r>
              <w:rPr>
                <w:noProof/>
                <w:webHidden/>
              </w:rPr>
              <w:t>15</w:t>
            </w:r>
            <w:r>
              <w:rPr>
                <w:noProof/>
                <w:webHidden/>
              </w:rPr>
              <w:fldChar w:fldCharType="end"/>
            </w:r>
          </w:hyperlink>
        </w:p>
        <w:p w14:paraId="147B8C2F" w14:textId="2DA6D815" w:rsidR="00A22DE2" w:rsidRDefault="00A22DE2">
          <w:pPr>
            <w:pStyle w:val="Verzeichnis2"/>
            <w:rPr>
              <w:rFonts w:eastAsiaTheme="minorEastAsia"/>
              <w:noProof/>
              <w:lang w:val="de-DE" w:eastAsia="de-DE"/>
            </w:rPr>
          </w:pPr>
          <w:hyperlink w:anchor="_Toc42089749" w:history="1">
            <w:r w:rsidRPr="00192A6D">
              <w:rPr>
                <w:rStyle w:val="Hyperlink"/>
                <w:rFonts w:ascii="Arial" w:hAnsi="Arial" w:cs="Arial"/>
                <w:noProof/>
              </w:rPr>
              <w:t>3.4 Auskunftspflicht des Verantwortlichen</w:t>
            </w:r>
            <w:r>
              <w:rPr>
                <w:noProof/>
                <w:webHidden/>
              </w:rPr>
              <w:tab/>
            </w:r>
            <w:r>
              <w:rPr>
                <w:noProof/>
                <w:webHidden/>
              </w:rPr>
              <w:fldChar w:fldCharType="begin"/>
            </w:r>
            <w:r>
              <w:rPr>
                <w:noProof/>
                <w:webHidden/>
              </w:rPr>
              <w:instrText xml:space="preserve"> PAGEREF _Toc42089749 \h </w:instrText>
            </w:r>
            <w:r>
              <w:rPr>
                <w:noProof/>
                <w:webHidden/>
              </w:rPr>
            </w:r>
            <w:r>
              <w:rPr>
                <w:noProof/>
                <w:webHidden/>
              </w:rPr>
              <w:fldChar w:fldCharType="separate"/>
            </w:r>
            <w:r>
              <w:rPr>
                <w:noProof/>
                <w:webHidden/>
              </w:rPr>
              <w:t>16</w:t>
            </w:r>
            <w:r>
              <w:rPr>
                <w:noProof/>
                <w:webHidden/>
              </w:rPr>
              <w:fldChar w:fldCharType="end"/>
            </w:r>
          </w:hyperlink>
        </w:p>
        <w:p w14:paraId="62BDAC3B" w14:textId="778F85CC" w:rsidR="00A22DE2" w:rsidRDefault="00A22DE2">
          <w:pPr>
            <w:pStyle w:val="Verzeichnis3"/>
            <w:rPr>
              <w:rFonts w:eastAsiaTheme="minorEastAsia"/>
              <w:noProof/>
              <w:lang w:val="de-DE" w:eastAsia="de-DE"/>
            </w:rPr>
          </w:pPr>
          <w:hyperlink w:anchor="_Toc42089750" w:history="1">
            <w:r w:rsidRPr="00192A6D">
              <w:rPr>
                <w:rStyle w:val="Hyperlink"/>
                <w:rFonts w:ascii="Arial" w:hAnsi="Arial" w:cs="Arial"/>
                <w:noProof/>
              </w:rPr>
              <w:t>3.4.1 Inhalt der Auskunft</w:t>
            </w:r>
            <w:r>
              <w:rPr>
                <w:noProof/>
                <w:webHidden/>
              </w:rPr>
              <w:tab/>
            </w:r>
            <w:r>
              <w:rPr>
                <w:noProof/>
                <w:webHidden/>
              </w:rPr>
              <w:fldChar w:fldCharType="begin"/>
            </w:r>
            <w:r>
              <w:rPr>
                <w:noProof/>
                <w:webHidden/>
              </w:rPr>
              <w:instrText xml:space="preserve"> PAGEREF _Toc42089750 \h </w:instrText>
            </w:r>
            <w:r>
              <w:rPr>
                <w:noProof/>
                <w:webHidden/>
              </w:rPr>
            </w:r>
            <w:r>
              <w:rPr>
                <w:noProof/>
                <w:webHidden/>
              </w:rPr>
              <w:fldChar w:fldCharType="separate"/>
            </w:r>
            <w:r>
              <w:rPr>
                <w:noProof/>
                <w:webHidden/>
              </w:rPr>
              <w:t>16</w:t>
            </w:r>
            <w:r>
              <w:rPr>
                <w:noProof/>
                <w:webHidden/>
              </w:rPr>
              <w:fldChar w:fldCharType="end"/>
            </w:r>
          </w:hyperlink>
        </w:p>
        <w:p w14:paraId="21854660" w14:textId="7653DCEB" w:rsidR="00A22DE2" w:rsidRDefault="00A22DE2">
          <w:pPr>
            <w:pStyle w:val="Verzeichnis3"/>
            <w:rPr>
              <w:rFonts w:eastAsiaTheme="minorEastAsia"/>
              <w:noProof/>
              <w:lang w:val="de-DE" w:eastAsia="de-DE"/>
            </w:rPr>
          </w:pPr>
          <w:hyperlink w:anchor="_Toc42089751" w:history="1">
            <w:r w:rsidRPr="00192A6D">
              <w:rPr>
                <w:rStyle w:val="Hyperlink"/>
                <w:rFonts w:ascii="Arial" w:hAnsi="Arial" w:cs="Arial"/>
                <w:noProof/>
              </w:rPr>
              <w:t>3.4.2 Strafen bei Verletzung der Auskunftspflicht</w:t>
            </w:r>
            <w:r>
              <w:rPr>
                <w:noProof/>
                <w:webHidden/>
              </w:rPr>
              <w:tab/>
            </w:r>
            <w:r>
              <w:rPr>
                <w:noProof/>
                <w:webHidden/>
              </w:rPr>
              <w:fldChar w:fldCharType="begin"/>
            </w:r>
            <w:r>
              <w:rPr>
                <w:noProof/>
                <w:webHidden/>
              </w:rPr>
              <w:instrText xml:space="preserve"> PAGEREF _Toc42089751 \h </w:instrText>
            </w:r>
            <w:r>
              <w:rPr>
                <w:noProof/>
                <w:webHidden/>
              </w:rPr>
            </w:r>
            <w:r>
              <w:rPr>
                <w:noProof/>
                <w:webHidden/>
              </w:rPr>
              <w:fldChar w:fldCharType="separate"/>
            </w:r>
            <w:r>
              <w:rPr>
                <w:noProof/>
                <w:webHidden/>
              </w:rPr>
              <w:t>17</w:t>
            </w:r>
            <w:r>
              <w:rPr>
                <w:noProof/>
                <w:webHidden/>
              </w:rPr>
              <w:fldChar w:fldCharType="end"/>
            </w:r>
          </w:hyperlink>
        </w:p>
        <w:p w14:paraId="10E99CC8" w14:textId="4824A50D" w:rsidR="00A22DE2" w:rsidRDefault="00A22DE2">
          <w:pPr>
            <w:pStyle w:val="Verzeichnis2"/>
            <w:rPr>
              <w:rFonts w:eastAsiaTheme="minorEastAsia"/>
              <w:noProof/>
              <w:lang w:val="de-DE" w:eastAsia="de-DE"/>
            </w:rPr>
          </w:pPr>
          <w:hyperlink w:anchor="_Toc42089752" w:history="1">
            <w:r w:rsidRPr="00192A6D">
              <w:rPr>
                <w:rStyle w:val="Hyperlink"/>
                <w:rFonts w:ascii="Arial" w:hAnsi="Arial" w:cs="Arial"/>
                <w:noProof/>
              </w:rPr>
              <w:t>3.5 Umsetzung der Vorgaben der DSGVO</w:t>
            </w:r>
            <w:r>
              <w:rPr>
                <w:noProof/>
                <w:webHidden/>
              </w:rPr>
              <w:tab/>
            </w:r>
            <w:r>
              <w:rPr>
                <w:noProof/>
                <w:webHidden/>
              </w:rPr>
              <w:fldChar w:fldCharType="begin"/>
            </w:r>
            <w:r>
              <w:rPr>
                <w:noProof/>
                <w:webHidden/>
              </w:rPr>
              <w:instrText xml:space="preserve"> PAGEREF _Toc42089752 \h </w:instrText>
            </w:r>
            <w:r>
              <w:rPr>
                <w:noProof/>
                <w:webHidden/>
              </w:rPr>
            </w:r>
            <w:r>
              <w:rPr>
                <w:noProof/>
                <w:webHidden/>
              </w:rPr>
              <w:fldChar w:fldCharType="separate"/>
            </w:r>
            <w:r>
              <w:rPr>
                <w:noProof/>
                <w:webHidden/>
              </w:rPr>
              <w:t>17</w:t>
            </w:r>
            <w:r>
              <w:rPr>
                <w:noProof/>
                <w:webHidden/>
              </w:rPr>
              <w:fldChar w:fldCharType="end"/>
            </w:r>
          </w:hyperlink>
        </w:p>
        <w:p w14:paraId="6D305834" w14:textId="3ABD117E" w:rsidR="00A22DE2" w:rsidRDefault="00A22DE2">
          <w:pPr>
            <w:pStyle w:val="Verzeichnis3"/>
            <w:rPr>
              <w:rFonts w:eastAsiaTheme="minorEastAsia"/>
              <w:noProof/>
              <w:lang w:val="de-DE" w:eastAsia="de-DE"/>
            </w:rPr>
          </w:pPr>
          <w:hyperlink w:anchor="_Toc42089753" w:history="1">
            <w:r w:rsidRPr="00192A6D">
              <w:rPr>
                <w:rStyle w:val="Hyperlink"/>
                <w:rFonts w:ascii="Arial" w:hAnsi="Arial" w:cs="Arial"/>
                <w:noProof/>
              </w:rPr>
              <w:t>3.5.1 Lücken-Analyse</w:t>
            </w:r>
            <w:r>
              <w:rPr>
                <w:noProof/>
                <w:webHidden/>
              </w:rPr>
              <w:tab/>
            </w:r>
            <w:r>
              <w:rPr>
                <w:noProof/>
                <w:webHidden/>
              </w:rPr>
              <w:fldChar w:fldCharType="begin"/>
            </w:r>
            <w:r>
              <w:rPr>
                <w:noProof/>
                <w:webHidden/>
              </w:rPr>
              <w:instrText xml:space="preserve"> PAGEREF _Toc42089753 \h </w:instrText>
            </w:r>
            <w:r>
              <w:rPr>
                <w:noProof/>
                <w:webHidden/>
              </w:rPr>
            </w:r>
            <w:r>
              <w:rPr>
                <w:noProof/>
                <w:webHidden/>
              </w:rPr>
              <w:fldChar w:fldCharType="separate"/>
            </w:r>
            <w:r>
              <w:rPr>
                <w:noProof/>
                <w:webHidden/>
              </w:rPr>
              <w:t>18</w:t>
            </w:r>
            <w:r>
              <w:rPr>
                <w:noProof/>
                <w:webHidden/>
              </w:rPr>
              <w:fldChar w:fldCharType="end"/>
            </w:r>
          </w:hyperlink>
        </w:p>
        <w:p w14:paraId="72B4C1E4" w14:textId="009823F4" w:rsidR="00A22DE2" w:rsidRDefault="00A22DE2">
          <w:pPr>
            <w:pStyle w:val="Verzeichnis3"/>
            <w:rPr>
              <w:rFonts w:eastAsiaTheme="minorEastAsia"/>
              <w:noProof/>
              <w:lang w:val="de-DE" w:eastAsia="de-DE"/>
            </w:rPr>
          </w:pPr>
          <w:hyperlink w:anchor="_Toc42089754" w:history="1">
            <w:r w:rsidRPr="00192A6D">
              <w:rPr>
                <w:rStyle w:val="Hyperlink"/>
                <w:rFonts w:ascii="Arial" w:hAnsi="Arial" w:cs="Arial"/>
                <w:noProof/>
              </w:rPr>
              <w:t>3.5.2 Risikoanalyse</w:t>
            </w:r>
            <w:r>
              <w:rPr>
                <w:noProof/>
                <w:webHidden/>
              </w:rPr>
              <w:tab/>
            </w:r>
            <w:r>
              <w:rPr>
                <w:noProof/>
                <w:webHidden/>
              </w:rPr>
              <w:fldChar w:fldCharType="begin"/>
            </w:r>
            <w:r>
              <w:rPr>
                <w:noProof/>
                <w:webHidden/>
              </w:rPr>
              <w:instrText xml:space="preserve"> PAGEREF _Toc42089754 \h </w:instrText>
            </w:r>
            <w:r>
              <w:rPr>
                <w:noProof/>
                <w:webHidden/>
              </w:rPr>
            </w:r>
            <w:r>
              <w:rPr>
                <w:noProof/>
                <w:webHidden/>
              </w:rPr>
              <w:fldChar w:fldCharType="separate"/>
            </w:r>
            <w:r>
              <w:rPr>
                <w:noProof/>
                <w:webHidden/>
              </w:rPr>
              <w:t>18</w:t>
            </w:r>
            <w:r>
              <w:rPr>
                <w:noProof/>
                <w:webHidden/>
              </w:rPr>
              <w:fldChar w:fldCharType="end"/>
            </w:r>
          </w:hyperlink>
        </w:p>
        <w:p w14:paraId="1B7F438A" w14:textId="583F3F0B" w:rsidR="00A22DE2" w:rsidRDefault="00A22DE2">
          <w:pPr>
            <w:pStyle w:val="Verzeichnis3"/>
            <w:rPr>
              <w:rFonts w:eastAsiaTheme="minorEastAsia"/>
              <w:noProof/>
              <w:lang w:val="de-DE" w:eastAsia="de-DE"/>
            </w:rPr>
          </w:pPr>
          <w:hyperlink w:anchor="_Toc42089755" w:history="1">
            <w:r w:rsidRPr="00192A6D">
              <w:rPr>
                <w:rStyle w:val="Hyperlink"/>
                <w:rFonts w:ascii="Arial" w:hAnsi="Arial" w:cs="Arial"/>
                <w:noProof/>
              </w:rPr>
              <w:t>3.5.3 Budget- und Ressourcenplanung</w:t>
            </w:r>
            <w:r>
              <w:rPr>
                <w:noProof/>
                <w:webHidden/>
              </w:rPr>
              <w:tab/>
            </w:r>
            <w:r>
              <w:rPr>
                <w:noProof/>
                <w:webHidden/>
              </w:rPr>
              <w:fldChar w:fldCharType="begin"/>
            </w:r>
            <w:r>
              <w:rPr>
                <w:noProof/>
                <w:webHidden/>
              </w:rPr>
              <w:instrText xml:space="preserve"> PAGEREF _Toc42089755 \h </w:instrText>
            </w:r>
            <w:r>
              <w:rPr>
                <w:noProof/>
                <w:webHidden/>
              </w:rPr>
            </w:r>
            <w:r>
              <w:rPr>
                <w:noProof/>
                <w:webHidden/>
              </w:rPr>
              <w:fldChar w:fldCharType="separate"/>
            </w:r>
            <w:r>
              <w:rPr>
                <w:noProof/>
                <w:webHidden/>
              </w:rPr>
              <w:t>19</w:t>
            </w:r>
            <w:r>
              <w:rPr>
                <w:noProof/>
                <w:webHidden/>
              </w:rPr>
              <w:fldChar w:fldCharType="end"/>
            </w:r>
          </w:hyperlink>
        </w:p>
        <w:p w14:paraId="7C4EB469" w14:textId="7CDA55FB" w:rsidR="00A22DE2" w:rsidRDefault="00A22DE2">
          <w:pPr>
            <w:pStyle w:val="Verzeichnis3"/>
            <w:rPr>
              <w:rFonts w:eastAsiaTheme="minorEastAsia"/>
              <w:noProof/>
              <w:lang w:val="de-DE" w:eastAsia="de-DE"/>
            </w:rPr>
          </w:pPr>
          <w:hyperlink w:anchor="_Toc42089756" w:history="1">
            <w:r w:rsidRPr="00192A6D">
              <w:rPr>
                <w:rStyle w:val="Hyperlink"/>
                <w:rFonts w:ascii="Arial" w:hAnsi="Arial" w:cs="Arial"/>
                <w:noProof/>
              </w:rPr>
              <w:t>3.5.4 Finalisierung der DSGVO Vorgaben</w:t>
            </w:r>
            <w:r>
              <w:rPr>
                <w:noProof/>
                <w:webHidden/>
              </w:rPr>
              <w:tab/>
            </w:r>
            <w:r>
              <w:rPr>
                <w:noProof/>
                <w:webHidden/>
              </w:rPr>
              <w:fldChar w:fldCharType="begin"/>
            </w:r>
            <w:r>
              <w:rPr>
                <w:noProof/>
                <w:webHidden/>
              </w:rPr>
              <w:instrText xml:space="preserve"> PAGEREF _Toc42089756 \h </w:instrText>
            </w:r>
            <w:r>
              <w:rPr>
                <w:noProof/>
                <w:webHidden/>
              </w:rPr>
            </w:r>
            <w:r>
              <w:rPr>
                <w:noProof/>
                <w:webHidden/>
              </w:rPr>
              <w:fldChar w:fldCharType="separate"/>
            </w:r>
            <w:r>
              <w:rPr>
                <w:noProof/>
                <w:webHidden/>
              </w:rPr>
              <w:t>19</w:t>
            </w:r>
            <w:r>
              <w:rPr>
                <w:noProof/>
                <w:webHidden/>
              </w:rPr>
              <w:fldChar w:fldCharType="end"/>
            </w:r>
          </w:hyperlink>
        </w:p>
        <w:p w14:paraId="726C1195" w14:textId="3BB599EF" w:rsidR="00A22DE2" w:rsidRDefault="00A22DE2">
          <w:pPr>
            <w:pStyle w:val="Verzeichnis1"/>
            <w:rPr>
              <w:rFonts w:asciiTheme="minorHAnsi" w:eastAsiaTheme="minorEastAsia" w:hAnsiTheme="minorHAnsi" w:cstheme="minorBidi"/>
              <w:b w:val="0"/>
              <w:bCs w:val="0"/>
              <w:lang w:val="de-DE" w:eastAsia="de-DE"/>
            </w:rPr>
          </w:pPr>
          <w:hyperlink w:anchor="_Toc42089757" w:history="1">
            <w:r w:rsidRPr="00192A6D">
              <w:rPr>
                <w:rStyle w:val="Hyperlink"/>
                <w:rFonts w:ascii="Arial" w:hAnsi="Arial" w:cs="Arial"/>
              </w:rPr>
              <w:t>4 DSGVO Vorgaben in Onlinemarketing und Big Data</w:t>
            </w:r>
            <w:r>
              <w:rPr>
                <w:webHidden/>
              </w:rPr>
              <w:tab/>
            </w:r>
            <w:r>
              <w:rPr>
                <w:webHidden/>
              </w:rPr>
              <w:fldChar w:fldCharType="begin"/>
            </w:r>
            <w:r>
              <w:rPr>
                <w:webHidden/>
              </w:rPr>
              <w:instrText xml:space="preserve"> PAGEREF _Toc42089757 \h </w:instrText>
            </w:r>
            <w:r>
              <w:rPr>
                <w:webHidden/>
              </w:rPr>
            </w:r>
            <w:r>
              <w:rPr>
                <w:webHidden/>
              </w:rPr>
              <w:fldChar w:fldCharType="separate"/>
            </w:r>
            <w:r>
              <w:rPr>
                <w:webHidden/>
              </w:rPr>
              <w:t>19</w:t>
            </w:r>
            <w:r>
              <w:rPr>
                <w:webHidden/>
              </w:rPr>
              <w:fldChar w:fldCharType="end"/>
            </w:r>
          </w:hyperlink>
        </w:p>
        <w:p w14:paraId="36EB81A2" w14:textId="662DE394" w:rsidR="00A22DE2" w:rsidRDefault="00A22DE2">
          <w:pPr>
            <w:pStyle w:val="Verzeichnis2"/>
            <w:rPr>
              <w:rFonts w:eastAsiaTheme="minorEastAsia"/>
              <w:noProof/>
              <w:lang w:val="de-DE" w:eastAsia="de-DE"/>
            </w:rPr>
          </w:pPr>
          <w:hyperlink w:anchor="_Toc42089758" w:history="1">
            <w:r w:rsidRPr="00192A6D">
              <w:rPr>
                <w:rStyle w:val="Hyperlink"/>
                <w:rFonts w:ascii="Arial" w:hAnsi="Arial" w:cs="Arial"/>
                <w:noProof/>
              </w:rPr>
              <w:t>4.1 Onlinemarketing-Instrumente</w:t>
            </w:r>
            <w:r>
              <w:rPr>
                <w:noProof/>
                <w:webHidden/>
              </w:rPr>
              <w:tab/>
            </w:r>
            <w:r>
              <w:rPr>
                <w:noProof/>
                <w:webHidden/>
              </w:rPr>
              <w:fldChar w:fldCharType="begin"/>
            </w:r>
            <w:r>
              <w:rPr>
                <w:noProof/>
                <w:webHidden/>
              </w:rPr>
              <w:instrText xml:space="preserve"> PAGEREF _Toc42089758 \h </w:instrText>
            </w:r>
            <w:r>
              <w:rPr>
                <w:noProof/>
                <w:webHidden/>
              </w:rPr>
            </w:r>
            <w:r>
              <w:rPr>
                <w:noProof/>
                <w:webHidden/>
              </w:rPr>
              <w:fldChar w:fldCharType="separate"/>
            </w:r>
            <w:r>
              <w:rPr>
                <w:noProof/>
                <w:webHidden/>
              </w:rPr>
              <w:t>20</w:t>
            </w:r>
            <w:r>
              <w:rPr>
                <w:noProof/>
                <w:webHidden/>
              </w:rPr>
              <w:fldChar w:fldCharType="end"/>
            </w:r>
          </w:hyperlink>
        </w:p>
        <w:p w14:paraId="03D8EB1D" w14:textId="451DAB03" w:rsidR="00A22DE2" w:rsidRDefault="00A22DE2">
          <w:pPr>
            <w:pStyle w:val="Verzeichnis3"/>
            <w:rPr>
              <w:rFonts w:eastAsiaTheme="minorEastAsia"/>
              <w:noProof/>
              <w:lang w:val="de-DE" w:eastAsia="de-DE"/>
            </w:rPr>
          </w:pPr>
          <w:hyperlink w:anchor="_Toc42089759" w:history="1">
            <w:r w:rsidRPr="00192A6D">
              <w:rPr>
                <w:rStyle w:val="Hyperlink"/>
                <w:rFonts w:ascii="Arial" w:hAnsi="Arial" w:cs="Arial"/>
                <w:noProof/>
              </w:rPr>
              <w:t>4.1.1 Cookies</w:t>
            </w:r>
            <w:r>
              <w:rPr>
                <w:noProof/>
                <w:webHidden/>
              </w:rPr>
              <w:tab/>
            </w:r>
            <w:r>
              <w:rPr>
                <w:noProof/>
                <w:webHidden/>
              </w:rPr>
              <w:fldChar w:fldCharType="begin"/>
            </w:r>
            <w:r>
              <w:rPr>
                <w:noProof/>
                <w:webHidden/>
              </w:rPr>
              <w:instrText xml:space="preserve"> PAGEREF _Toc42089759 \h </w:instrText>
            </w:r>
            <w:r>
              <w:rPr>
                <w:noProof/>
                <w:webHidden/>
              </w:rPr>
            </w:r>
            <w:r>
              <w:rPr>
                <w:noProof/>
                <w:webHidden/>
              </w:rPr>
              <w:fldChar w:fldCharType="separate"/>
            </w:r>
            <w:r>
              <w:rPr>
                <w:noProof/>
                <w:webHidden/>
              </w:rPr>
              <w:t>20</w:t>
            </w:r>
            <w:r>
              <w:rPr>
                <w:noProof/>
                <w:webHidden/>
              </w:rPr>
              <w:fldChar w:fldCharType="end"/>
            </w:r>
          </w:hyperlink>
        </w:p>
        <w:p w14:paraId="33C0610C" w14:textId="48994E69" w:rsidR="00A22DE2" w:rsidRDefault="00A22DE2">
          <w:pPr>
            <w:pStyle w:val="Verzeichnis3"/>
            <w:rPr>
              <w:rFonts w:eastAsiaTheme="minorEastAsia"/>
              <w:noProof/>
              <w:lang w:val="de-DE" w:eastAsia="de-DE"/>
            </w:rPr>
          </w:pPr>
          <w:hyperlink w:anchor="_Toc42089760" w:history="1">
            <w:r w:rsidRPr="00192A6D">
              <w:rPr>
                <w:rStyle w:val="Hyperlink"/>
                <w:rFonts w:ascii="Arial" w:hAnsi="Arial" w:cs="Arial"/>
                <w:noProof/>
                <w:lang w:val="de-DE"/>
              </w:rPr>
              <w:t>4.1.2 Opt-In und Opt-Out Modell</w:t>
            </w:r>
            <w:r>
              <w:rPr>
                <w:noProof/>
                <w:webHidden/>
              </w:rPr>
              <w:tab/>
            </w:r>
            <w:r>
              <w:rPr>
                <w:noProof/>
                <w:webHidden/>
              </w:rPr>
              <w:fldChar w:fldCharType="begin"/>
            </w:r>
            <w:r>
              <w:rPr>
                <w:noProof/>
                <w:webHidden/>
              </w:rPr>
              <w:instrText xml:space="preserve"> PAGEREF _Toc42089760 \h </w:instrText>
            </w:r>
            <w:r>
              <w:rPr>
                <w:noProof/>
                <w:webHidden/>
              </w:rPr>
            </w:r>
            <w:r>
              <w:rPr>
                <w:noProof/>
                <w:webHidden/>
              </w:rPr>
              <w:fldChar w:fldCharType="separate"/>
            </w:r>
            <w:r>
              <w:rPr>
                <w:noProof/>
                <w:webHidden/>
              </w:rPr>
              <w:t>21</w:t>
            </w:r>
            <w:r>
              <w:rPr>
                <w:noProof/>
                <w:webHidden/>
              </w:rPr>
              <w:fldChar w:fldCharType="end"/>
            </w:r>
          </w:hyperlink>
        </w:p>
        <w:p w14:paraId="7657D4F6" w14:textId="2E2D9387" w:rsidR="00A22DE2" w:rsidRDefault="00A22DE2">
          <w:pPr>
            <w:pStyle w:val="Verzeichnis3"/>
            <w:rPr>
              <w:rFonts w:eastAsiaTheme="minorEastAsia"/>
              <w:noProof/>
              <w:lang w:val="de-DE" w:eastAsia="de-DE"/>
            </w:rPr>
          </w:pPr>
          <w:hyperlink w:anchor="_Toc42089761" w:history="1">
            <w:r w:rsidRPr="00192A6D">
              <w:rPr>
                <w:rStyle w:val="Hyperlink"/>
                <w:rFonts w:ascii="Arial" w:hAnsi="Arial" w:cs="Arial"/>
                <w:noProof/>
                <w:lang w:val="de-DE"/>
              </w:rPr>
              <w:t>4.1.3 Google Analytics</w:t>
            </w:r>
            <w:r>
              <w:rPr>
                <w:noProof/>
                <w:webHidden/>
              </w:rPr>
              <w:tab/>
            </w:r>
            <w:r>
              <w:rPr>
                <w:noProof/>
                <w:webHidden/>
              </w:rPr>
              <w:fldChar w:fldCharType="begin"/>
            </w:r>
            <w:r>
              <w:rPr>
                <w:noProof/>
                <w:webHidden/>
              </w:rPr>
              <w:instrText xml:space="preserve"> PAGEREF _Toc42089761 \h </w:instrText>
            </w:r>
            <w:r>
              <w:rPr>
                <w:noProof/>
                <w:webHidden/>
              </w:rPr>
            </w:r>
            <w:r>
              <w:rPr>
                <w:noProof/>
                <w:webHidden/>
              </w:rPr>
              <w:fldChar w:fldCharType="separate"/>
            </w:r>
            <w:r>
              <w:rPr>
                <w:noProof/>
                <w:webHidden/>
              </w:rPr>
              <w:t>22</w:t>
            </w:r>
            <w:r>
              <w:rPr>
                <w:noProof/>
                <w:webHidden/>
              </w:rPr>
              <w:fldChar w:fldCharType="end"/>
            </w:r>
          </w:hyperlink>
        </w:p>
        <w:p w14:paraId="2291C5C6" w14:textId="1B97EA16" w:rsidR="00A22DE2" w:rsidRDefault="00A22DE2">
          <w:pPr>
            <w:pStyle w:val="Verzeichnis3"/>
            <w:rPr>
              <w:rFonts w:eastAsiaTheme="minorEastAsia"/>
              <w:noProof/>
              <w:lang w:val="de-DE" w:eastAsia="de-DE"/>
            </w:rPr>
          </w:pPr>
          <w:hyperlink w:anchor="_Toc42089762" w:history="1">
            <w:r w:rsidRPr="00192A6D">
              <w:rPr>
                <w:rStyle w:val="Hyperlink"/>
                <w:rFonts w:ascii="Arial" w:hAnsi="Arial" w:cs="Arial"/>
                <w:noProof/>
                <w:lang w:val="de-DE"/>
              </w:rPr>
              <w:t>4.1.4 Fazit zu Google Analytics</w:t>
            </w:r>
            <w:r>
              <w:rPr>
                <w:noProof/>
                <w:webHidden/>
              </w:rPr>
              <w:tab/>
            </w:r>
            <w:r>
              <w:rPr>
                <w:noProof/>
                <w:webHidden/>
              </w:rPr>
              <w:fldChar w:fldCharType="begin"/>
            </w:r>
            <w:r>
              <w:rPr>
                <w:noProof/>
                <w:webHidden/>
              </w:rPr>
              <w:instrText xml:space="preserve"> PAGEREF _Toc42089762 \h </w:instrText>
            </w:r>
            <w:r>
              <w:rPr>
                <w:noProof/>
                <w:webHidden/>
              </w:rPr>
            </w:r>
            <w:r>
              <w:rPr>
                <w:noProof/>
                <w:webHidden/>
              </w:rPr>
              <w:fldChar w:fldCharType="separate"/>
            </w:r>
            <w:r>
              <w:rPr>
                <w:noProof/>
                <w:webHidden/>
              </w:rPr>
              <w:t>24</w:t>
            </w:r>
            <w:r>
              <w:rPr>
                <w:noProof/>
                <w:webHidden/>
              </w:rPr>
              <w:fldChar w:fldCharType="end"/>
            </w:r>
          </w:hyperlink>
        </w:p>
        <w:p w14:paraId="4D5CFFB1" w14:textId="60F29250" w:rsidR="00A22DE2" w:rsidRDefault="00A22DE2">
          <w:pPr>
            <w:pStyle w:val="Verzeichnis2"/>
            <w:rPr>
              <w:rFonts w:eastAsiaTheme="minorEastAsia"/>
              <w:noProof/>
              <w:lang w:val="de-DE" w:eastAsia="de-DE"/>
            </w:rPr>
          </w:pPr>
          <w:hyperlink w:anchor="_Toc42089763" w:history="1">
            <w:r w:rsidRPr="00192A6D">
              <w:rPr>
                <w:rStyle w:val="Hyperlink"/>
                <w:rFonts w:ascii="Arial" w:hAnsi="Arial" w:cs="Arial"/>
                <w:noProof/>
                <w:lang w:val="de-DE"/>
              </w:rPr>
              <w:t>4.2 Big Data</w:t>
            </w:r>
            <w:r>
              <w:rPr>
                <w:noProof/>
                <w:webHidden/>
              </w:rPr>
              <w:tab/>
            </w:r>
            <w:r>
              <w:rPr>
                <w:noProof/>
                <w:webHidden/>
              </w:rPr>
              <w:fldChar w:fldCharType="begin"/>
            </w:r>
            <w:r>
              <w:rPr>
                <w:noProof/>
                <w:webHidden/>
              </w:rPr>
              <w:instrText xml:space="preserve"> PAGEREF _Toc42089763 \h </w:instrText>
            </w:r>
            <w:r>
              <w:rPr>
                <w:noProof/>
                <w:webHidden/>
              </w:rPr>
            </w:r>
            <w:r>
              <w:rPr>
                <w:noProof/>
                <w:webHidden/>
              </w:rPr>
              <w:fldChar w:fldCharType="separate"/>
            </w:r>
            <w:r>
              <w:rPr>
                <w:noProof/>
                <w:webHidden/>
              </w:rPr>
              <w:t>25</w:t>
            </w:r>
            <w:r>
              <w:rPr>
                <w:noProof/>
                <w:webHidden/>
              </w:rPr>
              <w:fldChar w:fldCharType="end"/>
            </w:r>
          </w:hyperlink>
        </w:p>
        <w:p w14:paraId="03C9FD13" w14:textId="6FE95C24" w:rsidR="00A22DE2" w:rsidRDefault="00A22DE2">
          <w:pPr>
            <w:pStyle w:val="Verzeichnis3"/>
            <w:rPr>
              <w:rFonts w:eastAsiaTheme="minorEastAsia"/>
              <w:noProof/>
              <w:lang w:val="de-DE" w:eastAsia="de-DE"/>
            </w:rPr>
          </w:pPr>
          <w:hyperlink w:anchor="_Toc42089764" w:history="1">
            <w:r w:rsidRPr="00192A6D">
              <w:rPr>
                <w:rStyle w:val="Hyperlink"/>
                <w:rFonts w:ascii="Arial" w:hAnsi="Arial" w:cs="Arial"/>
                <w:noProof/>
                <w:lang w:val="de-DE"/>
              </w:rPr>
              <w:t>4.2.1 Anonymisierung</w:t>
            </w:r>
            <w:r>
              <w:rPr>
                <w:noProof/>
                <w:webHidden/>
              </w:rPr>
              <w:tab/>
            </w:r>
            <w:r>
              <w:rPr>
                <w:noProof/>
                <w:webHidden/>
              </w:rPr>
              <w:fldChar w:fldCharType="begin"/>
            </w:r>
            <w:r>
              <w:rPr>
                <w:noProof/>
                <w:webHidden/>
              </w:rPr>
              <w:instrText xml:space="preserve"> PAGEREF _Toc42089764 \h </w:instrText>
            </w:r>
            <w:r>
              <w:rPr>
                <w:noProof/>
                <w:webHidden/>
              </w:rPr>
            </w:r>
            <w:r>
              <w:rPr>
                <w:noProof/>
                <w:webHidden/>
              </w:rPr>
              <w:fldChar w:fldCharType="separate"/>
            </w:r>
            <w:r>
              <w:rPr>
                <w:noProof/>
                <w:webHidden/>
              </w:rPr>
              <w:t>26</w:t>
            </w:r>
            <w:r>
              <w:rPr>
                <w:noProof/>
                <w:webHidden/>
              </w:rPr>
              <w:fldChar w:fldCharType="end"/>
            </w:r>
          </w:hyperlink>
        </w:p>
        <w:p w14:paraId="76FE7839" w14:textId="6C34488E" w:rsidR="00A22DE2" w:rsidRDefault="00A22DE2">
          <w:pPr>
            <w:pStyle w:val="Verzeichnis3"/>
            <w:rPr>
              <w:rFonts w:eastAsiaTheme="minorEastAsia"/>
              <w:noProof/>
              <w:lang w:val="de-DE" w:eastAsia="de-DE"/>
            </w:rPr>
          </w:pPr>
          <w:hyperlink w:anchor="_Toc42089765" w:history="1">
            <w:r w:rsidRPr="00192A6D">
              <w:rPr>
                <w:rStyle w:val="Hyperlink"/>
                <w:rFonts w:ascii="Arial" w:hAnsi="Arial" w:cs="Arial"/>
                <w:noProof/>
                <w:lang w:val="de-DE"/>
              </w:rPr>
              <w:t>4.2.2 Zweckbindung</w:t>
            </w:r>
            <w:r>
              <w:rPr>
                <w:noProof/>
                <w:webHidden/>
              </w:rPr>
              <w:tab/>
            </w:r>
            <w:r>
              <w:rPr>
                <w:noProof/>
                <w:webHidden/>
              </w:rPr>
              <w:fldChar w:fldCharType="begin"/>
            </w:r>
            <w:r>
              <w:rPr>
                <w:noProof/>
                <w:webHidden/>
              </w:rPr>
              <w:instrText xml:space="preserve"> PAGEREF _Toc42089765 \h </w:instrText>
            </w:r>
            <w:r>
              <w:rPr>
                <w:noProof/>
                <w:webHidden/>
              </w:rPr>
            </w:r>
            <w:r>
              <w:rPr>
                <w:noProof/>
                <w:webHidden/>
              </w:rPr>
              <w:fldChar w:fldCharType="separate"/>
            </w:r>
            <w:r>
              <w:rPr>
                <w:noProof/>
                <w:webHidden/>
              </w:rPr>
              <w:t>26</w:t>
            </w:r>
            <w:r>
              <w:rPr>
                <w:noProof/>
                <w:webHidden/>
              </w:rPr>
              <w:fldChar w:fldCharType="end"/>
            </w:r>
          </w:hyperlink>
        </w:p>
        <w:p w14:paraId="1B571700" w14:textId="341F75EB" w:rsidR="00A22DE2" w:rsidRDefault="00A22DE2">
          <w:pPr>
            <w:pStyle w:val="Verzeichnis3"/>
            <w:rPr>
              <w:rFonts w:eastAsiaTheme="minorEastAsia"/>
              <w:noProof/>
              <w:lang w:val="de-DE" w:eastAsia="de-DE"/>
            </w:rPr>
          </w:pPr>
          <w:hyperlink w:anchor="_Toc42089766" w:history="1">
            <w:r w:rsidRPr="00192A6D">
              <w:rPr>
                <w:rStyle w:val="Hyperlink"/>
                <w:rFonts w:ascii="Arial" w:hAnsi="Arial" w:cs="Arial"/>
                <w:noProof/>
                <w:lang w:val="de-DE"/>
              </w:rPr>
              <w:t>4.2 3 Pseudonymisierung</w:t>
            </w:r>
            <w:r>
              <w:rPr>
                <w:noProof/>
                <w:webHidden/>
              </w:rPr>
              <w:tab/>
            </w:r>
            <w:r>
              <w:rPr>
                <w:noProof/>
                <w:webHidden/>
              </w:rPr>
              <w:fldChar w:fldCharType="begin"/>
            </w:r>
            <w:r>
              <w:rPr>
                <w:noProof/>
                <w:webHidden/>
              </w:rPr>
              <w:instrText xml:space="preserve"> PAGEREF _Toc42089766 \h </w:instrText>
            </w:r>
            <w:r>
              <w:rPr>
                <w:noProof/>
                <w:webHidden/>
              </w:rPr>
            </w:r>
            <w:r>
              <w:rPr>
                <w:noProof/>
                <w:webHidden/>
              </w:rPr>
              <w:fldChar w:fldCharType="separate"/>
            </w:r>
            <w:r>
              <w:rPr>
                <w:noProof/>
                <w:webHidden/>
              </w:rPr>
              <w:t>27</w:t>
            </w:r>
            <w:r>
              <w:rPr>
                <w:noProof/>
                <w:webHidden/>
              </w:rPr>
              <w:fldChar w:fldCharType="end"/>
            </w:r>
          </w:hyperlink>
        </w:p>
        <w:p w14:paraId="771A0AE0" w14:textId="67581C83" w:rsidR="00A22DE2" w:rsidRDefault="00A22DE2">
          <w:pPr>
            <w:pStyle w:val="Verzeichnis3"/>
            <w:rPr>
              <w:rFonts w:eastAsiaTheme="minorEastAsia"/>
              <w:noProof/>
              <w:lang w:val="de-DE" w:eastAsia="de-DE"/>
            </w:rPr>
          </w:pPr>
          <w:hyperlink w:anchor="_Toc42089767" w:history="1">
            <w:r w:rsidRPr="00192A6D">
              <w:rPr>
                <w:rStyle w:val="Hyperlink"/>
                <w:rFonts w:ascii="Arial" w:hAnsi="Arial" w:cs="Arial"/>
                <w:noProof/>
                <w:lang w:val="de-DE"/>
              </w:rPr>
              <w:t>4.2.4 Transparenz</w:t>
            </w:r>
            <w:r>
              <w:rPr>
                <w:noProof/>
                <w:webHidden/>
              </w:rPr>
              <w:tab/>
            </w:r>
            <w:r>
              <w:rPr>
                <w:noProof/>
                <w:webHidden/>
              </w:rPr>
              <w:fldChar w:fldCharType="begin"/>
            </w:r>
            <w:r>
              <w:rPr>
                <w:noProof/>
                <w:webHidden/>
              </w:rPr>
              <w:instrText xml:space="preserve"> PAGEREF _Toc42089767 \h </w:instrText>
            </w:r>
            <w:r>
              <w:rPr>
                <w:noProof/>
                <w:webHidden/>
              </w:rPr>
            </w:r>
            <w:r>
              <w:rPr>
                <w:noProof/>
                <w:webHidden/>
              </w:rPr>
              <w:fldChar w:fldCharType="separate"/>
            </w:r>
            <w:r>
              <w:rPr>
                <w:noProof/>
                <w:webHidden/>
              </w:rPr>
              <w:t>28</w:t>
            </w:r>
            <w:r>
              <w:rPr>
                <w:noProof/>
                <w:webHidden/>
              </w:rPr>
              <w:fldChar w:fldCharType="end"/>
            </w:r>
          </w:hyperlink>
        </w:p>
        <w:p w14:paraId="3D203633" w14:textId="0850C021" w:rsidR="00A22DE2" w:rsidRDefault="00A22DE2">
          <w:pPr>
            <w:pStyle w:val="Verzeichnis3"/>
            <w:rPr>
              <w:rFonts w:eastAsiaTheme="minorEastAsia"/>
              <w:noProof/>
              <w:lang w:val="de-DE" w:eastAsia="de-DE"/>
            </w:rPr>
          </w:pPr>
          <w:hyperlink w:anchor="_Toc42089768" w:history="1">
            <w:r w:rsidRPr="00192A6D">
              <w:rPr>
                <w:rStyle w:val="Hyperlink"/>
                <w:rFonts w:ascii="Arial" w:hAnsi="Arial" w:cs="Arial"/>
                <w:noProof/>
                <w:lang w:val="de-DE"/>
              </w:rPr>
              <w:t>4.2.5 Ethische Konsequenzen</w:t>
            </w:r>
            <w:r>
              <w:rPr>
                <w:noProof/>
                <w:webHidden/>
              </w:rPr>
              <w:tab/>
            </w:r>
            <w:r>
              <w:rPr>
                <w:noProof/>
                <w:webHidden/>
              </w:rPr>
              <w:fldChar w:fldCharType="begin"/>
            </w:r>
            <w:r>
              <w:rPr>
                <w:noProof/>
                <w:webHidden/>
              </w:rPr>
              <w:instrText xml:space="preserve"> PAGEREF _Toc42089768 \h </w:instrText>
            </w:r>
            <w:r>
              <w:rPr>
                <w:noProof/>
                <w:webHidden/>
              </w:rPr>
            </w:r>
            <w:r>
              <w:rPr>
                <w:noProof/>
                <w:webHidden/>
              </w:rPr>
              <w:fldChar w:fldCharType="separate"/>
            </w:r>
            <w:r>
              <w:rPr>
                <w:noProof/>
                <w:webHidden/>
              </w:rPr>
              <w:t>28</w:t>
            </w:r>
            <w:r>
              <w:rPr>
                <w:noProof/>
                <w:webHidden/>
              </w:rPr>
              <w:fldChar w:fldCharType="end"/>
            </w:r>
          </w:hyperlink>
        </w:p>
        <w:p w14:paraId="17CC2210" w14:textId="1E9AA8BA" w:rsidR="00A22DE2" w:rsidRDefault="00A22DE2">
          <w:pPr>
            <w:pStyle w:val="Verzeichnis3"/>
            <w:rPr>
              <w:rFonts w:eastAsiaTheme="minorEastAsia"/>
              <w:noProof/>
              <w:lang w:val="de-DE" w:eastAsia="de-DE"/>
            </w:rPr>
          </w:pPr>
          <w:hyperlink w:anchor="_Toc42089769" w:history="1">
            <w:r w:rsidRPr="00192A6D">
              <w:rPr>
                <w:rStyle w:val="Hyperlink"/>
                <w:rFonts w:ascii="Arial" w:hAnsi="Arial" w:cs="Arial"/>
                <w:noProof/>
                <w:lang w:val="de-DE"/>
              </w:rPr>
              <w:t>4.2.6 Fazit zu Big Data</w:t>
            </w:r>
            <w:r>
              <w:rPr>
                <w:noProof/>
                <w:webHidden/>
              </w:rPr>
              <w:tab/>
            </w:r>
            <w:r>
              <w:rPr>
                <w:noProof/>
                <w:webHidden/>
              </w:rPr>
              <w:fldChar w:fldCharType="begin"/>
            </w:r>
            <w:r>
              <w:rPr>
                <w:noProof/>
                <w:webHidden/>
              </w:rPr>
              <w:instrText xml:space="preserve"> PAGEREF _Toc42089769 \h </w:instrText>
            </w:r>
            <w:r>
              <w:rPr>
                <w:noProof/>
                <w:webHidden/>
              </w:rPr>
            </w:r>
            <w:r>
              <w:rPr>
                <w:noProof/>
                <w:webHidden/>
              </w:rPr>
              <w:fldChar w:fldCharType="separate"/>
            </w:r>
            <w:r>
              <w:rPr>
                <w:noProof/>
                <w:webHidden/>
              </w:rPr>
              <w:t>28</w:t>
            </w:r>
            <w:r>
              <w:rPr>
                <w:noProof/>
                <w:webHidden/>
              </w:rPr>
              <w:fldChar w:fldCharType="end"/>
            </w:r>
          </w:hyperlink>
        </w:p>
        <w:p w14:paraId="0D4389FF" w14:textId="2CABBB83" w:rsidR="00A22DE2" w:rsidRDefault="00A22DE2">
          <w:pPr>
            <w:pStyle w:val="Verzeichnis1"/>
            <w:rPr>
              <w:rFonts w:asciiTheme="minorHAnsi" w:eastAsiaTheme="minorEastAsia" w:hAnsiTheme="minorHAnsi" w:cstheme="minorBidi"/>
              <w:b w:val="0"/>
              <w:bCs w:val="0"/>
              <w:lang w:val="de-DE" w:eastAsia="de-DE"/>
            </w:rPr>
          </w:pPr>
          <w:hyperlink w:anchor="_Toc42089770" w:history="1">
            <w:r w:rsidRPr="00192A6D">
              <w:rPr>
                <w:rStyle w:val="Hyperlink"/>
                <w:rFonts w:ascii="Arial" w:hAnsi="Arial" w:cs="Arial"/>
                <w:lang w:val="de-DE"/>
              </w:rPr>
              <w:t>5 Sanktionen, Haftung und Rechtsbehelfe</w:t>
            </w:r>
            <w:r>
              <w:rPr>
                <w:webHidden/>
              </w:rPr>
              <w:tab/>
            </w:r>
            <w:r>
              <w:rPr>
                <w:webHidden/>
              </w:rPr>
              <w:fldChar w:fldCharType="begin"/>
            </w:r>
            <w:r>
              <w:rPr>
                <w:webHidden/>
              </w:rPr>
              <w:instrText xml:space="preserve"> PAGEREF _Toc42089770 \h </w:instrText>
            </w:r>
            <w:r>
              <w:rPr>
                <w:webHidden/>
              </w:rPr>
            </w:r>
            <w:r>
              <w:rPr>
                <w:webHidden/>
              </w:rPr>
              <w:fldChar w:fldCharType="separate"/>
            </w:r>
            <w:r>
              <w:rPr>
                <w:webHidden/>
              </w:rPr>
              <w:t>29</w:t>
            </w:r>
            <w:r>
              <w:rPr>
                <w:webHidden/>
              </w:rPr>
              <w:fldChar w:fldCharType="end"/>
            </w:r>
          </w:hyperlink>
        </w:p>
        <w:p w14:paraId="7311A85E" w14:textId="6F835FD0" w:rsidR="00A22DE2" w:rsidRDefault="00A22DE2">
          <w:pPr>
            <w:pStyle w:val="Verzeichnis2"/>
            <w:rPr>
              <w:rFonts w:eastAsiaTheme="minorEastAsia"/>
              <w:noProof/>
              <w:lang w:val="de-DE" w:eastAsia="de-DE"/>
            </w:rPr>
          </w:pPr>
          <w:hyperlink w:anchor="_Toc42089771" w:history="1">
            <w:r w:rsidRPr="00192A6D">
              <w:rPr>
                <w:rStyle w:val="Hyperlink"/>
                <w:rFonts w:ascii="Arial" w:hAnsi="Arial" w:cs="Arial"/>
                <w:noProof/>
              </w:rPr>
              <w:t>5.1 Rechtsbehelfe</w:t>
            </w:r>
            <w:r>
              <w:rPr>
                <w:noProof/>
                <w:webHidden/>
              </w:rPr>
              <w:tab/>
            </w:r>
            <w:r>
              <w:rPr>
                <w:noProof/>
                <w:webHidden/>
              </w:rPr>
              <w:fldChar w:fldCharType="begin"/>
            </w:r>
            <w:r>
              <w:rPr>
                <w:noProof/>
                <w:webHidden/>
              </w:rPr>
              <w:instrText xml:space="preserve"> PAGEREF _Toc42089771 \h </w:instrText>
            </w:r>
            <w:r>
              <w:rPr>
                <w:noProof/>
                <w:webHidden/>
              </w:rPr>
            </w:r>
            <w:r>
              <w:rPr>
                <w:noProof/>
                <w:webHidden/>
              </w:rPr>
              <w:fldChar w:fldCharType="separate"/>
            </w:r>
            <w:r>
              <w:rPr>
                <w:noProof/>
                <w:webHidden/>
              </w:rPr>
              <w:t>30</w:t>
            </w:r>
            <w:r>
              <w:rPr>
                <w:noProof/>
                <w:webHidden/>
              </w:rPr>
              <w:fldChar w:fldCharType="end"/>
            </w:r>
          </w:hyperlink>
        </w:p>
        <w:p w14:paraId="077508DA" w14:textId="46BF4770" w:rsidR="00A22DE2" w:rsidRDefault="00A22DE2">
          <w:pPr>
            <w:pStyle w:val="Verzeichnis2"/>
            <w:rPr>
              <w:rFonts w:eastAsiaTheme="minorEastAsia"/>
              <w:noProof/>
              <w:lang w:val="de-DE" w:eastAsia="de-DE"/>
            </w:rPr>
          </w:pPr>
          <w:hyperlink w:anchor="_Toc42089772" w:history="1">
            <w:r w:rsidRPr="00192A6D">
              <w:rPr>
                <w:rStyle w:val="Hyperlink"/>
                <w:rFonts w:ascii="Arial" w:hAnsi="Arial" w:cs="Arial"/>
                <w:noProof/>
              </w:rPr>
              <w:t>5.2 Haftung und Recht auf Schadensersatz</w:t>
            </w:r>
            <w:r>
              <w:rPr>
                <w:noProof/>
                <w:webHidden/>
              </w:rPr>
              <w:tab/>
            </w:r>
            <w:r>
              <w:rPr>
                <w:noProof/>
                <w:webHidden/>
              </w:rPr>
              <w:fldChar w:fldCharType="begin"/>
            </w:r>
            <w:r>
              <w:rPr>
                <w:noProof/>
                <w:webHidden/>
              </w:rPr>
              <w:instrText xml:space="preserve"> PAGEREF _Toc42089772 \h </w:instrText>
            </w:r>
            <w:r>
              <w:rPr>
                <w:noProof/>
                <w:webHidden/>
              </w:rPr>
            </w:r>
            <w:r>
              <w:rPr>
                <w:noProof/>
                <w:webHidden/>
              </w:rPr>
              <w:fldChar w:fldCharType="separate"/>
            </w:r>
            <w:r>
              <w:rPr>
                <w:noProof/>
                <w:webHidden/>
              </w:rPr>
              <w:t>30</w:t>
            </w:r>
            <w:r>
              <w:rPr>
                <w:noProof/>
                <w:webHidden/>
              </w:rPr>
              <w:fldChar w:fldCharType="end"/>
            </w:r>
          </w:hyperlink>
        </w:p>
        <w:p w14:paraId="2FE1397C" w14:textId="6E1F7596" w:rsidR="00A22DE2" w:rsidRDefault="00A22DE2">
          <w:pPr>
            <w:pStyle w:val="Verzeichnis2"/>
            <w:rPr>
              <w:rFonts w:eastAsiaTheme="minorEastAsia"/>
              <w:noProof/>
              <w:lang w:val="de-DE" w:eastAsia="de-DE"/>
            </w:rPr>
          </w:pPr>
          <w:hyperlink w:anchor="_Toc42089773" w:history="1">
            <w:r w:rsidRPr="00192A6D">
              <w:rPr>
                <w:rStyle w:val="Hyperlink"/>
                <w:rFonts w:ascii="Arial" w:hAnsi="Arial" w:cs="Arial"/>
                <w:noProof/>
              </w:rPr>
              <w:t>5.3 Sanktionen</w:t>
            </w:r>
            <w:r>
              <w:rPr>
                <w:noProof/>
                <w:webHidden/>
              </w:rPr>
              <w:tab/>
            </w:r>
            <w:r>
              <w:rPr>
                <w:noProof/>
                <w:webHidden/>
              </w:rPr>
              <w:fldChar w:fldCharType="begin"/>
            </w:r>
            <w:r>
              <w:rPr>
                <w:noProof/>
                <w:webHidden/>
              </w:rPr>
              <w:instrText xml:space="preserve"> PAGEREF _Toc42089773 \h </w:instrText>
            </w:r>
            <w:r>
              <w:rPr>
                <w:noProof/>
                <w:webHidden/>
              </w:rPr>
            </w:r>
            <w:r>
              <w:rPr>
                <w:noProof/>
                <w:webHidden/>
              </w:rPr>
              <w:fldChar w:fldCharType="separate"/>
            </w:r>
            <w:r>
              <w:rPr>
                <w:noProof/>
                <w:webHidden/>
              </w:rPr>
              <w:t>31</w:t>
            </w:r>
            <w:r>
              <w:rPr>
                <w:noProof/>
                <w:webHidden/>
              </w:rPr>
              <w:fldChar w:fldCharType="end"/>
            </w:r>
          </w:hyperlink>
        </w:p>
        <w:p w14:paraId="6E671CEA" w14:textId="63F03C39" w:rsidR="00A22DE2" w:rsidRDefault="00A22DE2">
          <w:pPr>
            <w:pStyle w:val="Verzeichnis1"/>
            <w:rPr>
              <w:rFonts w:asciiTheme="minorHAnsi" w:eastAsiaTheme="minorEastAsia" w:hAnsiTheme="minorHAnsi" w:cstheme="minorBidi"/>
              <w:b w:val="0"/>
              <w:bCs w:val="0"/>
              <w:lang w:val="de-DE" w:eastAsia="de-DE"/>
            </w:rPr>
          </w:pPr>
          <w:hyperlink w:anchor="_Toc42089774" w:history="1">
            <w:r w:rsidRPr="00192A6D">
              <w:rPr>
                <w:rStyle w:val="Hyperlink"/>
                <w:rFonts w:ascii="Arial" w:hAnsi="Arial" w:cs="Arial"/>
              </w:rPr>
              <w:t>6 Datenschutz – Rechtsvergleich zwischen der EU und USA</w:t>
            </w:r>
            <w:r>
              <w:rPr>
                <w:webHidden/>
              </w:rPr>
              <w:tab/>
            </w:r>
            <w:r>
              <w:rPr>
                <w:webHidden/>
              </w:rPr>
              <w:fldChar w:fldCharType="begin"/>
            </w:r>
            <w:r>
              <w:rPr>
                <w:webHidden/>
              </w:rPr>
              <w:instrText xml:space="preserve"> PAGEREF _Toc42089774 \h </w:instrText>
            </w:r>
            <w:r>
              <w:rPr>
                <w:webHidden/>
              </w:rPr>
            </w:r>
            <w:r>
              <w:rPr>
                <w:webHidden/>
              </w:rPr>
              <w:fldChar w:fldCharType="separate"/>
            </w:r>
            <w:r>
              <w:rPr>
                <w:webHidden/>
              </w:rPr>
              <w:t>32</w:t>
            </w:r>
            <w:r>
              <w:rPr>
                <w:webHidden/>
              </w:rPr>
              <w:fldChar w:fldCharType="end"/>
            </w:r>
          </w:hyperlink>
        </w:p>
        <w:p w14:paraId="04CD392B" w14:textId="2DE1D50E" w:rsidR="00A22DE2" w:rsidRDefault="00A22DE2">
          <w:pPr>
            <w:pStyle w:val="Verzeichnis1"/>
            <w:rPr>
              <w:rFonts w:asciiTheme="minorHAnsi" w:eastAsiaTheme="minorEastAsia" w:hAnsiTheme="minorHAnsi" w:cstheme="minorBidi"/>
              <w:b w:val="0"/>
              <w:bCs w:val="0"/>
              <w:lang w:val="de-DE" w:eastAsia="de-DE"/>
            </w:rPr>
          </w:pPr>
          <w:hyperlink w:anchor="_Toc42089775" w:history="1">
            <w:r w:rsidRPr="00192A6D">
              <w:rPr>
                <w:rStyle w:val="Hyperlink"/>
                <w:rFonts w:ascii="Arial" w:hAnsi="Arial" w:cs="Arial"/>
              </w:rPr>
              <w:t>7 Zusammenfassung und Fazit</w:t>
            </w:r>
            <w:r>
              <w:rPr>
                <w:webHidden/>
              </w:rPr>
              <w:tab/>
            </w:r>
            <w:r>
              <w:rPr>
                <w:webHidden/>
              </w:rPr>
              <w:fldChar w:fldCharType="begin"/>
            </w:r>
            <w:r>
              <w:rPr>
                <w:webHidden/>
              </w:rPr>
              <w:instrText xml:space="preserve"> PAGEREF _Toc42089775 \h </w:instrText>
            </w:r>
            <w:r>
              <w:rPr>
                <w:webHidden/>
              </w:rPr>
            </w:r>
            <w:r>
              <w:rPr>
                <w:webHidden/>
              </w:rPr>
              <w:fldChar w:fldCharType="separate"/>
            </w:r>
            <w:r>
              <w:rPr>
                <w:webHidden/>
              </w:rPr>
              <w:t>34</w:t>
            </w:r>
            <w:r>
              <w:rPr>
                <w:webHidden/>
              </w:rPr>
              <w:fldChar w:fldCharType="end"/>
            </w:r>
          </w:hyperlink>
        </w:p>
        <w:p w14:paraId="5016D959" w14:textId="5A71C400" w:rsidR="00A22DE2" w:rsidRDefault="00A22DE2">
          <w:pPr>
            <w:pStyle w:val="Verzeichnis1"/>
            <w:rPr>
              <w:rFonts w:asciiTheme="minorHAnsi" w:eastAsiaTheme="minorEastAsia" w:hAnsiTheme="minorHAnsi" w:cstheme="minorBidi"/>
              <w:b w:val="0"/>
              <w:bCs w:val="0"/>
              <w:lang w:val="de-DE" w:eastAsia="de-DE"/>
            </w:rPr>
          </w:pPr>
          <w:hyperlink w:anchor="_Toc42089776" w:history="1">
            <w:r w:rsidRPr="00192A6D">
              <w:rPr>
                <w:rStyle w:val="Hyperlink"/>
                <w:rFonts w:ascii="Arial" w:hAnsi="Arial" w:cs="Arial"/>
              </w:rPr>
              <w:t>Literaturverzeichnis</w:t>
            </w:r>
            <w:r>
              <w:rPr>
                <w:webHidden/>
              </w:rPr>
              <w:tab/>
            </w:r>
            <w:r>
              <w:rPr>
                <w:webHidden/>
              </w:rPr>
              <w:fldChar w:fldCharType="begin"/>
            </w:r>
            <w:r>
              <w:rPr>
                <w:webHidden/>
              </w:rPr>
              <w:instrText xml:space="preserve"> PAGEREF _Toc42089776 \h </w:instrText>
            </w:r>
            <w:r>
              <w:rPr>
                <w:webHidden/>
              </w:rPr>
            </w:r>
            <w:r>
              <w:rPr>
                <w:webHidden/>
              </w:rPr>
              <w:fldChar w:fldCharType="separate"/>
            </w:r>
            <w:r>
              <w:rPr>
                <w:webHidden/>
              </w:rPr>
              <w:t>36</w:t>
            </w:r>
            <w:r>
              <w:rPr>
                <w:webHidden/>
              </w:rPr>
              <w:fldChar w:fldCharType="end"/>
            </w:r>
          </w:hyperlink>
        </w:p>
        <w:p w14:paraId="0350EC3B" w14:textId="179D040D" w:rsidR="00B64117" w:rsidRDefault="00B64117">
          <w:r w:rsidRPr="00DE59E1">
            <w:rPr>
              <w:rFonts w:ascii="Arial" w:hAnsi="Arial" w:cs="Arial"/>
              <w:b/>
              <w:bCs/>
            </w:rPr>
            <w:lastRenderedPageBreak/>
            <w:fldChar w:fldCharType="end"/>
          </w:r>
        </w:p>
      </w:sdtContent>
    </w:sdt>
    <w:p w14:paraId="2609D1D2" w14:textId="77777777" w:rsidR="008759DB" w:rsidRDefault="008759DB"/>
    <w:p w14:paraId="12CACD22" w14:textId="77777777" w:rsidR="00CB6783" w:rsidRPr="000C3E0E" w:rsidRDefault="00CB6783" w:rsidP="00CB6783">
      <w:pPr>
        <w:pStyle w:val="berschrift1"/>
        <w:rPr>
          <w:rFonts w:ascii="Arial" w:hAnsi="Arial" w:cs="Arial"/>
        </w:rPr>
      </w:pPr>
      <w:bookmarkStart w:id="0" w:name="_Toc42089726"/>
      <w:r w:rsidRPr="000C3E0E">
        <w:rPr>
          <w:rFonts w:ascii="Arial" w:hAnsi="Arial" w:cs="Arial"/>
        </w:rPr>
        <w:t>Abbildungsverzeichnis</w:t>
      </w:r>
      <w:bookmarkEnd w:id="0"/>
    </w:p>
    <w:p w14:paraId="092C55B1" w14:textId="77777777" w:rsidR="00CB6783" w:rsidRDefault="00CB6783" w:rsidP="00CB6783"/>
    <w:p w14:paraId="04E00D98" w14:textId="77777777" w:rsidR="00CB6783" w:rsidRPr="00FE448D" w:rsidRDefault="00CB6783" w:rsidP="00CB6783">
      <w:pPr>
        <w:rPr>
          <w:rStyle w:val="Hyperlink"/>
          <w:rFonts w:cstheme="minorHAnsi"/>
        </w:rPr>
      </w:pPr>
      <w:r w:rsidRPr="00FE448D">
        <w:rPr>
          <w:rFonts w:cstheme="minorHAnsi"/>
        </w:rPr>
        <w:t xml:space="preserve">1. </w:t>
      </w:r>
      <w:r w:rsidRPr="00FE448D">
        <w:rPr>
          <w:rFonts w:cstheme="minorHAnsi"/>
          <w:color w:val="000000"/>
          <w:shd w:val="clear" w:color="auto" w:fill="FFFFFF"/>
        </w:rPr>
        <w:t xml:space="preserve">Schwenke. (2019, Oktober 1). Cookie-Einwilligung Banner [Screenshot]. Abgerufen 15. April 2020 von </w:t>
      </w:r>
      <w:hyperlink r:id="rId9" w:history="1">
        <w:r w:rsidRPr="00FE448D">
          <w:rPr>
            <w:rStyle w:val="Hyperlink"/>
            <w:rFonts w:cstheme="minorHAnsi"/>
            <w:shd w:val="clear" w:color="auto" w:fill="FFFFFF"/>
          </w:rPr>
          <w:t>https://datenschutz-generator.de/eugh-cookie-einwilligung-banner-detailinformationen-pflicht/</w:t>
        </w:r>
      </w:hyperlink>
      <w:r w:rsidRPr="00FE448D">
        <w:rPr>
          <w:rFonts w:cstheme="minorHAnsi"/>
          <w:color w:val="000000"/>
          <w:shd w:val="clear" w:color="auto" w:fill="FFFFFF"/>
        </w:rPr>
        <w:t xml:space="preserve"> </w:t>
      </w:r>
    </w:p>
    <w:p w14:paraId="22762CBA" w14:textId="77777777" w:rsidR="00CB6783" w:rsidRPr="00FE448D" w:rsidRDefault="00CB6783" w:rsidP="00CB6783">
      <w:pPr>
        <w:rPr>
          <w:rFonts w:cstheme="minorHAnsi"/>
        </w:rPr>
      </w:pPr>
      <w:r w:rsidRPr="00FE448D">
        <w:rPr>
          <w:rFonts w:cstheme="minorHAnsi"/>
        </w:rPr>
        <w:t xml:space="preserve">2. </w:t>
      </w:r>
      <w:r w:rsidRPr="00FE448D">
        <w:rPr>
          <w:rFonts w:cstheme="minorHAnsi"/>
          <w:color w:val="000000"/>
          <w:shd w:val="clear" w:color="auto" w:fill="FFFFFF"/>
        </w:rPr>
        <w:t>Deutscher. (2019, Dezember 20). Double-</w:t>
      </w:r>
      <w:proofErr w:type="spellStart"/>
      <w:r w:rsidRPr="00FE448D">
        <w:rPr>
          <w:rFonts w:cstheme="minorHAnsi"/>
          <w:color w:val="000000"/>
          <w:shd w:val="clear" w:color="auto" w:fill="FFFFFF"/>
        </w:rPr>
        <w:t>Opt</w:t>
      </w:r>
      <w:proofErr w:type="spellEnd"/>
      <w:r w:rsidRPr="00FE448D">
        <w:rPr>
          <w:rFonts w:cstheme="minorHAnsi"/>
          <w:color w:val="000000"/>
          <w:shd w:val="clear" w:color="auto" w:fill="FFFFFF"/>
        </w:rPr>
        <w:t xml:space="preserve">-In mit Bestätigungsmail [Screenshot]. Abgerufen 15. April 2020 von </w:t>
      </w:r>
      <w:hyperlink r:id="rId10" w:anchor="outer-wrap" w:history="1">
        <w:r w:rsidRPr="00FE448D">
          <w:rPr>
            <w:rStyle w:val="Hyperlink"/>
            <w:rFonts w:cstheme="minorHAnsi"/>
            <w:shd w:val="clear" w:color="auto" w:fill="FFFFFF"/>
          </w:rPr>
          <w:t>https://www.clickeffect.de/google-analytics-dsgvo-konform-einbinden/#outer-wrap</w:t>
        </w:r>
      </w:hyperlink>
      <w:r w:rsidRPr="00FE448D">
        <w:rPr>
          <w:rFonts w:cstheme="minorHAnsi"/>
          <w:color w:val="000000"/>
          <w:shd w:val="clear" w:color="auto" w:fill="FFFFFF"/>
        </w:rPr>
        <w:t xml:space="preserve"> </w:t>
      </w:r>
    </w:p>
    <w:p w14:paraId="2A9EB15D" w14:textId="77777777" w:rsidR="00CB6783" w:rsidRPr="00FE448D" w:rsidRDefault="00CB6783" w:rsidP="00CB6783">
      <w:pPr>
        <w:rPr>
          <w:rFonts w:cstheme="minorHAnsi"/>
        </w:rPr>
      </w:pPr>
      <w:r w:rsidRPr="00FE448D">
        <w:rPr>
          <w:rFonts w:cstheme="minorHAnsi"/>
        </w:rPr>
        <w:t xml:space="preserve">3. </w:t>
      </w:r>
      <w:r w:rsidRPr="00FE448D">
        <w:rPr>
          <w:rFonts w:cstheme="minorHAnsi"/>
          <w:color w:val="000000"/>
          <w:shd w:val="clear" w:color="auto" w:fill="FFFFFF"/>
        </w:rPr>
        <w:t>Deutscher. (2019, Dezember 20). </w:t>
      </w:r>
      <w:r w:rsidRPr="00FE448D">
        <w:rPr>
          <w:rFonts w:cstheme="minorHAnsi"/>
          <w:lang w:val="de-DE"/>
        </w:rPr>
        <w:t>Speichereinstellungen der Aufbewahrung der Daten mittels Google Analytics</w:t>
      </w:r>
      <w:r w:rsidRPr="00FE448D">
        <w:rPr>
          <w:rFonts w:cstheme="minorHAnsi"/>
          <w:color w:val="000000"/>
          <w:shd w:val="clear" w:color="auto" w:fill="FFFFFF"/>
        </w:rPr>
        <w:t xml:space="preserve"> [Screenshot]. Abgerufen 15. April 2020 von </w:t>
      </w:r>
      <w:hyperlink r:id="rId11" w:anchor="outer-wrap" w:history="1">
        <w:r w:rsidRPr="00FE448D">
          <w:rPr>
            <w:rStyle w:val="Hyperlink"/>
            <w:rFonts w:cstheme="minorHAnsi"/>
            <w:shd w:val="clear" w:color="auto" w:fill="FFFFFF"/>
          </w:rPr>
          <w:t>https://www.clickeffect.de/google-analytics-dsgvo-konform-einbinden/#outer-wrap</w:t>
        </w:r>
      </w:hyperlink>
    </w:p>
    <w:p w14:paraId="250715CD" w14:textId="77777777" w:rsidR="00CB6783" w:rsidRPr="00FE448D" w:rsidRDefault="00CB6783" w:rsidP="00CB6783">
      <w:pPr>
        <w:rPr>
          <w:rFonts w:cstheme="minorHAnsi"/>
        </w:rPr>
      </w:pPr>
      <w:r w:rsidRPr="00FE448D">
        <w:rPr>
          <w:rFonts w:cstheme="minorHAnsi"/>
        </w:rPr>
        <w:t xml:space="preserve">4. </w:t>
      </w:r>
      <w:r w:rsidRPr="00FE448D">
        <w:rPr>
          <w:rFonts w:cstheme="minorHAnsi"/>
          <w:color w:val="000000"/>
          <w:shd w:val="clear" w:color="auto" w:fill="FFFFFF"/>
        </w:rPr>
        <w:t xml:space="preserve">Ausschnitt Datenschutzerklärung Google Analytics. (o. J.). [Screenshot]. Abgerufen 15. April 2020 von </w:t>
      </w:r>
      <w:hyperlink r:id="rId12" w:history="1">
        <w:r w:rsidRPr="00D21A12">
          <w:rPr>
            <w:rStyle w:val="Hyperlink"/>
            <w:rFonts w:cstheme="minorHAnsi"/>
            <w:shd w:val="clear" w:color="auto" w:fill="FFFFFF"/>
          </w:rPr>
          <w:t>https://www.jusline.at/datenschutzerklaerung</w:t>
        </w:r>
      </w:hyperlink>
      <w:r>
        <w:rPr>
          <w:rFonts w:cstheme="minorHAnsi"/>
          <w:color w:val="000000"/>
          <w:shd w:val="clear" w:color="auto" w:fill="FFFFFF"/>
        </w:rPr>
        <w:t xml:space="preserve"> </w:t>
      </w:r>
      <w:r w:rsidRPr="00FE448D">
        <w:rPr>
          <w:rFonts w:cstheme="minorHAnsi"/>
        </w:rPr>
        <w:t xml:space="preserve"> </w:t>
      </w:r>
      <w:r>
        <w:rPr>
          <w:rFonts w:cstheme="minorHAnsi"/>
        </w:rPr>
        <w:t xml:space="preserve">   </w:t>
      </w:r>
    </w:p>
    <w:p w14:paraId="06AFD633" w14:textId="22B91182" w:rsidR="00694BBB" w:rsidRDefault="00694BBB"/>
    <w:p w14:paraId="30E17DCC" w14:textId="656A2BCE" w:rsidR="004B62D7" w:rsidRDefault="004B62D7">
      <w:r>
        <w:br w:type="page"/>
      </w:r>
    </w:p>
    <w:p w14:paraId="72D9294C" w14:textId="77777777" w:rsidR="00AC3930" w:rsidRDefault="00AC3930" w:rsidP="00673E8F">
      <w:pPr>
        <w:pStyle w:val="berschrift1"/>
        <w:pBdr>
          <w:bottom w:val="single" w:sz="4" w:space="1" w:color="auto"/>
        </w:pBdr>
        <w:jc w:val="both"/>
        <w:rPr>
          <w:rFonts w:ascii="Arial" w:hAnsi="Arial" w:cs="Arial"/>
        </w:rPr>
      </w:pPr>
      <w:bookmarkStart w:id="1" w:name="_Toc42089727"/>
      <w:r w:rsidRPr="00AC3930">
        <w:rPr>
          <w:rFonts w:ascii="Arial" w:hAnsi="Arial" w:cs="Arial"/>
        </w:rPr>
        <w:lastRenderedPageBreak/>
        <w:t>1 Einleitung</w:t>
      </w:r>
      <w:bookmarkEnd w:id="1"/>
    </w:p>
    <w:p w14:paraId="33A6983C" w14:textId="77777777" w:rsidR="00AC3930" w:rsidRDefault="00AC3930" w:rsidP="00AC3930">
      <w:pPr>
        <w:pStyle w:val="berschrift1"/>
        <w:jc w:val="both"/>
        <w:rPr>
          <w:rFonts w:ascii="Arial" w:hAnsi="Arial" w:cs="Arial"/>
        </w:rPr>
      </w:pPr>
    </w:p>
    <w:p w14:paraId="0F72EA0F" w14:textId="77777777" w:rsidR="009B4C83" w:rsidRDefault="00022F0E" w:rsidP="00022F0E">
      <w:pPr>
        <w:spacing w:line="360" w:lineRule="auto"/>
        <w:jc w:val="both"/>
        <w:rPr>
          <w:rFonts w:ascii="Arial" w:hAnsi="Arial" w:cs="Arial"/>
        </w:rPr>
      </w:pPr>
      <w:r>
        <w:rPr>
          <w:rFonts w:ascii="Arial" w:hAnsi="Arial" w:cs="Arial"/>
        </w:rPr>
        <w:t xml:space="preserve">Auf Grund der tagtäglichen Verwendung des Internets, folglich der Umgang mit den sozialen Netzwerken stellen immer mehr Menschen ihre Informationen bewusst oder unbewusst in diese digitale Welt zur Verfügung. Diese Informationen mögen zwar im ersten Anblick harmlos erscheinen, doch für Unternehmen sind diese Daten das neue „Gold“. Auf den sozialen Netzwerken ist es möglich Einstellungen für die Privatsphäre vorzunehmen, dennoch können Unternehmen die Daten herauslesen mittels verschiedenen Algorithmen. Unabhängig von sozialen Netzwerken, vernetzt sich die Welt auch in verschiedenen Bereichen für das öffentliche Leben. Nutzer können </w:t>
      </w:r>
      <w:r w:rsidR="00C1467F">
        <w:rPr>
          <w:rFonts w:ascii="Arial" w:hAnsi="Arial" w:cs="Arial"/>
        </w:rPr>
        <w:t xml:space="preserve">beispielsweise </w:t>
      </w:r>
      <w:r>
        <w:rPr>
          <w:rFonts w:ascii="Arial" w:hAnsi="Arial" w:cs="Arial"/>
        </w:rPr>
        <w:t xml:space="preserve">einen </w:t>
      </w:r>
      <w:proofErr w:type="spellStart"/>
      <w:r>
        <w:rPr>
          <w:rFonts w:ascii="Arial" w:hAnsi="Arial" w:cs="Arial"/>
        </w:rPr>
        <w:t>FinanzOnline</w:t>
      </w:r>
      <w:proofErr w:type="spellEnd"/>
      <w:r>
        <w:rPr>
          <w:rFonts w:ascii="Arial" w:hAnsi="Arial" w:cs="Arial"/>
        </w:rPr>
        <w:t xml:space="preserve"> Account erstellen, um gewisse Prozesse beim Finanzamt zu vereinfachen, sie geben ihre Sozialversicherungsnummer her, auch wenn diese Personen auf keinem sozialen Netzwerk oder kaum andere Plattformen nutzen. Dennoch gibt es auch über diese Personen Daten. Natürlich fallen solche Informationen unter den personenbezogenen Daten, die in dieser Arbeit näher erläutert werden und somit hochsensibel sind, gibt es durchaus gewisse Risiken solche Daten im Internet zu speichern. Zusätzlich fällt auch die freie Entscheidung weg. Oft es heutzutage unumgänglich das Internet nicht zu nutzen, was natürlich auch für viele Personen viele Vorteile mit sich bringt. </w:t>
      </w:r>
    </w:p>
    <w:p w14:paraId="6EF8DC1B" w14:textId="56A34F63" w:rsidR="0099434B" w:rsidRDefault="00532DED" w:rsidP="00022F0E">
      <w:pPr>
        <w:spacing w:line="360" w:lineRule="auto"/>
        <w:jc w:val="both"/>
        <w:rPr>
          <w:rFonts w:ascii="Arial" w:hAnsi="Arial" w:cs="Arial"/>
        </w:rPr>
      </w:pPr>
      <w:r>
        <w:rPr>
          <w:rFonts w:ascii="Arial" w:hAnsi="Arial" w:cs="Arial"/>
        </w:rPr>
        <w:t xml:space="preserve">Ein großes Anliegen der europäischen Politik war bzw. ist es weiterhin noch, einen einheitlichen Rahmen des Datenschutzes zu schaffen, um so die Daten vor Angriffen oder Big-Data zu schützen. Um diese Ziele zu erreichen, benötigen private Nutzer nicht nur ein besseres Verständnis, welche Informationen veröffentlicht werden sollten, sondern auch in die Verarbeitung der Daten die Prozesse einsehen zu können, also die Verarbeitung von personenbezogen Daten transparenter zu machen. </w:t>
      </w:r>
      <w:r w:rsidR="000F7B59">
        <w:rPr>
          <w:rFonts w:ascii="Arial" w:hAnsi="Arial" w:cs="Arial"/>
        </w:rPr>
        <w:t xml:space="preserve">Weiters ist auch der Schutz der Privatsphäre ein großer Aspekt, der auch in Zukunft geschützt werden muss. </w:t>
      </w:r>
      <w:r w:rsidR="00963577">
        <w:rPr>
          <w:rFonts w:ascii="Arial" w:hAnsi="Arial" w:cs="Arial"/>
        </w:rPr>
        <w:t>Ein Grund dafür sind die Smartphones. Mit diesen Geräten kann man nahezu alles steue</w:t>
      </w:r>
      <w:r w:rsidR="00822E71">
        <w:rPr>
          <w:rFonts w:ascii="Arial" w:hAnsi="Arial" w:cs="Arial"/>
        </w:rPr>
        <w:t xml:space="preserve">rn, von Autos, Waschmaschinen oder Kaffeemaschinen. Durch diese Vernetzung, also Internet </w:t>
      </w:r>
      <w:proofErr w:type="spellStart"/>
      <w:r w:rsidR="00822E71">
        <w:rPr>
          <w:rFonts w:ascii="Arial" w:hAnsi="Arial" w:cs="Arial"/>
        </w:rPr>
        <w:t>of</w:t>
      </w:r>
      <w:proofErr w:type="spellEnd"/>
      <w:r w:rsidR="00822E71">
        <w:rPr>
          <w:rFonts w:ascii="Arial" w:hAnsi="Arial" w:cs="Arial"/>
        </w:rPr>
        <w:t xml:space="preserve"> Things, können Unternehmen ebenso Daten aus den Smartphones auslesen. Daher soll es für Nutzer möglich sein zu wissen, um welche Daten es sich handelt und sie sollten auch die Gelegenheit zu nutzen welche Daten übermittelt werden. </w:t>
      </w:r>
    </w:p>
    <w:p w14:paraId="34B51E16" w14:textId="77777777" w:rsidR="00BD4EFD" w:rsidRDefault="00A5616D" w:rsidP="00022F0E">
      <w:pPr>
        <w:spacing w:line="360" w:lineRule="auto"/>
        <w:jc w:val="both"/>
        <w:rPr>
          <w:rFonts w:ascii="Arial" w:hAnsi="Arial" w:cs="Arial"/>
        </w:rPr>
      </w:pPr>
      <w:r>
        <w:rPr>
          <w:rFonts w:ascii="Arial" w:hAnsi="Arial" w:cs="Arial"/>
        </w:rPr>
        <w:t>Ein weiterer großer Vorteil ist die Harmonisierung des Datenschutzes, wobei es einzelne Bestimmungen den Mitgliedstaaten obliegen. Folglich können auch einheitliche Bußgelder für die Verantwortlichen, also Unternehmen, Aufsichtsbehörde oder öffentliche Verwaltung, verhängt werden. Zudem werden die personenbezogenen Daten konkretisiert und erweitert.</w:t>
      </w:r>
      <w:r w:rsidR="00B11579">
        <w:rPr>
          <w:rFonts w:ascii="Arial" w:hAnsi="Arial" w:cs="Arial"/>
        </w:rPr>
        <w:t xml:space="preserve"> Das Ziel der </w:t>
      </w:r>
      <w:r w:rsidR="009424DB">
        <w:rPr>
          <w:rFonts w:ascii="Arial" w:hAnsi="Arial" w:cs="Arial"/>
        </w:rPr>
        <w:t xml:space="preserve">vorliegenden </w:t>
      </w:r>
      <w:r w:rsidR="00B11579">
        <w:rPr>
          <w:rFonts w:ascii="Arial" w:hAnsi="Arial" w:cs="Arial"/>
        </w:rPr>
        <w:t xml:space="preserve">Arbeit ist es dem Leser einen Überblick über die jeweiligen Bereiche </w:t>
      </w:r>
      <w:r w:rsidR="00B11579">
        <w:rPr>
          <w:rFonts w:ascii="Arial" w:hAnsi="Arial" w:cs="Arial"/>
        </w:rPr>
        <w:lastRenderedPageBreak/>
        <w:t xml:space="preserve">der DSGVO näherzubringen. </w:t>
      </w:r>
      <w:r w:rsidR="00C85453">
        <w:rPr>
          <w:rFonts w:ascii="Arial" w:hAnsi="Arial" w:cs="Arial"/>
        </w:rPr>
        <w:t xml:space="preserve">Vorerst werden die Strukturen und Ziele der DSGVO erläutert. Dies soll bereits die wesentlichen Aspekte und Artikel dem Leser erklären. </w:t>
      </w:r>
    </w:p>
    <w:p w14:paraId="1C7B3C05" w14:textId="080EA3F8" w:rsidR="003C24F3" w:rsidRDefault="00C85453" w:rsidP="00022F0E">
      <w:pPr>
        <w:spacing w:line="360" w:lineRule="auto"/>
        <w:jc w:val="both"/>
        <w:rPr>
          <w:rFonts w:ascii="Arial" w:hAnsi="Arial" w:cs="Arial"/>
        </w:rPr>
      </w:pPr>
      <w:r>
        <w:rPr>
          <w:rFonts w:ascii="Arial" w:hAnsi="Arial" w:cs="Arial"/>
        </w:rPr>
        <w:t xml:space="preserve">Mithilfe des </w:t>
      </w:r>
      <w:r w:rsidR="004B397B">
        <w:rPr>
          <w:rFonts w:ascii="Arial" w:hAnsi="Arial" w:cs="Arial"/>
        </w:rPr>
        <w:t>zweiten</w:t>
      </w:r>
      <w:r>
        <w:rPr>
          <w:rFonts w:ascii="Arial" w:hAnsi="Arial" w:cs="Arial"/>
        </w:rPr>
        <w:t xml:space="preserve"> Kapitels kann man die DSGVO besser strukturieren. Insbesondere werden auf die jeweiligen Prinzipien eingegangen, die in der DSGVO eine große Bedeutung haben. Im nächsten Kapitel werden die Pflichten der Verantwortlichen erläutert. </w:t>
      </w:r>
      <w:r w:rsidR="009720DD">
        <w:rPr>
          <w:rFonts w:ascii="Arial" w:hAnsi="Arial" w:cs="Arial"/>
        </w:rPr>
        <w:t>Dies soll sowohl einem privaten Nutzer dabei unterstützen, welche Vorgaben</w:t>
      </w:r>
      <w:r w:rsidR="00A73372">
        <w:rPr>
          <w:rFonts w:ascii="Arial" w:hAnsi="Arial" w:cs="Arial"/>
        </w:rPr>
        <w:t xml:space="preserve"> und Pflichten die Verantwortliche erfüllen müssen, um die Daten der Nutzer zu schützen, als auch für Verantwortliche, welche Vorgaben eingehalten werden müssen und wie diese in die unternehmermischen Prozesse umgesetzt werden können. </w:t>
      </w:r>
      <w:r w:rsidR="00FB5FE8">
        <w:rPr>
          <w:rFonts w:ascii="Arial" w:hAnsi="Arial" w:cs="Arial"/>
        </w:rPr>
        <w:t xml:space="preserve">Das vierte Kapitel </w:t>
      </w:r>
      <w:r w:rsidR="00465BC5">
        <w:rPr>
          <w:rFonts w:ascii="Arial" w:hAnsi="Arial" w:cs="Arial"/>
        </w:rPr>
        <w:t xml:space="preserve">soll dem Leser einen Praxisbezug zur DSGVO verschaffen. In diesem Kapitel wird auf besonders zwei große Aspekte eingegangen, Online-Marketinginstrumente und Big Data. </w:t>
      </w:r>
      <w:r w:rsidR="007F589A">
        <w:rPr>
          <w:rFonts w:ascii="Arial" w:hAnsi="Arial" w:cs="Arial"/>
        </w:rPr>
        <w:t xml:space="preserve">Diese zwei Aspekte werden auf Grund der tagtäglichen Berührung in dieser Arbeit näher beschrieben, auch wenn es für viele private Nutzer nur unbewusst erscheint. Daher </w:t>
      </w:r>
      <w:r w:rsidR="00A8755D">
        <w:rPr>
          <w:rFonts w:ascii="Arial" w:hAnsi="Arial" w:cs="Arial"/>
        </w:rPr>
        <w:t xml:space="preserve">soll dieses Kapitel einen Aufschluss darüber geben, welche Daten von den Unternehmen in welcher Art und wofür gesammelt werden. Weiters wird auch auf Google Analytics eingegangen, welches im operativen Marketing ein Standardprogramm bereits ist. </w:t>
      </w:r>
    </w:p>
    <w:p w14:paraId="52295F48" w14:textId="5A0E501F" w:rsidR="00A5616D" w:rsidRDefault="002A4B0F" w:rsidP="00022F0E">
      <w:pPr>
        <w:spacing w:line="360" w:lineRule="auto"/>
        <w:jc w:val="both"/>
        <w:rPr>
          <w:rFonts w:ascii="Arial" w:hAnsi="Arial" w:cs="Arial"/>
        </w:rPr>
      </w:pPr>
      <w:r>
        <w:rPr>
          <w:rFonts w:ascii="Arial" w:hAnsi="Arial" w:cs="Arial"/>
        </w:rPr>
        <w:t xml:space="preserve">Im fünften und letzten Kapitel werden die Sanktionen, Haftung und Rechtsbehelfe beschrieben, welche jeder private Nutzer bei Pflichtverletzungen seitens der Verantwortlichen angewendet werden können und welche Schritte bei einer Verletzung eingeleitet werden. </w:t>
      </w:r>
    </w:p>
    <w:p w14:paraId="72249624" w14:textId="3EEF8A35" w:rsidR="003F74A6" w:rsidRDefault="003F74A6" w:rsidP="00022F0E">
      <w:pPr>
        <w:spacing w:line="360" w:lineRule="auto"/>
        <w:jc w:val="both"/>
        <w:rPr>
          <w:rFonts w:ascii="Arial" w:hAnsi="Arial" w:cs="Arial"/>
        </w:rPr>
      </w:pPr>
      <w:r>
        <w:rPr>
          <w:rFonts w:ascii="Arial" w:hAnsi="Arial" w:cs="Arial"/>
        </w:rPr>
        <w:t xml:space="preserve">Im sechsten Kapitel soll ein Rechtvergleich zwischen der USA und EU vorgestellt werden. Dies soll dem Leser einen Überblick verschaffen, wie der Schutz der Daten in anderen Ländern geregelt ist. Zusätzlich gibt es der USA und EU ein Abkommen, welches den Datenschutz für EU-Bürger, aber auch Verpflichtungen für US-Unternehmen, beschreibt. </w:t>
      </w:r>
      <w:r w:rsidR="000A3E21">
        <w:rPr>
          <w:rFonts w:ascii="Arial" w:hAnsi="Arial" w:cs="Arial"/>
        </w:rPr>
        <w:t xml:space="preserve">Es soll dargestellt werden, wie fortgeschritten und relevant die DSGVO für die Europäische Union ist. </w:t>
      </w:r>
    </w:p>
    <w:p w14:paraId="4A2CA60C" w14:textId="22ACB4DD" w:rsidR="00CD296C" w:rsidRPr="00AC3930" w:rsidRDefault="00CD296C" w:rsidP="00022F0E">
      <w:pPr>
        <w:spacing w:line="360" w:lineRule="auto"/>
        <w:jc w:val="both"/>
      </w:pPr>
      <w:r w:rsidRPr="00AC3930">
        <w:br w:type="page"/>
      </w:r>
    </w:p>
    <w:p w14:paraId="2FCD0D0E" w14:textId="2DABB96C" w:rsidR="00694BBB" w:rsidRPr="00694BBB" w:rsidRDefault="005B757C" w:rsidP="00694BBB">
      <w:pPr>
        <w:pStyle w:val="berschrift1"/>
        <w:pBdr>
          <w:bottom w:val="single" w:sz="4" w:space="1" w:color="auto"/>
        </w:pBdr>
        <w:spacing w:line="240" w:lineRule="atLeast"/>
        <w:rPr>
          <w:rFonts w:ascii="Arial" w:hAnsi="Arial" w:cs="Arial"/>
        </w:rPr>
      </w:pPr>
      <w:bookmarkStart w:id="2" w:name="_Toc42089728"/>
      <w:r>
        <w:rPr>
          <w:rFonts w:ascii="Arial" w:hAnsi="Arial" w:cs="Arial"/>
        </w:rPr>
        <w:lastRenderedPageBreak/>
        <w:t>2</w:t>
      </w:r>
      <w:r w:rsidR="00694BBB" w:rsidRPr="00694BBB">
        <w:rPr>
          <w:rFonts w:ascii="Arial" w:hAnsi="Arial" w:cs="Arial"/>
        </w:rPr>
        <w:t xml:space="preserve"> </w:t>
      </w:r>
      <w:r w:rsidR="0087081C">
        <w:rPr>
          <w:rFonts w:ascii="Arial" w:hAnsi="Arial" w:cs="Arial"/>
        </w:rPr>
        <w:t>Struktur und Ziele der DSGVO</w:t>
      </w:r>
      <w:bookmarkEnd w:id="2"/>
    </w:p>
    <w:p w14:paraId="40D7EE9B" w14:textId="6A8935D3" w:rsidR="00694BBB" w:rsidRDefault="00694BBB" w:rsidP="00694BBB">
      <w:pPr>
        <w:spacing w:line="360" w:lineRule="auto"/>
        <w:rPr>
          <w:rFonts w:ascii="Arial" w:hAnsi="Arial" w:cs="Arial"/>
        </w:rPr>
      </w:pPr>
    </w:p>
    <w:p w14:paraId="13E126B2" w14:textId="51DA61E4" w:rsidR="0007320E" w:rsidRDefault="0007320E" w:rsidP="0007320E">
      <w:pPr>
        <w:spacing w:line="360" w:lineRule="auto"/>
        <w:jc w:val="both"/>
        <w:rPr>
          <w:rFonts w:ascii="Arial" w:hAnsi="Arial" w:cs="Arial"/>
        </w:rPr>
      </w:pPr>
      <w:r>
        <w:rPr>
          <w:rFonts w:ascii="Arial" w:hAnsi="Arial" w:cs="Arial"/>
        </w:rPr>
        <w:t xml:space="preserve">Das folgende Kapitel soll einen kurzen und präzisen Überblick über die Einführung und Historische Entwicklung der DSGVO aus der Sicht der EU und dessen Mitgliedstaaten. Weiters wird das DSG in Österreich vorgestellt. Ein weiterer </w:t>
      </w:r>
      <w:r w:rsidR="00E42061">
        <w:rPr>
          <w:rFonts w:ascii="Arial" w:hAnsi="Arial" w:cs="Arial"/>
        </w:rPr>
        <w:t>Punkt,</w:t>
      </w:r>
      <w:r>
        <w:rPr>
          <w:rFonts w:ascii="Arial" w:hAnsi="Arial" w:cs="Arial"/>
        </w:rPr>
        <w:t xml:space="preserve"> der in diesem Kapitel einen Überblick über die DSGVO geben soll</w:t>
      </w:r>
      <w:r w:rsidR="00E42061">
        <w:rPr>
          <w:rFonts w:ascii="Arial" w:hAnsi="Arial" w:cs="Arial"/>
        </w:rPr>
        <w:t>,</w:t>
      </w:r>
      <w:r>
        <w:rPr>
          <w:rFonts w:ascii="Arial" w:hAnsi="Arial" w:cs="Arial"/>
        </w:rPr>
        <w:t xml:space="preserve"> sind die Ziele und Inhalte</w:t>
      </w:r>
      <w:r w:rsidR="00CF0601">
        <w:rPr>
          <w:rFonts w:ascii="Arial" w:hAnsi="Arial" w:cs="Arial"/>
        </w:rPr>
        <w:t xml:space="preserve">. In diesem Punkt wird darauf eingegangen, welche wesentlichen Aspekte </w:t>
      </w:r>
      <w:r w:rsidR="00BA2D5C">
        <w:rPr>
          <w:rFonts w:ascii="Arial" w:hAnsi="Arial" w:cs="Arial"/>
        </w:rPr>
        <w:t>beibehalten</w:t>
      </w:r>
      <w:r w:rsidR="00CF0601">
        <w:rPr>
          <w:rFonts w:ascii="Arial" w:hAnsi="Arial" w:cs="Arial"/>
        </w:rPr>
        <w:t xml:space="preserve"> und welche durch die DSGVO eingeführt wurden.</w:t>
      </w:r>
      <w:r w:rsidR="006145B4">
        <w:rPr>
          <w:rFonts w:ascii="Arial" w:hAnsi="Arial" w:cs="Arial"/>
        </w:rPr>
        <w:t xml:space="preserve"> Am Ende des Kapitels werden die wesentlichsten Kapitel, die in der Seminararbeit behandelt werden, erklärt. </w:t>
      </w:r>
    </w:p>
    <w:p w14:paraId="1EB78A57" w14:textId="6E5E1071" w:rsidR="00694BBB" w:rsidRDefault="005B757C" w:rsidP="009864E8">
      <w:pPr>
        <w:pStyle w:val="berschrift2"/>
        <w:rPr>
          <w:rFonts w:ascii="Arial" w:hAnsi="Arial" w:cs="Arial"/>
          <w:sz w:val="28"/>
          <w:szCs w:val="28"/>
        </w:rPr>
      </w:pPr>
      <w:bookmarkStart w:id="3" w:name="_Toc42089729"/>
      <w:r>
        <w:rPr>
          <w:rFonts w:ascii="Arial" w:hAnsi="Arial" w:cs="Arial"/>
          <w:sz w:val="28"/>
          <w:szCs w:val="28"/>
        </w:rPr>
        <w:t>2</w:t>
      </w:r>
      <w:r w:rsidR="009864E8" w:rsidRPr="009864E8">
        <w:rPr>
          <w:rFonts w:ascii="Arial" w:hAnsi="Arial" w:cs="Arial"/>
          <w:sz w:val="28"/>
          <w:szCs w:val="28"/>
        </w:rPr>
        <w:t xml:space="preserve">.1 </w:t>
      </w:r>
      <w:r w:rsidR="009864E8">
        <w:rPr>
          <w:rFonts w:ascii="Arial" w:hAnsi="Arial" w:cs="Arial"/>
          <w:sz w:val="28"/>
          <w:szCs w:val="28"/>
        </w:rPr>
        <w:t>Einführung und Historische Entwicklung der DSGVO</w:t>
      </w:r>
      <w:bookmarkEnd w:id="3"/>
    </w:p>
    <w:p w14:paraId="59D5F6C2" w14:textId="00684407" w:rsidR="009864E8" w:rsidRDefault="009864E8" w:rsidP="009864E8"/>
    <w:p w14:paraId="5B5793AA" w14:textId="26E6D8BD" w:rsidR="009864E8" w:rsidRDefault="009864E8" w:rsidP="00582DA6">
      <w:pPr>
        <w:spacing w:line="360" w:lineRule="auto"/>
        <w:jc w:val="both"/>
        <w:rPr>
          <w:rFonts w:ascii="Arial" w:hAnsi="Arial" w:cs="Arial"/>
        </w:rPr>
      </w:pPr>
      <w:r>
        <w:rPr>
          <w:rFonts w:ascii="Arial" w:hAnsi="Arial" w:cs="Arial"/>
        </w:rPr>
        <w:t xml:space="preserve">Das folgende Kapitel soll einen kurzen und präzisen Überblick über die Einführung und Historische Entwicklung der DSGVO aus der Sicht der EU und dessen Mitgliedstaaten. </w:t>
      </w:r>
      <w:r w:rsidR="001735A4">
        <w:rPr>
          <w:rFonts w:ascii="Arial" w:hAnsi="Arial" w:cs="Arial"/>
        </w:rPr>
        <w:t xml:space="preserve">Weiters wird das DSG in Österreich vorgestellt.  </w:t>
      </w:r>
    </w:p>
    <w:p w14:paraId="3B0661F6" w14:textId="07E7F4B6" w:rsidR="009864E8" w:rsidRPr="009864E8" w:rsidRDefault="009864E8" w:rsidP="00582DA6">
      <w:pPr>
        <w:spacing w:line="360" w:lineRule="auto"/>
        <w:jc w:val="both"/>
        <w:rPr>
          <w:rFonts w:ascii="Arial" w:hAnsi="Arial" w:cs="Arial"/>
        </w:rPr>
      </w:pPr>
      <w:r>
        <w:rPr>
          <w:rFonts w:ascii="Arial" w:hAnsi="Arial" w:cs="Arial"/>
        </w:rPr>
        <w:t xml:space="preserve">Bereits im Jahr 1995 wurde auf europäische Ebene ein einheitliches Datenschutz-Niveau eingeführt, die „EU-Datenschutz-Richtlinie“ (Richtlinie 95/46/EG zum Schutz natürlicher Personen bei der Verarbeitung von personenbezogenen Daten und zum freien Datenverkehr). Diese Richtlinie wurde aber in den Mitgliedstaaten unterschiedlich ausgelegt, so brauchte die EU eine neue Entwicklung und Modernisierung zum europäischen Datenschutz. </w:t>
      </w:r>
      <w:r w:rsidR="00582DA6">
        <w:rPr>
          <w:rFonts w:ascii="Arial" w:hAnsi="Arial" w:cs="Arial"/>
        </w:rPr>
        <w:t xml:space="preserve">Um die benötigten Standards in jedem Mitgliedstaat gleichzustellen, verabschiedete die europäische Kommission eine EU-Datenschutzreform. Im Vergleich zur </w:t>
      </w:r>
      <w:r w:rsidR="000E4FA7">
        <w:rPr>
          <w:rFonts w:ascii="Arial" w:hAnsi="Arial" w:cs="Arial"/>
        </w:rPr>
        <w:t>Richtlinie 95/46/EG</w:t>
      </w:r>
      <w:r w:rsidR="00582DA6">
        <w:rPr>
          <w:rFonts w:ascii="Arial" w:hAnsi="Arial" w:cs="Arial"/>
        </w:rPr>
        <w:t xml:space="preserve"> musste die</w:t>
      </w:r>
      <w:r w:rsidR="00A63010">
        <w:rPr>
          <w:rFonts w:ascii="Arial" w:hAnsi="Arial" w:cs="Arial"/>
        </w:rPr>
        <w:t xml:space="preserve"> Verordnung</w:t>
      </w:r>
      <w:r w:rsidR="00582DA6">
        <w:rPr>
          <w:rFonts w:ascii="Arial" w:hAnsi="Arial" w:cs="Arial"/>
        </w:rPr>
        <w:t xml:space="preserve"> in jedem EU-Mitgliedstaat </w:t>
      </w:r>
      <w:r w:rsidR="000E4FA7">
        <w:rPr>
          <w:rFonts w:ascii="Arial" w:hAnsi="Arial" w:cs="Arial"/>
        </w:rPr>
        <w:t xml:space="preserve">unmittelbar </w:t>
      </w:r>
      <w:r w:rsidR="00582DA6">
        <w:rPr>
          <w:rFonts w:ascii="Arial" w:hAnsi="Arial" w:cs="Arial"/>
        </w:rPr>
        <w:t xml:space="preserve">in nationales Gesetz umgesetzt werden. </w:t>
      </w:r>
      <w:r w:rsidR="00A63010">
        <w:rPr>
          <w:rFonts w:ascii="Arial" w:hAnsi="Arial" w:cs="Arial"/>
        </w:rPr>
        <w:t xml:space="preserve">Dies bedeutet für die Mitgliedstaaten sie dürfen </w:t>
      </w:r>
      <w:r w:rsidR="001735A4">
        <w:rPr>
          <w:rFonts w:ascii="Arial" w:hAnsi="Arial" w:cs="Arial"/>
        </w:rPr>
        <w:t>d</w:t>
      </w:r>
      <w:r w:rsidR="00A63010">
        <w:rPr>
          <w:rFonts w:ascii="Arial" w:hAnsi="Arial" w:cs="Arial"/>
        </w:rPr>
        <w:t>ie Verordnung in gewissen Bereichen konkretisieren, aber nicht abschwächen oder verstärken. Die Verordnung gilt bereits ab dem 25.Mai.2018.</w:t>
      </w:r>
      <w:r w:rsidR="00BF7D4E">
        <w:rPr>
          <w:rStyle w:val="Funotenzeichen"/>
          <w:rFonts w:ascii="Arial" w:hAnsi="Arial" w:cs="Arial"/>
        </w:rPr>
        <w:footnoteReference w:id="1"/>
      </w:r>
      <w:r w:rsidR="00A63010">
        <w:rPr>
          <w:rFonts w:ascii="Arial" w:hAnsi="Arial" w:cs="Arial"/>
        </w:rPr>
        <w:t xml:space="preserve"> </w:t>
      </w:r>
    </w:p>
    <w:p w14:paraId="7C0A2DBD" w14:textId="12970842" w:rsidR="00E651FE" w:rsidRDefault="001D6E28" w:rsidP="008B4376">
      <w:pPr>
        <w:spacing w:line="360" w:lineRule="auto"/>
        <w:jc w:val="both"/>
        <w:rPr>
          <w:rFonts w:ascii="Arial" w:hAnsi="Arial" w:cs="Arial"/>
        </w:rPr>
      </w:pPr>
      <w:r>
        <w:rPr>
          <w:rFonts w:ascii="Arial" w:hAnsi="Arial" w:cs="Arial"/>
        </w:rPr>
        <w:t xml:space="preserve">Ab dem Jahr 2011 wurden seitens der Europäischen Kommission einen modernisierten und reformierten Vorschlag über Datenschutz vorgeschlagen. Das Ziel war natürliche Personen verstärkt von großen Unternehmen und die Privatsphäre zu schützen. Gleichzeitig wollte die Kommission einen weiteren großen Schritt in die IT-Wirtschaft Europas lenken. </w:t>
      </w:r>
      <w:r w:rsidR="00E651FE">
        <w:rPr>
          <w:rFonts w:ascii="Arial" w:hAnsi="Arial" w:cs="Arial"/>
        </w:rPr>
        <w:t>D</w:t>
      </w:r>
      <w:r>
        <w:rPr>
          <w:rFonts w:ascii="Arial" w:hAnsi="Arial" w:cs="Arial"/>
        </w:rPr>
        <w:t xml:space="preserve">ie EDSB (Europäische Datenschutzbeauftragte) </w:t>
      </w:r>
      <w:r w:rsidR="00E651FE">
        <w:rPr>
          <w:rFonts w:ascii="Arial" w:hAnsi="Arial" w:cs="Arial"/>
        </w:rPr>
        <w:t>führte daraufhin die Rechenschaftspflicht ein.</w:t>
      </w:r>
    </w:p>
    <w:p w14:paraId="2AADD49F" w14:textId="25A4E902" w:rsidR="00E651FE" w:rsidRDefault="00E651FE" w:rsidP="00E651FE">
      <w:pPr>
        <w:spacing w:line="360" w:lineRule="auto"/>
        <w:rPr>
          <w:rFonts w:ascii="Arial" w:hAnsi="Arial" w:cs="Arial"/>
          <w:i/>
          <w:iCs/>
          <w:sz w:val="20"/>
          <w:szCs w:val="20"/>
        </w:rPr>
      </w:pPr>
      <w:r w:rsidRPr="004B4D58">
        <w:rPr>
          <w:rFonts w:ascii="Arial" w:hAnsi="Arial" w:cs="Arial"/>
          <w:i/>
          <w:iCs/>
          <w:sz w:val="20"/>
          <w:szCs w:val="20"/>
        </w:rPr>
        <w:t xml:space="preserve">„Der Grundsatz der Rechenschaftspflicht besagt, dass </w:t>
      </w:r>
      <w:r w:rsidR="004B4D58" w:rsidRPr="004B4D58">
        <w:rPr>
          <w:rFonts w:ascii="Arial" w:hAnsi="Arial" w:cs="Arial"/>
          <w:i/>
          <w:iCs/>
          <w:sz w:val="20"/>
          <w:szCs w:val="20"/>
        </w:rPr>
        <w:t xml:space="preserve">Unternehmen und etwaige Dritte, diesen bei ihren Datenverarbeitungstätigkeiten helfen, in der Lage sein müssen, nachzuweisen, dass sie die </w:t>
      </w:r>
      <w:r w:rsidR="004B4D58" w:rsidRPr="004B4D58">
        <w:rPr>
          <w:rFonts w:ascii="Arial" w:hAnsi="Arial" w:cs="Arial"/>
          <w:i/>
          <w:iCs/>
          <w:sz w:val="20"/>
          <w:szCs w:val="20"/>
        </w:rPr>
        <w:lastRenderedPageBreak/>
        <w:t>Datenschutzgrundsätze befolgen. […], um belegen zu können, dass sie geeignete Maßnahmen und Schritte zur Umsetzung ihrer Pflichten angenommen haben. […].“</w:t>
      </w:r>
      <w:r w:rsidR="004B4D58" w:rsidRPr="004B4D58">
        <w:rPr>
          <w:rStyle w:val="Funotenzeichen"/>
          <w:rFonts w:ascii="Arial" w:hAnsi="Arial" w:cs="Arial"/>
          <w:i/>
          <w:iCs/>
          <w:sz w:val="20"/>
          <w:szCs w:val="20"/>
        </w:rPr>
        <w:footnoteReference w:id="2"/>
      </w:r>
    </w:p>
    <w:p w14:paraId="184BC645" w14:textId="0D36486C" w:rsidR="0090052D" w:rsidRDefault="004B4D58" w:rsidP="00101D83">
      <w:pPr>
        <w:spacing w:line="360" w:lineRule="auto"/>
        <w:jc w:val="both"/>
        <w:rPr>
          <w:rFonts w:ascii="Arial" w:hAnsi="Arial" w:cs="Arial"/>
        </w:rPr>
      </w:pPr>
      <w:r>
        <w:rPr>
          <w:rFonts w:ascii="Arial" w:hAnsi="Arial" w:cs="Arial"/>
        </w:rPr>
        <w:t>Durch die Artikel-29-Datenschutzgruppe die bei der Umsetzung der DSGVO beratend eingesetzt wurde, gab ebenfalls fundamentale Stellungsnahmen zur DSGVO ab. Die Einwilligung der betroffenen Personen, dass personenbezogene Daten verwendet werden dürfen</w:t>
      </w:r>
      <w:r w:rsidR="0090052D">
        <w:rPr>
          <w:rFonts w:ascii="Arial" w:hAnsi="Arial" w:cs="Arial"/>
        </w:rPr>
        <w:t xml:space="preserve">. </w:t>
      </w:r>
    </w:p>
    <w:p w14:paraId="768501A4" w14:textId="4C9BF0D2" w:rsidR="0090052D" w:rsidRPr="0090052D" w:rsidRDefault="0090052D" w:rsidP="00101D83">
      <w:pPr>
        <w:spacing w:line="360" w:lineRule="auto"/>
        <w:jc w:val="both"/>
        <w:rPr>
          <w:rFonts w:ascii="Arial" w:hAnsi="Arial" w:cs="Arial"/>
          <w:i/>
          <w:iCs/>
          <w:sz w:val="20"/>
          <w:szCs w:val="20"/>
        </w:rPr>
      </w:pPr>
      <w:r>
        <w:rPr>
          <w:rFonts w:ascii="Arial" w:hAnsi="Arial" w:cs="Arial"/>
          <w:i/>
          <w:iCs/>
          <w:sz w:val="20"/>
          <w:szCs w:val="20"/>
        </w:rPr>
        <w:t>„Die Einwilligung der betroffenen Personen, […], unter denen ein Unternehmen personenbezogene Daten rechtmäßig verarbeiten darf. […]. Die betroffenen Personen haben das Recht, ihre Einwilligung jederzeit zu widerrufen. […].“</w:t>
      </w:r>
      <w:r>
        <w:rPr>
          <w:rStyle w:val="Funotenzeichen"/>
          <w:rFonts w:ascii="Arial" w:hAnsi="Arial" w:cs="Arial"/>
          <w:i/>
          <w:iCs/>
          <w:sz w:val="20"/>
          <w:szCs w:val="20"/>
        </w:rPr>
        <w:footnoteReference w:id="3"/>
      </w:r>
    </w:p>
    <w:p w14:paraId="1C8C6E5F" w14:textId="77777777" w:rsidR="0090052D" w:rsidRDefault="0090052D" w:rsidP="00101D83">
      <w:pPr>
        <w:spacing w:line="360" w:lineRule="auto"/>
        <w:jc w:val="both"/>
        <w:rPr>
          <w:rFonts w:ascii="Arial" w:hAnsi="Arial" w:cs="Arial"/>
          <w:i/>
          <w:iCs/>
          <w:sz w:val="20"/>
          <w:szCs w:val="20"/>
        </w:rPr>
      </w:pPr>
      <w:r>
        <w:rPr>
          <w:rFonts w:ascii="Arial" w:hAnsi="Arial" w:cs="Arial"/>
        </w:rPr>
        <w:t>Zusätzlich die Meldung von Datenschutzverletzungen bei der Behörde.</w:t>
      </w:r>
      <w:r w:rsidRPr="0090052D">
        <w:rPr>
          <w:rFonts w:ascii="Arial" w:hAnsi="Arial" w:cs="Arial"/>
          <w:i/>
          <w:iCs/>
          <w:sz w:val="20"/>
          <w:szCs w:val="20"/>
        </w:rPr>
        <w:t xml:space="preserve"> </w:t>
      </w:r>
    </w:p>
    <w:p w14:paraId="754B70E8" w14:textId="0C394C71" w:rsidR="0090052D" w:rsidRPr="0090052D" w:rsidRDefault="0090052D" w:rsidP="00101D83">
      <w:pPr>
        <w:spacing w:line="360" w:lineRule="auto"/>
        <w:jc w:val="both"/>
        <w:rPr>
          <w:rFonts w:ascii="Arial" w:hAnsi="Arial" w:cs="Arial"/>
          <w:i/>
          <w:iCs/>
          <w:sz w:val="20"/>
          <w:szCs w:val="20"/>
        </w:rPr>
      </w:pPr>
      <w:r>
        <w:rPr>
          <w:rFonts w:ascii="Arial" w:hAnsi="Arial" w:cs="Arial"/>
          <w:i/>
          <w:iCs/>
          <w:sz w:val="20"/>
          <w:szCs w:val="20"/>
        </w:rPr>
        <w:t>„Die Unternehmen müssen ihrer Datenschutzbehörde Datenschutzverletzungen binnen 72 Stunden melden, […].“</w:t>
      </w:r>
      <w:r>
        <w:rPr>
          <w:rStyle w:val="Funotenzeichen"/>
          <w:rFonts w:ascii="Arial" w:hAnsi="Arial" w:cs="Arial"/>
          <w:i/>
          <w:iCs/>
          <w:sz w:val="20"/>
          <w:szCs w:val="20"/>
        </w:rPr>
        <w:footnoteReference w:id="4"/>
      </w:r>
    </w:p>
    <w:p w14:paraId="4EC0BDB3" w14:textId="737DEB65" w:rsidR="0065743D" w:rsidRDefault="0065743D" w:rsidP="00101D83">
      <w:pPr>
        <w:spacing w:line="360" w:lineRule="auto"/>
        <w:jc w:val="both"/>
        <w:rPr>
          <w:rFonts w:ascii="Arial" w:hAnsi="Arial" w:cs="Arial"/>
        </w:rPr>
      </w:pPr>
      <w:r>
        <w:rPr>
          <w:rFonts w:ascii="Arial" w:hAnsi="Arial" w:cs="Arial"/>
        </w:rPr>
        <w:t>Die Aritkel-29-Datenschutzgruppe wurde nachdem die DSGVO verabschiedet wurde durch den Europäischen Datenschutzausschuss ersetzt.</w:t>
      </w:r>
      <w:r>
        <w:rPr>
          <w:rStyle w:val="Funotenzeichen"/>
          <w:rFonts w:ascii="Arial" w:hAnsi="Arial" w:cs="Arial"/>
        </w:rPr>
        <w:footnoteReference w:id="5"/>
      </w:r>
    </w:p>
    <w:p w14:paraId="10C50505" w14:textId="4EE2EC46" w:rsidR="009864E8" w:rsidRDefault="001735A4" w:rsidP="00101D83">
      <w:pPr>
        <w:spacing w:line="360" w:lineRule="auto"/>
        <w:jc w:val="both"/>
        <w:rPr>
          <w:rFonts w:ascii="Arial" w:hAnsi="Arial" w:cs="Arial"/>
        </w:rPr>
      </w:pPr>
      <w:r>
        <w:rPr>
          <w:rFonts w:ascii="Arial" w:hAnsi="Arial" w:cs="Arial"/>
        </w:rPr>
        <w:t xml:space="preserve">In Österreich </w:t>
      </w:r>
      <w:r w:rsidR="00BF7D4E">
        <w:rPr>
          <w:rFonts w:ascii="Arial" w:hAnsi="Arial" w:cs="Arial"/>
        </w:rPr>
        <w:t xml:space="preserve">wird der Datenschutz mit Hilfe der DSG und DSGVO geregelt. </w:t>
      </w:r>
      <w:r w:rsidR="00A906B7">
        <w:rPr>
          <w:rFonts w:ascii="Arial" w:hAnsi="Arial" w:cs="Arial"/>
        </w:rPr>
        <w:t xml:space="preserve">Bereits im Jahr 1978 wurde das erste Datenschutzgesetz verabschiedet und gleichzeitig führte der Staat eine eigene Behörde dazu ein. </w:t>
      </w:r>
      <w:r w:rsidR="005E06C2">
        <w:rPr>
          <w:rFonts w:ascii="Arial" w:hAnsi="Arial" w:cs="Arial"/>
        </w:rPr>
        <w:t xml:space="preserve">Das DSG umfasst personenbezogene Daten, sensible Daten und die Zustimmung. Durch den Eintritt in die EU 1994 war Österreich bereits auf die Umsetzung der damals noch geltenden </w:t>
      </w:r>
      <w:r w:rsidR="00490FA6">
        <w:rPr>
          <w:rFonts w:ascii="Arial" w:hAnsi="Arial" w:cs="Arial"/>
        </w:rPr>
        <w:t xml:space="preserve">Datenschutz-Richtlinie vorbereitet und diese unabhängig von anderen Mitgliedstaaten auslegen. </w:t>
      </w:r>
      <w:r w:rsidR="00490FA6">
        <w:rPr>
          <w:rStyle w:val="Funotenzeichen"/>
          <w:rFonts w:ascii="Arial" w:hAnsi="Arial" w:cs="Arial"/>
        </w:rPr>
        <w:footnoteReference w:id="6"/>
      </w:r>
    </w:p>
    <w:p w14:paraId="7E0CDF64" w14:textId="6F6B9A52" w:rsidR="00490FA6" w:rsidRDefault="005B757C" w:rsidP="00852A66">
      <w:pPr>
        <w:pStyle w:val="berschrift2"/>
        <w:rPr>
          <w:rFonts w:ascii="Arial" w:hAnsi="Arial" w:cs="Arial"/>
          <w:sz w:val="28"/>
          <w:szCs w:val="28"/>
        </w:rPr>
      </w:pPr>
      <w:bookmarkStart w:id="4" w:name="_Toc42089730"/>
      <w:r>
        <w:rPr>
          <w:rFonts w:ascii="Arial" w:hAnsi="Arial" w:cs="Arial"/>
          <w:sz w:val="28"/>
          <w:szCs w:val="28"/>
        </w:rPr>
        <w:t>2</w:t>
      </w:r>
      <w:r w:rsidR="00852A66" w:rsidRPr="00852A66">
        <w:rPr>
          <w:rFonts w:ascii="Arial" w:hAnsi="Arial" w:cs="Arial"/>
          <w:sz w:val="28"/>
          <w:szCs w:val="28"/>
        </w:rPr>
        <w:t>.2 Ziele und Inhalte der DSGVO</w:t>
      </w:r>
      <w:bookmarkEnd w:id="4"/>
    </w:p>
    <w:p w14:paraId="6AA7D90D" w14:textId="443EBF02" w:rsidR="00852A66" w:rsidRDefault="00852A66" w:rsidP="00852A66"/>
    <w:p w14:paraId="73471D23" w14:textId="77777777" w:rsidR="004355E0" w:rsidRDefault="00852A66" w:rsidP="00101D83">
      <w:pPr>
        <w:spacing w:line="360" w:lineRule="auto"/>
        <w:jc w:val="both"/>
        <w:rPr>
          <w:rFonts w:ascii="Arial" w:hAnsi="Arial" w:cs="Arial"/>
        </w:rPr>
      </w:pPr>
      <w:r>
        <w:rPr>
          <w:rFonts w:ascii="Arial" w:hAnsi="Arial" w:cs="Arial"/>
        </w:rPr>
        <w:t xml:space="preserve">Grundsätzlich war das wesentliche Ziel der Schutz der Grundrechte in den Grundfreiheiten zu erhalten. Weiters war die Vereinheitlichung des Datenschutzes auf europäischer Ebene ein großes Anliegen der Mitgliedstaaten, da die vorherige Richtlinie individuell ausgelegt wurde. Durch die vielen neuen Entwicklungen und insbesondere dem rasanten Anstieg des E-Commerce war die EU nahezu verpflichtet den Datenschutz zu reformieren und sensible Bereiche zu konkretisieren. Durch den Anstieg des E-Commerce </w:t>
      </w:r>
      <w:r w:rsidR="0007320E">
        <w:rPr>
          <w:rFonts w:ascii="Arial" w:hAnsi="Arial" w:cs="Arial"/>
        </w:rPr>
        <w:t xml:space="preserve">soll auch die DSGVO Privatpersonen einen Schutz gewährleisten. Insbesondere beim Schutz der personenbezogenen Daten wurde der Anwendungsbereich erweitert. Dieser umfasst sowohl </w:t>
      </w:r>
      <w:r w:rsidR="0007320E">
        <w:rPr>
          <w:rFonts w:ascii="Arial" w:hAnsi="Arial" w:cs="Arial"/>
        </w:rPr>
        <w:lastRenderedPageBreak/>
        <w:t>Unternehmen als auch Anfragen aus Drittländern, die die Vorgaben der DSGVO einhalten müssen.</w:t>
      </w:r>
    </w:p>
    <w:p w14:paraId="327C3AFC" w14:textId="77777777" w:rsidR="001A2FA2" w:rsidRDefault="00CF0601" w:rsidP="00101D83">
      <w:pPr>
        <w:spacing w:line="360" w:lineRule="auto"/>
        <w:jc w:val="both"/>
        <w:rPr>
          <w:rFonts w:ascii="Arial" w:hAnsi="Arial" w:cs="Arial"/>
        </w:rPr>
      </w:pPr>
      <w:r>
        <w:rPr>
          <w:rFonts w:ascii="Arial" w:hAnsi="Arial" w:cs="Arial"/>
        </w:rPr>
        <w:t xml:space="preserve"> Ein weiteres Kriterium ist die Einwilligung der Verarbeitung der Daten mit Hilfe von Cookies. Diese Einwilligung wurde ebenfalls erweitert und die Vorgaben für die Unternehmen verschärft. Die Einwilligung muss inhaltlich bestimmt und der Privatperson bereits beim Abruf der Website ersichtlich sein, wie zum Beispiel durch ein Kontrollkästchen oder eine Auswahl der spezifischen Einstellungen der Cookies. </w:t>
      </w:r>
      <w:r w:rsidR="00194041">
        <w:rPr>
          <w:rFonts w:ascii="Arial" w:hAnsi="Arial" w:cs="Arial"/>
        </w:rPr>
        <w:t xml:space="preserve">Im Vergleich zur älteren Richtlinie ist eine </w:t>
      </w:r>
      <w:proofErr w:type="gramStart"/>
      <w:r w:rsidR="00194041">
        <w:rPr>
          <w:rFonts w:ascii="Arial" w:hAnsi="Arial" w:cs="Arial"/>
        </w:rPr>
        <w:t>stillschweigende</w:t>
      </w:r>
      <w:proofErr w:type="gramEnd"/>
      <w:r w:rsidR="00194041">
        <w:rPr>
          <w:rFonts w:ascii="Arial" w:hAnsi="Arial" w:cs="Arial"/>
        </w:rPr>
        <w:t xml:space="preserve"> Annahme der Einstellungen zur Datenverarbeitung nicht mehr gültig. Zusätzlich kann die Person die Einstellungen jederzeit und ohne Grund widerrufen. </w:t>
      </w:r>
    </w:p>
    <w:p w14:paraId="36329029" w14:textId="120A5C1B" w:rsidR="00852A66" w:rsidRPr="00852A66" w:rsidRDefault="00194041" w:rsidP="00101D83">
      <w:pPr>
        <w:spacing w:line="360" w:lineRule="auto"/>
        <w:jc w:val="both"/>
        <w:rPr>
          <w:rFonts w:ascii="Arial" w:hAnsi="Arial" w:cs="Arial"/>
        </w:rPr>
      </w:pPr>
      <w:r>
        <w:rPr>
          <w:rFonts w:ascii="Arial" w:hAnsi="Arial" w:cs="Arial"/>
        </w:rPr>
        <w:t xml:space="preserve">Bei den Einstellungen können von der Privatperson spezifische Einstellungen zur Datenverarbeitung vorgenommen werden, zum Beispiel. Cookies für Marketing oder Statistik. </w:t>
      </w:r>
      <w:r w:rsidR="00483A40">
        <w:rPr>
          <w:rFonts w:ascii="Arial" w:hAnsi="Arial" w:cs="Arial"/>
        </w:rPr>
        <w:t xml:space="preserve">Daher müssen die einzelnen Zwecke der Cookies beim Abruf der Website unter den Einstellungen sofort ersichtlich sein. </w:t>
      </w:r>
      <w:r w:rsidR="002649A7">
        <w:rPr>
          <w:rFonts w:ascii="Arial" w:hAnsi="Arial" w:cs="Arial"/>
        </w:rPr>
        <w:t xml:space="preserve">Bei den Einstellungen müssen Unternehmen eine nachvollziehbare Erklärung zu der Datenverarbeitung geben. Somit soll den Personen ein Auskunftsrecht der verarbeiteten Daten gewährleistet werden. Ein sehr wesentlicher Aspekt des </w:t>
      </w:r>
      <w:r w:rsidR="00CC247A">
        <w:rPr>
          <w:rFonts w:ascii="Arial" w:hAnsi="Arial" w:cs="Arial"/>
        </w:rPr>
        <w:t>EU-Datenschutz,</w:t>
      </w:r>
      <w:r w:rsidR="002649A7">
        <w:rPr>
          <w:rFonts w:ascii="Arial" w:hAnsi="Arial" w:cs="Arial"/>
        </w:rPr>
        <w:t xml:space="preserve"> </w:t>
      </w:r>
      <w:r w:rsidR="00BA2D5C">
        <w:rPr>
          <w:rFonts w:ascii="Arial" w:hAnsi="Arial" w:cs="Arial"/>
        </w:rPr>
        <w:t xml:space="preserve">der von der Richtlinie übernommen wurde, </w:t>
      </w:r>
      <w:r w:rsidR="002649A7">
        <w:rPr>
          <w:rFonts w:ascii="Arial" w:hAnsi="Arial" w:cs="Arial"/>
        </w:rPr>
        <w:t>ist die Verarbeitung besonders sensibler personenbezogenen Daten. Diese benötigen eine entsprechende Einwilligung der Person.</w:t>
      </w:r>
      <w:r w:rsidR="00CC247A">
        <w:rPr>
          <w:rStyle w:val="Funotenzeichen"/>
          <w:rFonts w:ascii="Arial" w:hAnsi="Arial" w:cs="Arial"/>
        </w:rPr>
        <w:footnoteReference w:id="7"/>
      </w:r>
      <w:r w:rsidR="002649A7">
        <w:rPr>
          <w:rFonts w:ascii="Arial" w:hAnsi="Arial" w:cs="Arial"/>
        </w:rPr>
        <w:t xml:space="preserve"> </w:t>
      </w:r>
    </w:p>
    <w:p w14:paraId="7BDBE2FD" w14:textId="05D97770" w:rsidR="000E6E2E" w:rsidRDefault="005B757C" w:rsidP="000E6E2E">
      <w:pPr>
        <w:pStyle w:val="berschrift2"/>
        <w:rPr>
          <w:rFonts w:ascii="Arial" w:hAnsi="Arial" w:cs="Arial"/>
          <w:sz w:val="28"/>
          <w:szCs w:val="28"/>
        </w:rPr>
      </w:pPr>
      <w:bookmarkStart w:id="5" w:name="_Toc42089731"/>
      <w:r>
        <w:rPr>
          <w:rFonts w:ascii="Arial" w:hAnsi="Arial" w:cs="Arial"/>
          <w:sz w:val="28"/>
          <w:szCs w:val="28"/>
        </w:rPr>
        <w:t>2</w:t>
      </w:r>
      <w:r w:rsidR="000E6E2E" w:rsidRPr="000E6E2E">
        <w:rPr>
          <w:rFonts w:ascii="Arial" w:hAnsi="Arial" w:cs="Arial"/>
          <w:sz w:val="28"/>
          <w:szCs w:val="28"/>
        </w:rPr>
        <w:t xml:space="preserve">.3 </w:t>
      </w:r>
      <w:r w:rsidR="00931102">
        <w:rPr>
          <w:rFonts w:ascii="Arial" w:hAnsi="Arial" w:cs="Arial"/>
          <w:sz w:val="28"/>
          <w:szCs w:val="28"/>
        </w:rPr>
        <w:t>Personenbezogene Daten</w:t>
      </w:r>
      <w:bookmarkEnd w:id="5"/>
    </w:p>
    <w:p w14:paraId="61A748E0" w14:textId="69A396A9" w:rsidR="00931102" w:rsidRDefault="00931102" w:rsidP="00931102"/>
    <w:p w14:paraId="43D7B0B4" w14:textId="65AF0924" w:rsidR="00931102" w:rsidRPr="00931102" w:rsidRDefault="00931102" w:rsidP="004A3F61">
      <w:pPr>
        <w:spacing w:line="360" w:lineRule="auto"/>
        <w:jc w:val="both"/>
        <w:rPr>
          <w:rFonts w:ascii="Arial" w:hAnsi="Arial" w:cs="Arial"/>
        </w:rPr>
      </w:pPr>
      <w:r w:rsidRPr="00931102">
        <w:rPr>
          <w:rFonts w:ascii="Arial" w:hAnsi="Arial" w:cs="Arial"/>
        </w:rPr>
        <w:t xml:space="preserve">Dieser Unterpunkt soll dem Leser den Begriff personenbezogene Daten näher erläutern. Insbesondere die rechtliche Auslegung und Umfang dieses Begriffes. Dies soll dem Leser für die weiteren Kapitel unterstützen. </w:t>
      </w:r>
      <w:r w:rsidR="00E66DF0">
        <w:rPr>
          <w:rFonts w:ascii="Arial" w:hAnsi="Arial" w:cs="Arial"/>
        </w:rPr>
        <w:t xml:space="preserve">Außerdem wird kurz auf die besondere Kategorie der personenbezogenen Daten eingegangen. </w:t>
      </w:r>
    </w:p>
    <w:p w14:paraId="1FFF6296" w14:textId="42A17F1E" w:rsidR="00107339" w:rsidRDefault="00107339" w:rsidP="00107339">
      <w:pPr>
        <w:spacing w:line="360" w:lineRule="auto"/>
        <w:jc w:val="both"/>
        <w:rPr>
          <w:rFonts w:ascii="Arial" w:hAnsi="Arial" w:cs="Arial"/>
        </w:rPr>
      </w:pPr>
      <w:r>
        <w:rPr>
          <w:rFonts w:ascii="Arial" w:hAnsi="Arial" w:cs="Arial"/>
        </w:rPr>
        <w:t>Die DSGVO verfolgt sieben Grundprinzipien.</w:t>
      </w:r>
      <w:r w:rsidR="00A2650B">
        <w:rPr>
          <w:rFonts w:ascii="Arial" w:hAnsi="Arial" w:cs="Arial"/>
        </w:rPr>
        <w:t xml:space="preserve"> Diese Grundprinzipien dienen der Speicherung und Verarbeitung der personenbezogenen Daten. Nach DSGVO Art .4 Nr. 1 sind personenbezogene Daten</w:t>
      </w:r>
    </w:p>
    <w:p w14:paraId="48966855" w14:textId="61FBB8E6" w:rsidR="00A2650B" w:rsidRPr="00A2650B" w:rsidRDefault="003D384B" w:rsidP="00107339">
      <w:pPr>
        <w:spacing w:line="360" w:lineRule="auto"/>
        <w:jc w:val="both"/>
        <w:rPr>
          <w:rFonts w:ascii="Arial" w:hAnsi="Arial" w:cs="Arial"/>
          <w:i/>
          <w:iCs/>
          <w:sz w:val="20"/>
          <w:szCs w:val="20"/>
        </w:rPr>
      </w:pPr>
      <w:r w:rsidRPr="003D384B">
        <w:rPr>
          <w:rFonts w:ascii="Arial" w:hAnsi="Arial" w:cs="Arial"/>
          <w:i/>
          <w:iCs/>
        </w:rPr>
        <w:t>„</w:t>
      </w:r>
      <w:r w:rsidRPr="003D384B">
        <w:rPr>
          <w:rStyle w:val="Fett"/>
          <w:rFonts w:ascii="Arial" w:hAnsi="Arial" w:cs="Arial"/>
          <w:b w:val="0"/>
          <w:bCs w:val="0"/>
          <w:i/>
          <w:iCs/>
          <w:color w:val="1A1A1A"/>
          <w:shd w:val="clear" w:color="auto" w:fill="FFFFFF"/>
        </w:rPr>
        <w:t>"personenbezogene Daten"</w:t>
      </w:r>
      <w:r w:rsidRPr="003D384B">
        <w:rPr>
          <w:rFonts w:ascii="Arial" w:hAnsi="Arial" w:cs="Arial"/>
          <w:b/>
          <w:bCs/>
          <w:i/>
          <w:iCs/>
          <w:color w:val="1A1A1A"/>
          <w:shd w:val="clear" w:color="auto" w:fill="FFFFFF"/>
        </w:rPr>
        <w:t> </w:t>
      </w:r>
      <w:r w:rsidRPr="003D384B">
        <w:rPr>
          <w:rFonts w:ascii="Arial" w:hAnsi="Arial" w:cs="Arial"/>
          <w:i/>
          <w:iCs/>
          <w:color w:val="1A1A1A"/>
          <w:shd w:val="clear" w:color="auto" w:fill="FFFFFF"/>
        </w:rPr>
        <w:t>alle Informationen, die sich auf eine identifizierte oder identifizierbare natürliche Person (im Folgenden </w:t>
      </w:r>
      <w:r w:rsidRPr="003D384B">
        <w:rPr>
          <w:rStyle w:val="Fett"/>
          <w:rFonts w:ascii="Arial" w:hAnsi="Arial" w:cs="Arial"/>
          <w:b w:val="0"/>
          <w:bCs w:val="0"/>
          <w:i/>
          <w:iCs/>
          <w:color w:val="1A1A1A"/>
          <w:shd w:val="clear" w:color="auto" w:fill="FFFFFF"/>
        </w:rPr>
        <w:t>"betroffene Person"</w:t>
      </w:r>
      <w:r w:rsidRPr="003D384B">
        <w:rPr>
          <w:rFonts w:ascii="Arial" w:hAnsi="Arial" w:cs="Arial"/>
          <w:b/>
          <w:bCs/>
          <w:i/>
          <w:iCs/>
          <w:color w:val="1A1A1A"/>
          <w:shd w:val="clear" w:color="auto" w:fill="FFFFFF"/>
        </w:rPr>
        <w:t>)</w:t>
      </w:r>
      <w:r w:rsidRPr="003D384B">
        <w:rPr>
          <w:rFonts w:ascii="Arial" w:hAnsi="Arial" w:cs="Arial"/>
          <w:i/>
          <w:iCs/>
          <w:color w:val="1A1A1A"/>
          <w:shd w:val="clear" w:color="auto" w:fill="FFFFFF"/>
        </w:rPr>
        <w:t xml:space="preserve">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w:t>
      </w:r>
      <w:r w:rsidRPr="003D384B">
        <w:rPr>
          <w:rFonts w:ascii="Arial" w:hAnsi="Arial" w:cs="Arial"/>
          <w:i/>
          <w:iCs/>
          <w:color w:val="1A1A1A"/>
          <w:shd w:val="clear" w:color="auto" w:fill="FFFFFF"/>
        </w:rPr>
        <w:lastRenderedPageBreak/>
        <w:t>genetischen, psychischen, wirtschaftlichen, kulturellen oder sozialen Identität dieser natürlichen Person sind;</w:t>
      </w:r>
      <w:r>
        <w:rPr>
          <w:rStyle w:val="Funotenzeichen"/>
          <w:rFonts w:ascii="Arial" w:hAnsi="Arial" w:cs="Arial"/>
          <w:i/>
          <w:iCs/>
          <w:sz w:val="20"/>
          <w:szCs w:val="20"/>
        </w:rPr>
        <w:t xml:space="preserve"> </w:t>
      </w:r>
      <w:r w:rsidR="00A2650B">
        <w:rPr>
          <w:rStyle w:val="Funotenzeichen"/>
          <w:rFonts w:ascii="Arial" w:hAnsi="Arial" w:cs="Arial"/>
          <w:i/>
          <w:iCs/>
          <w:sz w:val="20"/>
          <w:szCs w:val="20"/>
        </w:rPr>
        <w:footnoteReference w:id="8"/>
      </w:r>
      <w:r w:rsidR="00A2650B">
        <w:rPr>
          <w:rFonts w:ascii="Arial" w:hAnsi="Arial" w:cs="Arial"/>
          <w:i/>
          <w:iCs/>
          <w:sz w:val="20"/>
          <w:szCs w:val="20"/>
        </w:rPr>
        <w:t xml:space="preserve"> </w:t>
      </w:r>
    </w:p>
    <w:p w14:paraId="30DF7E1E" w14:textId="63C9F62F" w:rsidR="001A39F4" w:rsidRDefault="00913130" w:rsidP="00913130">
      <w:pPr>
        <w:spacing w:line="360" w:lineRule="auto"/>
        <w:jc w:val="both"/>
        <w:rPr>
          <w:rFonts w:ascii="Arial" w:hAnsi="Arial" w:cs="Arial"/>
        </w:rPr>
      </w:pPr>
      <w:r>
        <w:rPr>
          <w:rFonts w:ascii="Arial" w:hAnsi="Arial" w:cs="Arial"/>
        </w:rPr>
        <w:t>Der Begriff „alle Informationen“ kann dadurch sehr weit ausgelegt werden. Dies reicht von den genannten Beispielen bis zu</w:t>
      </w:r>
      <w:r w:rsidR="00C22C36">
        <w:rPr>
          <w:rFonts w:ascii="Arial" w:hAnsi="Arial" w:cs="Arial"/>
        </w:rPr>
        <w:t>m Arbeitsrecht</w:t>
      </w:r>
      <w:r w:rsidR="00A07B45">
        <w:rPr>
          <w:rFonts w:ascii="Arial" w:hAnsi="Arial" w:cs="Arial"/>
        </w:rPr>
        <w:t xml:space="preserve"> (</w:t>
      </w:r>
      <w:r>
        <w:rPr>
          <w:rFonts w:ascii="Arial" w:hAnsi="Arial" w:cs="Arial"/>
        </w:rPr>
        <w:t>Aufzeichnung über Arbeitszeiten</w:t>
      </w:r>
      <w:r w:rsidR="00A07B45">
        <w:rPr>
          <w:rFonts w:ascii="Arial" w:hAnsi="Arial" w:cs="Arial"/>
        </w:rPr>
        <w:t>)</w:t>
      </w:r>
      <w:r>
        <w:rPr>
          <w:rFonts w:ascii="Arial" w:hAnsi="Arial" w:cs="Arial"/>
        </w:rPr>
        <w:t xml:space="preserve">, welche ebenfalls darunterfallen. </w:t>
      </w:r>
      <w:r w:rsidR="001A39F4">
        <w:rPr>
          <w:rFonts w:ascii="Arial" w:hAnsi="Arial" w:cs="Arial"/>
        </w:rPr>
        <w:t xml:space="preserve">Auch bei den WU Prüfungen muss auf die Verarbeitung der personenbezogenen Daten geachtet werden, wie zum Beispiel bei der Ausfüllung des Prüfungsbogens (Name, Matrikelnummer). </w:t>
      </w:r>
      <w:r w:rsidR="004D7749">
        <w:rPr>
          <w:rFonts w:ascii="Arial" w:hAnsi="Arial" w:cs="Arial"/>
        </w:rPr>
        <w:t>Somit lässt sich erkennen, dass auch weit weniger relevante Informationen umfasst werden.</w:t>
      </w:r>
      <w:r w:rsidR="003936F0">
        <w:rPr>
          <w:rFonts w:ascii="Arial" w:hAnsi="Arial" w:cs="Arial"/>
        </w:rPr>
        <w:t xml:space="preserve"> Außerdem spricht das Gesetzt von „natürlichen Personen“. Dies bedeutet juristische Personen sind nicht inbegriffen. Der Grundgedanke ist dabei, dass die Verbraucher durch den Anstieg des E-Commerce besser geschützt werden. </w:t>
      </w:r>
      <w:r w:rsidR="003936F0">
        <w:rPr>
          <w:rStyle w:val="Funotenzeichen"/>
          <w:rFonts w:ascii="Arial" w:hAnsi="Arial" w:cs="Arial"/>
        </w:rPr>
        <w:footnoteReference w:id="9"/>
      </w:r>
    </w:p>
    <w:p w14:paraId="55F64A1B" w14:textId="40945168" w:rsidR="00B47861" w:rsidRPr="005B0367" w:rsidRDefault="005B757C" w:rsidP="005B0367">
      <w:pPr>
        <w:pStyle w:val="berschrift2"/>
        <w:rPr>
          <w:rFonts w:ascii="Arial" w:hAnsi="Arial" w:cs="Arial"/>
          <w:sz w:val="28"/>
          <w:szCs w:val="28"/>
        </w:rPr>
      </w:pPr>
      <w:bookmarkStart w:id="6" w:name="_Toc42089732"/>
      <w:r>
        <w:rPr>
          <w:rFonts w:ascii="Arial" w:hAnsi="Arial" w:cs="Arial"/>
          <w:sz w:val="28"/>
          <w:szCs w:val="28"/>
        </w:rPr>
        <w:t>2</w:t>
      </w:r>
      <w:r w:rsidR="00B47861" w:rsidRPr="005B0367">
        <w:rPr>
          <w:rFonts w:ascii="Arial" w:hAnsi="Arial" w:cs="Arial"/>
          <w:sz w:val="28"/>
          <w:szCs w:val="28"/>
        </w:rPr>
        <w:t>.</w:t>
      </w:r>
      <w:r w:rsidR="005B0367" w:rsidRPr="005B0367">
        <w:rPr>
          <w:rFonts w:ascii="Arial" w:hAnsi="Arial" w:cs="Arial"/>
          <w:sz w:val="28"/>
          <w:szCs w:val="28"/>
        </w:rPr>
        <w:t>4</w:t>
      </w:r>
      <w:r w:rsidR="00B47861" w:rsidRPr="005B0367">
        <w:rPr>
          <w:rFonts w:ascii="Arial" w:hAnsi="Arial" w:cs="Arial"/>
          <w:sz w:val="28"/>
          <w:szCs w:val="28"/>
        </w:rPr>
        <w:t xml:space="preserve"> Besondere </w:t>
      </w:r>
      <w:r w:rsidR="00041A0C">
        <w:rPr>
          <w:rFonts w:ascii="Arial" w:hAnsi="Arial" w:cs="Arial"/>
          <w:sz w:val="28"/>
          <w:szCs w:val="28"/>
        </w:rPr>
        <w:t>Arten</w:t>
      </w:r>
      <w:r w:rsidR="00B47861" w:rsidRPr="005B0367">
        <w:rPr>
          <w:rFonts w:ascii="Arial" w:hAnsi="Arial" w:cs="Arial"/>
          <w:sz w:val="28"/>
          <w:szCs w:val="28"/>
        </w:rPr>
        <w:t xml:space="preserve"> der personenbezogenen Daten</w:t>
      </w:r>
      <w:bookmarkEnd w:id="6"/>
    </w:p>
    <w:p w14:paraId="5A88E2B2" w14:textId="506DB3AF" w:rsidR="00B47861" w:rsidRDefault="00B47861" w:rsidP="00B47861"/>
    <w:p w14:paraId="6B649423" w14:textId="77777777" w:rsidR="00041A0C" w:rsidRDefault="00B47861" w:rsidP="00B47861">
      <w:pPr>
        <w:spacing w:line="360" w:lineRule="auto"/>
        <w:jc w:val="both"/>
        <w:rPr>
          <w:rFonts w:ascii="Arial" w:hAnsi="Arial" w:cs="Arial"/>
        </w:rPr>
      </w:pPr>
      <w:r>
        <w:rPr>
          <w:rFonts w:ascii="Arial" w:hAnsi="Arial" w:cs="Arial"/>
        </w:rPr>
        <w:t>DSGVO Art. 9 handelt von der Verarbeitung besonderer Kategorien personenbezogener Daten</w:t>
      </w:r>
      <w:r w:rsidR="004E3EA3">
        <w:rPr>
          <w:rFonts w:ascii="Arial" w:hAnsi="Arial" w:cs="Arial"/>
        </w:rPr>
        <w:t xml:space="preserve"> und welche Aspekte darunterfallen. </w:t>
      </w:r>
      <w:r>
        <w:rPr>
          <w:rFonts w:ascii="Arial" w:hAnsi="Arial" w:cs="Arial"/>
        </w:rPr>
        <w:t xml:space="preserve">Diese Daten sind besonders </w:t>
      </w:r>
      <w:r w:rsidR="00207139">
        <w:rPr>
          <w:rFonts w:ascii="Arial" w:hAnsi="Arial" w:cs="Arial"/>
        </w:rPr>
        <w:t>schützenswert</w:t>
      </w:r>
      <w:r>
        <w:rPr>
          <w:rFonts w:ascii="Arial" w:hAnsi="Arial" w:cs="Arial"/>
        </w:rPr>
        <w:t>.</w:t>
      </w:r>
      <w:r w:rsidR="00207139">
        <w:rPr>
          <w:rFonts w:ascii="Arial" w:hAnsi="Arial" w:cs="Arial"/>
        </w:rPr>
        <w:t xml:space="preserve"> In dieser Kategorie fallen unter anderem </w:t>
      </w:r>
    </w:p>
    <w:p w14:paraId="02BE1542" w14:textId="77777777" w:rsidR="00041A0C" w:rsidRDefault="003D0637" w:rsidP="00041A0C">
      <w:pPr>
        <w:pStyle w:val="Listenabsatz"/>
        <w:numPr>
          <w:ilvl w:val="0"/>
          <w:numId w:val="3"/>
        </w:numPr>
        <w:spacing w:line="360" w:lineRule="auto"/>
        <w:jc w:val="both"/>
        <w:rPr>
          <w:rFonts w:ascii="Arial" w:hAnsi="Arial" w:cs="Arial"/>
        </w:rPr>
      </w:pPr>
      <w:r w:rsidRPr="00041A0C">
        <w:rPr>
          <w:rFonts w:ascii="Arial" w:hAnsi="Arial" w:cs="Arial"/>
        </w:rPr>
        <w:t xml:space="preserve">ethnische Herkunft, </w:t>
      </w:r>
    </w:p>
    <w:p w14:paraId="729C8169" w14:textId="77777777" w:rsidR="00041A0C" w:rsidRDefault="00207139" w:rsidP="00041A0C">
      <w:pPr>
        <w:pStyle w:val="Listenabsatz"/>
        <w:numPr>
          <w:ilvl w:val="0"/>
          <w:numId w:val="3"/>
        </w:numPr>
        <w:spacing w:line="360" w:lineRule="auto"/>
        <w:jc w:val="both"/>
        <w:rPr>
          <w:rFonts w:ascii="Arial" w:hAnsi="Arial" w:cs="Arial"/>
        </w:rPr>
      </w:pPr>
      <w:r w:rsidRPr="00041A0C">
        <w:rPr>
          <w:rFonts w:ascii="Arial" w:hAnsi="Arial" w:cs="Arial"/>
        </w:rPr>
        <w:t xml:space="preserve">politische Meinung, </w:t>
      </w:r>
    </w:p>
    <w:p w14:paraId="7CD91C5F" w14:textId="77777777" w:rsidR="00041A0C" w:rsidRDefault="00207139" w:rsidP="00041A0C">
      <w:pPr>
        <w:pStyle w:val="Listenabsatz"/>
        <w:numPr>
          <w:ilvl w:val="0"/>
          <w:numId w:val="3"/>
        </w:numPr>
        <w:spacing w:line="360" w:lineRule="auto"/>
        <w:jc w:val="both"/>
        <w:rPr>
          <w:rFonts w:ascii="Arial" w:hAnsi="Arial" w:cs="Arial"/>
        </w:rPr>
      </w:pPr>
      <w:r w:rsidRPr="00041A0C">
        <w:rPr>
          <w:rFonts w:ascii="Arial" w:hAnsi="Arial" w:cs="Arial"/>
        </w:rPr>
        <w:t xml:space="preserve">Religionszugehörigkeit, </w:t>
      </w:r>
    </w:p>
    <w:p w14:paraId="340F3B1B" w14:textId="77777777" w:rsidR="00041A0C" w:rsidRDefault="00207139" w:rsidP="00041A0C">
      <w:pPr>
        <w:pStyle w:val="Listenabsatz"/>
        <w:numPr>
          <w:ilvl w:val="0"/>
          <w:numId w:val="3"/>
        </w:numPr>
        <w:spacing w:line="360" w:lineRule="auto"/>
        <w:jc w:val="both"/>
        <w:rPr>
          <w:rFonts w:ascii="Arial" w:hAnsi="Arial" w:cs="Arial"/>
        </w:rPr>
      </w:pPr>
      <w:r w:rsidRPr="00041A0C">
        <w:rPr>
          <w:rFonts w:ascii="Arial" w:hAnsi="Arial" w:cs="Arial"/>
        </w:rPr>
        <w:t xml:space="preserve">Sexualleben und </w:t>
      </w:r>
    </w:p>
    <w:p w14:paraId="1C42170A" w14:textId="77777777" w:rsidR="00041A0C" w:rsidRDefault="00207139" w:rsidP="00041A0C">
      <w:pPr>
        <w:pStyle w:val="Listenabsatz"/>
        <w:numPr>
          <w:ilvl w:val="0"/>
          <w:numId w:val="3"/>
        </w:numPr>
        <w:spacing w:line="360" w:lineRule="auto"/>
        <w:jc w:val="both"/>
        <w:rPr>
          <w:rFonts w:ascii="Arial" w:hAnsi="Arial" w:cs="Arial"/>
        </w:rPr>
      </w:pPr>
      <w:r w:rsidRPr="00041A0C">
        <w:rPr>
          <w:rFonts w:ascii="Arial" w:hAnsi="Arial" w:cs="Arial"/>
        </w:rPr>
        <w:t xml:space="preserve">Gesundheitszustand </w:t>
      </w:r>
    </w:p>
    <w:p w14:paraId="47EC14F5" w14:textId="77777777" w:rsidR="00041A0C" w:rsidRDefault="00207139" w:rsidP="00041A0C">
      <w:pPr>
        <w:pStyle w:val="Listenabsatz"/>
        <w:numPr>
          <w:ilvl w:val="0"/>
          <w:numId w:val="3"/>
        </w:numPr>
        <w:spacing w:line="360" w:lineRule="auto"/>
        <w:jc w:val="both"/>
        <w:rPr>
          <w:rFonts w:ascii="Arial" w:hAnsi="Arial" w:cs="Arial"/>
        </w:rPr>
      </w:pPr>
      <w:r w:rsidRPr="00041A0C">
        <w:rPr>
          <w:rFonts w:ascii="Arial" w:hAnsi="Arial" w:cs="Arial"/>
        </w:rPr>
        <w:t xml:space="preserve">genetische und biometrische Daten (Fingerabdruck, </w:t>
      </w:r>
      <w:proofErr w:type="spellStart"/>
      <w:r w:rsidRPr="00041A0C">
        <w:rPr>
          <w:rFonts w:ascii="Arial" w:hAnsi="Arial" w:cs="Arial"/>
        </w:rPr>
        <w:t>Irisscan</w:t>
      </w:r>
      <w:proofErr w:type="spellEnd"/>
      <w:r w:rsidRPr="00041A0C">
        <w:rPr>
          <w:rFonts w:ascii="Arial" w:hAnsi="Arial" w:cs="Arial"/>
        </w:rPr>
        <w:t xml:space="preserve">) </w:t>
      </w:r>
    </w:p>
    <w:p w14:paraId="1B93256E" w14:textId="30B5C24F" w:rsidR="0017188F" w:rsidRPr="00041A0C" w:rsidRDefault="00150861" w:rsidP="00041A0C">
      <w:pPr>
        <w:spacing w:line="360" w:lineRule="auto"/>
        <w:jc w:val="both"/>
        <w:rPr>
          <w:rFonts w:ascii="Arial" w:hAnsi="Arial" w:cs="Arial"/>
        </w:rPr>
      </w:pPr>
      <w:r w:rsidRPr="00041A0C">
        <w:rPr>
          <w:rFonts w:ascii="Arial" w:hAnsi="Arial" w:cs="Arial"/>
        </w:rPr>
        <w:t>Bei diesen Daten gelten höhere Anforderungen an Unternehmen, daher benötigt die Verarbeitung der Daten eine gesonderte Einwilligung d</w:t>
      </w:r>
      <w:r w:rsidR="00562891" w:rsidRPr="00041A0C">
        <w:rPr>
          <w:rFonts w:ascii="Arial" w:hAnsi="Arial" w:cs="Arial"/>
        </w:rPr>
        <w:t xml:space="preserve">es Betroffenen bzw. eine spezielle Rechtsgrundlage vorliegt. </w:t>
      </w:r>
      <w:r w:rsidR="000C6FF8" w:rsidRPr="00041A0C">
        <w:rPr>
          <w:rFonts w:ascii="Arial" w:hAnsi="Arial" w:cs="Arial"/>
        </w:rPr>
        <w:t>Tiere sind aus diesem Artikel ausgenommen, da sie sich nur auf natürliche Personen beziehen.</w:t>
      </w:r>
      <w:r w:rsidR="004A3F61" w:rsidRPr="00041A0C">
        <w:rPr>
          <w:rFonts w:ascii="Arial" w:hAnsi="Arial" w:cs="Arial"/>
        </w:rPr>
        <w:t xml:space="preserve"> Unternehmen benötigen bei der Verarbeitung von sensiblen Daten ein eigenes Verzeichnis der Verarbeitung.</w:t>
      </w:r>
      <w:r w:rsidR="000C6FF8">
        <w:rPr>
          <w:rStyle w:val="Funotenzeichen"/>
          <w:rFonts w:ascii="Arial" w:hAnsi="Arial" w:cs="Arial"/>
        </w:rPr>
        <w:footnoteReference w:id="10"/>
      </w:r>
    </w:p>
    <w:p w14:paraId="598B7569" w14:textId="77777777" w:rsidR="00493151" w:rsidRDefault="00493151">
      <w:pPr>
        <w:rPr>
          <w:rFonts w:ascii="Arial" w:eastAsiaTheme="majorEastAsia" w:hAnsi="Arial" w:cs="Arial"/>
          <w:color w:val="2F5496" w:themeColor="accent1" w:themeShade="BF"/>
          <w:sz w:val="28"/>
          <w:szCs w:val="28"/>
        </w:rPr>
      </w:pPr>
      <w:r>
        <w:rPr>
          <w:rFonts w:ascii="Arial" w:hAnsi="Arial" w:cs="Arial"/>
          <w:sz w:val="28"/>
          <w:szCs w:val="28"/>
        </w:rPr>
        <w:br w:type="page"/>
      </w:r>
    </w:p>
    <w:p w14:paraId="56B9D465" w14:textId="606D0DA2" w:rsidR="00D73007" w:rsidRPr="00D34241" w:rsidRDefault="005B757C" w:rsidP="00D34241">
      <w:pPr>
        <w:pStyle w:val="berschrift2"/>
        <w:rPr>
          <w:rFonts w:ascii="Arial" w:hAnsi="Arial" w:cs="Arial"/>
        </w:rPr>
      </w:pPr>
      <w:bookmarkStart w:id="7" w:name="_Toc42089733"/>
      <w:r>
        <w:rPr>
          <w:rFonts w:ascii="Arial" w:hAnsi="Arial" w:cs="Arial"/>
          <w:sz w:val="28"/>
          <w:szCs w:val="28"/>
        </w:rPr>
        <w:lastRenderedPageBreak/>
        <w:t>2</w:t>
      </w:r>
      <w:r w:rsidR="00D73007" w:rsidRPr="00D34241">
        <w:rPr>
          <w:rFonts w:ascii="Arial" w:hAnsi="Arial" w:cs="Arial"/>
          <w:sz w:val="28"/>
          <w:szCs w:val="28"/>
        </w:rPr>
        <w:t>.</w:t>
      </w:r>
      <w:r w:rsidR="005B0367">
        <w:rPr>
          <w:rFonts w:ascii="Arial" w:hAnsi="Arial" w:cs="Arial"/>
          <w:sz w:val="28"/>
          <w:szCs w:val="28"/>
        </w:rPr>
        <w:t>5</w:t>
      </w:r>
      <w:r w:rsidR="00D73007" w:rsidRPr="00D34241">
        <w:rPr>
          <w:rFonts w:ascii="Arial" w:hAnsi="Arial" w:cs="Arial"/>
          <w:sz w:val="28"/>
          <w:szCs w:val="28"/>
        </w:rPr>
        <w:t xml:space="preserve"> Prinzipien der EU-DSGVO</w:t>
      </w:r>
      <w:r w:rsidR="000B2012">
        <w:rPr>
          <w:rStyle w:val="Funotenzeichen"/>
          <w:rFonts w:ascii="Arial" w:hAnsi="Arial" w:cs="Arial"/>
        </w:rPr>
        <w:footnoteReference w:id="11"/>
      </w:r>
      <w:bookmarkEnd w:id="7"/>
    </w:p>
    <w:p w14:paraId="45C882B9" w14:textId="77777777" w:rsidR="00493151" w:rsidRDefault="00493151" w:rsidP="00A67BB7">
      <w:pPr>
        <w:spacing w:line="360" w:lineRule="auto"/>
        <w:jc w:val="both"/>
        <w:rPr>
          <w:rFonts w:ascii="Arial" w:hAnsi="Arial" w:cs="Arial"/>
        </w:rPr>
      </w:pPr>
    </w:p>
    <w:p w14:paraId="00CCFA37" w14:textId="40F70AFB" w:rsidR="00D73007" w:rsidRDefault="00A67BB7" w:rsidP="00A67BB7">
      <w:pPr>
        <w:spacing w:line="360" w:lineRule="auto"/>
        <w:jc w:val="both"/>
        <w:rPr>
          <w:rFonts w:ascii="Arial" w:hAnsi="Arial" w:cs="Arial"/>
        </w:rPr>
      </w:pPr>
      <w:r>
        <w:rPr>
          <w:rFonts w:ascii="Arial" w:hAnsi="Arial" w:cs="Arial"/>
        </w:rPr>
        <w:t xml:space="preserve">Wie bereits im Punkt 1.3 erwähnt, verfolgt die DSGVO sieben Grundprinzipien. </w:t>
      </w:r>
      <w:r w:rsidR="00676F1F">
        <w:rPr>
          <w:rFonts w:ascii="Arial" w:hAnsi="Arial" w:cs="Arial"/>
        </w:rPr>
        <w:t>Im Mittelpunkt steht das Grundprinzip „Grundsätze für die Verarbeitung personenbezogener Daten“. Dies bildet das Fundament und auf dieses werden die weiteren Prinzipien aufgebaut</w:t>
      </w:r>
      <w:r w:rsidR="00230E18">
        <w:rPr>
          <w:rFonts w:ascii="Arial" w:hAnsi="Arial" w:cs="Arial"/>
        </w:rPr>
        <w:t>.</w:t>
      </w:r>
      <w:r w:rsidR="00400BA0" w:rsidRPr="00400BA0">
        <w:rPr>
          <w:rStyle w:val="Funotenzeichen"/>
          <w:rFonts w:ascii="Arial" w:hAnsi="Arial" w:cs="Arial"/>
        </w:rPr>
        <w:t xml:space="preserve"> </w:t>
      </w:r>
    </w:p>
    <w:p w14:paraId="17A4C821" w14:textId="4B0EDEC0" w:rsidR="005517C8" w:rsidRDefault="005B757C" w:rsidP="005517C8">
      <w:pPr>
        <w:spacing w:line="360" w:lineRule="auto"/>
        <w:jc w:val="both"/>
        <w:rPr>
          <w:rFonts w:ascii="Arial" w:hAnsi="Arial" w:cs="Arial"/>
        </w:rPr>
      </w:pPr>
      <w:bookmarkStart w:id="8" w:name="_Toc42089734"/>
      <w:r>
        <w:rPr>
          <w:rStyle w:val="berschrift3Zchn"/>
          <w:rFonts w:ascii="Arial" w:hAnsi="Arial" w:cs="Arial"/>
        </w:rPr>
        <w:t>2</w:t>
      </w:r>
      <w:r w:rsidR="005517C8">
        <w:rPr>
          <w:rStyle w:val="berschrift3Zchn"/>
          <w:rFonts w:ascii="Arial" w:hAnsi="Arial" w:cs="Arial"/>
        </w:rPr>
        <w:t>.5</w:t>
      </w:r>
      <w:r w:rsidR="00BD3F06">
        <w:rPr>
          <w:rStyle w:val="berschrift3Zchn"/>
          <w:rFonts w:ascii="Arial" w:hAnsi="Arial" w:cs="Arial"/>
        </w:rPr>
        <w:t>.</w:t>
      </w:r>
      <w:r w:rsidR="005517C8">
        <w:rPr>
          <w:rStyle w:val="berschrift3Zchn"/>
          <w:rFonts w:ascii="Arial" w:hAnsi="Arial" w:cs="Arial"/>
        </w:rPr>
        <w:t xml:space="preserve">1 </w:t>
      </w:r>
      <w:r w:rsidR="00A67BB7" w:rsidRPr="005517C8">
        <w:rPr>
          <w:rStyle w:val="berschrift3Zchn"/>
          <w:rFonts w:ascii="Arial" w:hAnsi="Arial" w:cs="Arial"/>
        </w:rPr>
        <w:t>Grundsätze für die Verarbeitung personenbezogener Daten (Art. 5 DSGVO)</w:t>
      </w:r>
      <w:bookmarkEnd w:id="8"/>
      <w:r w:rsidR="00A67BB7" w:rsidRPr="005517C8">
        <w:rPr>
          <w:rFonts w:ascii="Arial" w:hAnsi="Arial" w:cs="Arial"/>
        </w:rPr>
        <w:t xml:space="preserve"> </w:t>
      </w:r>
    </w:p>
    <w:p w14:paraId="7B5D062C" w14:textId="279E4E5D" w:rsidR="00A67BB7" w:rsidRPr="005517C8" w:rsidRDefault="00A67BB7" w:rsidP="005517C8">
      <w:pPr>
        <w:spacing w:line="360" w:lineRule="auto"/>
        <w:jc w:val="both"/>
        <w:rPr>
          <w:rFonts w:ascii="Arial" w:hAnsi="Arial" w:cs="Arial"/>
        </w:rPr>
      </w:pPr>
      <w:r w:rsidRPr="005517C8">
        <w:rPr>
          <w:rFonts w:ascii="Arial" w:hAnsi="Arial" w:cs="Arial"/>
        </w:rPr>
        <w:t>Die Verarbeitung muss von der betroffenen Person eingewilligt zur Speicherung und Verarbeitung sein. Die Einwilligung muss freiwillig und spezifisch sein. Weiters muss diese auf nachvollziehbare Weise der Person näherbringen wie die Daten verarbeitet werden.</w:t>
      </w:r>
    </w:p>
    <w:p w14:paraId="3C24F15F" w14:textId="34AA5E48" w:rsidR="005517C8" w:rsidRPr="00B734C0" w:rsidRDefault="005B757C" w:rsidP="00B734C0">
      <w:pPr>
        <w:pStyle w:val="berschrift4"/>
        <w:rPr>
          <w:rFonts w:ascii="Arial" w:hAnsi="Arial" w:cs="Arial"/>
          <w:i w:val="0"/>
          <w:iCs w:val="0"/>
          <w:sz w:val="24"/>
          <w:szCs w:val="24"/>
        </w:rPr>
      </w:pPr>
      <w:r w:rsidRPr="00B734C0">
        <w:rPr>
          <w:rFonts w:ascii="Arial" w:hAnsi="Arial" w:cs="Arial"/>
          <w:i w:val="0"/>
          <w:iCs w:val="0"/>
          <w:sz w:val="24"/>
          <w:szCs w:val="24"/>
        </w:rPr>
        <w:t>2</w:t>
      </w:r>
      <w:r w:rsidR="00BD3F06" w:rsidRPr="00B734C0">
        <w:rPr>
          <w:rFonts w:ascii="Arial" w:hAnsi="Arial" w:cs="Arial"/>
          <w:i w:val="0"/>
          <w:iCs w:val="0"/>
          <w:sz w:val="24"/>
          <w:szCs w:val="24"/>
        </w:rPr>
        <w:t xml:space="preserve">.5.2 </w:t>
      </w:r>
      <w:r w:rsidR="00676F1F" w:rsidRPr="00B734C0">
        <w:rPr>
          <w:rFonts w:ascii="Arial" w:hAnsi="Arial" w:cs="Arial"/>
          <w:i w:val="0"/>
          <w:iCs w:val="0"/>
          <w:sz w:val="24"/>
          <w:szCs w:val="24"/>
        </w:rPr>
        <w:t>Prinzip der Zweckbindun</w:t>
      </w:r>
      <w:r w:rsidR="005517C8" w:rsidRPr="00B734C0">
        <w:rPr>
          <w:rFonts w:ascii="Arial" w:hAnsi="Arial" w:cs="Arial"/>
          <w:i w:val="0"/>
          <w:iCs w:val="0"/>
          <w:sz w:val="24"/>
          <w:szCs w:val="24"/>
        </w:rPr>
        <w:t>g</w:t>
      </w:r>
      <w:r w:rsidR="00575D58" w:rsidRPr="00B734C0">
        <w:rPr>
          <w:rFonts w:ascii="Arial" w:hAnsi="Arial" w:cs="Arial"/>
          <w:i w:val="0"/>
          <w:iCs w:val="0"/>
          <w:sz w:val="24"/>
          <w:szCs w:val="24"/>
        </w:rPr>
        <w:t xml:space="preserve"> </w:t>
      </w:r>
    </w:p>
    <w:p w14:paraId="56EC5AAC" w14:textId="77777777" w:rsidR="00BD3F06" w:rsidRPr="00BD3F06" w:rsidRDefault="00BD3F06" w:rsidP="00BD3F06"/>
    <w:p w14:paraId="3A4054DC" w14:textId="6BF18B35" w:rsidR="00575D58" w:rsidRPr="005517C8" w:rsidRDefault="00575D58" w:rsidP="005517C8">
      <w:pPr>
        <w:spacing w:line="360" w:lineRule="auto"/>
        <w:jc w:val="both"/>
        <w:rPr>
          <w:rFonts w:ascii="Arial" w:hAnsi="Arial" w:cs="Arial"/>
          <w:u w:val="single"/>
        </w:rPr>
      </w:pPr>
      <w:r w:rsidRPr="005517C8">
        <w:rPr>
          <w:rFonts w:ascii="Arial" w:hAnsi="Arial" w:cs="Arial"/>
        </w:rPr>
        <w:t>Die Verarbeitung der Daten muss legitime und nachvollziehbare Zwecke verfolgen und dürfen nicht zu einem anderen Zwecke genutzt werden</w:t>
      </w:r>
      <w:r w:rsidR="0005199A">
        <w:rPr>
          <w:rFonts w:ascii="Arial" w:hAnsi="Arial" w:cs="Arial"/>
        </w:rPr>
        <w:t>. Bei statistischen Auswertungen (wissenschaftliche, historische und statistische Zwecke) müssen zusätzliche Maßnahmen gesetzt werden, insbesondere bei der Anonymisierung der personenbezogenen Daten.</w:t>
      </w:r>
      <w:r w:rsidR="0005199A">
        <w:rPr>
          <w:rStyle w:val="Funotenzeichen"/>
          <w:rFonts w:ascii="Arial" w:hAnsi="Arial" w:cs="Arial"/>
        </w:rPr>
        <w:footnoteReference w:id="12"/>
      </w:r>
      <w:r w:rsidR="0005199A">
        <w:rPr>
          <w:rFonts w:ascii="Arial" w:hAnsi="Arial" w:cs="Arial"/>
        </w:rPr>
        <w:t xml:space="preserve"> </w:t>
      </w:r>
    </w:p>
    <w:p w14:paraId="15C1EEDE" w14:textId="386FC9F2" w:rsidR="00BD3F06" w:rsidRPr="00BD3F06" w:rsidRDefault="005B757C" w:rsidP="00BD3F06">
      <w:pPr>
        <w:spacing w:line="360" w:lineRule="auto"/>
        <w:jc w:val="both"/>
        <w:rPr>
          <w:rFonts w:ascii="Arial" w:hAnsi="Arial" w:cs="Arial"/>
        </w:rPr>
      </w:pPr>
      <w:bookmarkStart w:id="9" w:name="_Toc42089735"/>
      <w:r>
        <w:rPr>
          <w:rStyle w:val="berschrift3Zchn"/>
          <w:rFonts w:ascii="Arial" w:hAnsi="Arial" w:cs="Arial"/>
        </w:rPr>
        <w:t>2</w:t>
      </w:r>
      <w:r w:rsidR="00BD3F06">
        <w:rPr>
          <w:rStyle w:val="berschrift3Zchn"/>
          <w:rFonts w:ascii="Arial" w:hAnsi="Arial" w:cs="Arial"/>
        </w:rPr>
        <w:t xml:space="preserve">.5.3 </w:t>
      </w:r>
      <w:r w:rsidR="00575D58" w:rsidRPr="00BD3F06">
        <w:rPr>
          <w:rStyle w:val="berschrift3Zchn"/>
          <w:rFonts w:ascii="Arial" w:hAnsi="Arial" w:cs="Arial"/>
        </w:rPr>
        <w:t>Prinzip der Datenminimierung</w:t>
      </w:r>
      <w:bookmarkEnd w:id="9"/>
      <w:r w:rsidR="00575D58" w:rsidRPr="00BD3F06">
        <w:rPr>
          <w:rFonts w:ascii="Arial" w:hAnsi="Arial" w:cs="Arial"/>
        </w:rPr>
        <w:t xml:space="preserve"> </w:t>
      </w:r>
    </w:p>
    <w:p w14:paraId="0C98D054" w14:textId="04539684" w:rsidR="00575D58" w:rsidRPr="00BD3F06" w:rsidRDefault="00575D58" w:rsidP="00BD3F06">
      <w:pPr>
        <w:spacing w:line="360" w:lineRule="auto"/>
        <w:jc w:val="both"/>
        <w:rPr>
          <w:rFonts w:ascii="Arial" w:hAnsi="Arial" w:cs="Arial"/>
          <w:u w:val="single"/>
        </w:rPr>
      </w:pPr>
      <w:r w:rsidRPr="00BD3F06">
        <w:rPr>
          <w:rFonts w:ascii="Arial" w:hAnsi="Arial" w:cs="Arial"/>
        </w:rPr>
        <w:t>Zur Verarbeitung dürfen nur notwendige Maßnahmen gesetzt werden, um den Zweck zu erreichen.</w:t>
      </w:r>
    </w:p>
    <w:p w14:paraId="446D0C84" w14:textId="15988ADB" w:rsidR="00BD3F06" w:rsidRDefault="005B757C" w:rsidP="00BD3F06">
      <w:pPr>
        <w:pStyle w:val="berschrift3"/>
        <w:rPr>
          <w:rFonts w:ascii="Arial" w:hAnsi="Arial" w:cs="Arial"/>
        </w:rPr>
      </w:pPr>
      <w:bookmarkStart w:id="10" w:name="_Toc42089736"/>
      <w:r>
        <w:rPr>
          <w:rFonts w:ascii="Arial" w:hAnsi="Arial" w:cs="Arial"/>
        </w:rPr>
        <w:t>2</w:t>
      </w:r>
      <w:r w:rsidR="00BD3F06" w:rsidRPr="00BD3F06">
        <w:rPr>
          <w:rFonts w:ascii="Arial" w:hAnsi="Arial" w:cs="Arial"/>
        </w:rPr>
        <w:t xml:space="preserve">.5.4 </w:t>
      </w:r>
      <w:r w:rsidR="00575D58" w:rsidRPr="00BD3F06">
        <w:rPr>
          <w:rFonts w:ascii="Arial" w:hAnsi="Arial" w:cs="Arial"/>
        </w:rPr>
        <w:t>Prinzip der Richtigkeit</w:t>
      </w:r>
      <w:bookmarkEnd w:id="10"/>
      <w:r w:rsidR="00575D58" w:rsidRPr="00BD3F06">
        <w:rPr>
          <w:rFonts w:ascii="Arial" w:hAnsi="Arial" w:cs="Arial"/>
        </w:rPr>
        <w:t xml:space="preserve"> </w:t>
      </w:r>
      <w:r w:rsidR="00676F1F" w:rsidRPr="00BD3F06">
        <w:rPr>
          <w:rFonts w:ascii="Arial" w:hAnsi="Arial" w:cs="Arial"/>
        </w:rPr>
        <w:t xml:space="preserve"> </w:t>
      </w:r>
    </w:p>
    <w:p w14:paraId="7E1B3E44" w14:textId="77777777" w:rsidR="00BD3F06" w:rsidRDefault="00BD3F06" w:rsidP="00BD3F06">
      <w:pPr>
        <w:pStyle w:val="berschrift3"/>
        <w:rPr>
          <w:rFonts w:ascii="Arial" w:hAnsi="Arial" w:cs="Arial"/>
        </w:rPr>
      </w:pPr>
    </w:p>
    <w:p w14:paraId="4C92BD95" w14:textId="26860284" w:rsidR="00A67BB7" w:rsidRPr="00BD3F06" w:rsidRDefault="00575D58" w:rsidP="00BD3F06">
      <w:pPr>
        <w:spacing w:line="360" w:lineRule="auto"/>
        <w:jc w:val="both"/>
        <w:rPr>
          <w:rFonts w:ascii="Arial" w:hAnsi="Arial" w:cs="Arial"/>
        </w:rPr>
      </w:pPr>
      <w:r w:rsidRPr="00BD3F06">
        <w:rPr>
          <w:rFonts w:ascii="Arial" w:hAnsi="Arial" w:cs="Arial"/>
        </w:rPr>
        <w:t>Die Daten müssen sachlich richtig sein, was bedeutet, dass bei der Verarbeitung unrichtige Daten gelöscht werden müssen.</w:t>
      </w:r>
    </w:p>
    <w:p w14:paraId="6DBD5C2F" w14:textId="466605A5" w:rsidR="00BD3F06" w:rsidRDefault="005B757C" w:rsidP="00BD3F06">
      <w:pPr>
        <w:pStyle w:val="berschrift3"/>
        <w:rPr>
          <w:rFonts w:ascii="Arial" w:hAnsi="Arial" w:cs="Arial"/>
        </w:rPr>
      </w:pPr>
      <w:bookmarkStart w:id="11" w:name="_Toc42089737"/>
      <w:r>
        <w:rPr>
          <w:rFonts w:ascii="Arial" w:hAnsi="Arial" w:cs="Arial"/>
        </w:rPr>
        <w:t>2</w:t>
      </w:r>
      <w:r w:rsidR="00BD3F06" w:rsidRPr="00BD3F06">
        <w:rPr>
          <w:rFonts w:ascii="Arial" w:hAnsi="Arial" w:cs="Arial"/>
        </w:rPr>
        <w:t xml:space="preserve">.5.5 </w:t>
      </w:r>
      <w:r w:rsidR="00575D58" w:rsidRPr="00BD3F06">
        <w:rPr>
          <w:rFonts w:ascii="Arial" w:hAnsi="Arial" w:cs="Arial"/>
        </w:rPr>
        <w:t>Prinzip der Speicherbegrenzung</w:t>
      </w:r>
      <w:bookmarkEnd w:id="11"/>
      <w:r w:rsidR="00575D58" w:rsidRPr="00BD3F06">
        <w:rPr>
          <w:rFonts w:ascii="Arial" w:hAnsi="Arial" w:cs="Arial"/>
        </w:rPr>
        <w:t xml:space="preserve"> </w:t>
      </w:r>
    </w:p>
    <w:p w14:paraId="060ACB93" w14:textId="77777777" w:rsidR="00BD3F06" w:rsidRDefault="00BD3F06" w:rsidP="00BD3F06">
      <w:pPr>
        <w:pStyle w:val="berschrift3"/>
        <w:rPr>
          <w:rFonts w:ascii="Arial" w:hAnsi="Arial" w:cs="Arial"/>
        </w:rPr>
      </w:pPr>
    </w:p>
    <w:p w14:paraId="15406C4F" w14:textId="14867A34" w:rsidR="00575D58" w:rsidRPr="00BD3F06" w:rsidRDefault="00575D58" w:rsidP="00BD3F06">
      <w:pPr>
        <w:spacing w:line="360" w:lineRule="auto"/>
        <w:rPr>
          <w:rFonts w:ascii="Arial" w:hAnsi="Arial" w:cs="Arial"/>
        </w:rPr>
      </w:pPr>
      <w:r w:rsidRPr="00BD3F06">
        <w:rPr>
          <w:rFonts w:ascii="Arial" w:hAnsi="Arial" w:cs="Arial"/>
        </w:rPr>
        <w:t xml:space="preserve">Die Daten dürfen nur so lange gespeichert werden, wie es zum Zwecke der Verarbeitung benötigt werden. Anschließend müssen sie unverzüglich gelöscht werden. Jedoch gibt es bei diesem Prinzip einige Ausnahmen, wie zum Beispiel, dass die betroffene Person einwilligte die Daten dürfen länger gespeichert und verarbeitet werden. </w:t>
      </w:r>
    </w:p>
    <w:p w14:paraId="71AEE0A7" w14:textId="61090053" w:rsidR="00BD3F06" w:rsidRDefault="005B757C" w:rsidP="00BD3F06">
      <w:pPr>
        <w:pStyle w:val="berschrift3"/>
        <w:rPr>
          <w:rFonts w:ascii="Arial" w:hAnsi="Arial" w:cs="Arial"/>
        </w:rPr>
      </w:pPr>
      <w:bookmarkStart w:id="12" w:name="_Toc42089738"/>
      <w:r>
        <w:rPr>
          <w:rFonts w:ascii="Arial" w:hAnsi="Arial" w:cs="Arial"/>
        </w:rPr>
        <w:lastRenderedPageBreak/>
        <w:t>2</w:t>
      </w:r>
      <w:r w:rsidR="00BD3F06" w:rsidRPr="00BD3F06">
        <w:rPr>
          <w:rFonts w:ascii="Arial" w:hAnsi="Arial" w:cs="Arial"/>
        </w:rPr>
        <w:t xml:space="preserve">.5.6 </w:t>
      </w:r>
      <w:r w:rsidR="00575D58" w:rsidRPr="00BD3F06">
        <w:rPr>
          <w:rFonts w:ascii="Arial" w:hAnsi="Arial" w:cs="Arial"/>
        </w:rPr>
        <w:t>Prinzip der Integrität und Vertraulichkeit</w:t>
      </w:r>
      <w:bookmarkEnd w:id="12"/>
      <w:r w:rsidR="00575D58" w:rsidRPr="00BD3F06">
        <w:rPr>
          <w:rFonts w:ascii="Arial" w:hAnsi="Arial" w:cs="Arial"/>
        </w:rPr>
        <w:t xml:space="preserve"> </w:t>
      </w:r>
    </w:p>
    <w:p w14:paraId="1815076B" w14:textId="77777777" w:rsidR="00BD3F06" w:rsidRDefault="00BD3F06" w:rsidP="00BD3F06">
      <w:pPr>
        <w:pStyle w:val="berschrift3"/>
        <w:rPr>
          <w:rFonts w:ascii="Arial" w:hAnsi="Arial" w:cs="Arial"/>
        </w:rPr>
      </w:pPr>
    </w:p>
    <w:p w14:paraId="6F8FAE85" w14:textId="625DDDD6" w:rsidR="00575D58" w:rsidRPr="00BD3F06" w:rsidRDefault="00575D58" w:rsidP="00BD3F06">
      <w:pPr>
        <w:spacing w:line="360" w:lineRule="auto"/>
        <w:rPr>
          <w:rFonts w:ascii="Arial" w:hAnsi="Arial" w:cs="Arial"/>
        </w:rPr>
      </w:pPr>
      <w:r w:rsidRPr="00BD3F06">
        <w:rPr>
          <w:rFonts w:ascii="Arial" w:hAnsi="Arial" w:cs="Arial"/>
        </w:rPr>
        <w:t xml:space="preserve">Der Schutz der Daten soll dadurch gewährleistet werden. Juristische Personen müssen in diesem Fall geeignetes Personal und technische Maßnahmen setzen. </w:t>
      </w:r>
      <w:r w:rsidR="0005199A">
        <w:rPr>
          <w:rFonts w:ascii="Arial" w:hAnsi="Arial" w:cs="Arial"/>
        </w:rPr>
        <w:t>Daher gibt es einige TOMs in der Entwicklungsphase einzuarbeiten.</w:t>
      </w:r>
    </w:p>
    <w:p w14:paraId="64D8F530" w14:textId="09AB228D" w:rsidR="00BD3F06" w:rsidRDefault="005B757C" w:rsidP="00BD3F06">
      <w:pPr>
        <w:spacing w:line="360" w:lineRule="auto"/>
        <w:jc w:val="both"/>
        <w:rPr>
          <w:rFonts w:ascii="Arial" w:hAnsi="Arial" w:cs="Arial"/>
        </w:rPr>
      </w:pPr>
      <w:bookmarkStart w:id="13" w:name="_Toc42089739"/>
      <w:r>
        <w:rPr>
          <w:rStyle w:val="berschrift3Zchn"/>
          <w:rFonts w:ascii="Arial" w:hAnsi="Arial" w:cs="Arial"/>
        </w:rPr>
        <w:t>2</w:t>
      </w:r>
      <w:r w:rsidR="00BD3F06" w:rsidRPr="00BD3F06">
        <w:rPr>
          <w:rStyle w:val="berschrift3Zchn"/>
          <w:rFonts w:ascii="Arial" w:hAnsi="Arial" w:cs="Arial"/>
        </w:rPr>
        <w:t xml:space="preserve">.5.7 </w:t>
      </w:r>
      <w:r w:rsidR="0016489A" w:rsidRPr="00BD3F06">
        <w:rPr>
          <w:rStyle w:val="berschrift3Zchn"/>
          <w:rFonts w:ascii="Arial" w:hAnsi="Arial" w:cs="Arial"/>
        </w:rPr>
        <w:t>Prinzip der Rechenschaftspflicht</w:t>
      </w:r>
      <w:bookmarkEnd w:id="13"/>
      <w:r w:rsidR="0016489A" w:rsidRPr="00BD3F06">
        <w:rPr>
          <w:rFonts w:ascii="Arial" w:hAnsi="Arial" w:cs="Arial"/>
        </w:rPr>
        <w:t xml:space="preserve"> </w:t>
      </w:r>
    </w:p>
    <w:p w14:paraId="3AFDD698" w14:textId="1E4F5768" w:rsidR="00575D58" w:rsidRPr="00BD3F06" w:rsidRDefault="0016489A" w:rsidP="00BD3F06">
      <w:pPr>
        <w:spacing w:line="360" w:lineRule="auto"/>
        <w:jc w:val="both"/>
        <w:rPr>
          <w:rFonts w:ascii="Arial" w:hAnsi="Arial" w:cs="Arial"/>
        </w:rPr>
      </w:pPr>
      <w:r w:rsidRPr="00BD3F06">
        <w:rPr>
          <w:rFonts w:ascii="Arial" w:hAnsi="Arial" w:cs="Arial"/>
        </w:rPr>
        <w:t>Die Pflicht des Verantwortlichen ist es nachzuweisen, dass dieser den Datenschutz einhält und auch bei den Behörden bei Prüfungen nachweisen kann.</w:t>
      </w:r>
    </w:p>
    <w:p w14:paraId="7BC7C909" w14:textId="4B4FC474" w:rsidR="00BD3F06" w:rsidRDefault="005B757C" w:rsidP="00BD3F06">
      <w:pPr>
        <w:spacing w:line="360" w:lineRule="auto"/>
        <w:jc w:val="both"/>
        <w:rPr>
          <w:rFonts w:ascii="Arial" w:hAnsi="Arial" w:cs="Arial"/>
        </w:rPr>
      </w:pPr>
      <w:bookmarkStart w:id="14" w:name="_Toc42089740"/>
      <w:r>
        <w:rPr>
          <w:rStyle w:val="berschrift3Zchn"/>
          <w:rFonts w:ascii="Arial" w:hAnsi="Arial" w:cs="Arial"/>
        </w:rPr>
        <w:t>2</w:t>
      </w:r>
      <w:r w:rsidR="00BD3F06" w:rsidRPr="00BD3F06">
        <w:rPr>
          <w:rStyle w:val="berschrift3Zchn"/>
          <w:rFonts w:ascii="Arial" w:hAnsi="Arial" w:cs="Arial"/>
        </w:rPr>
        <w:t xml:space="preserve">.5.8 </w:t>
      </w:r>
      <w:r w:rsidR="0016489A" w:rsidRPr="00BD3F06">
        <w:rPr>
          <w:rStyle w:val="berschrift3Zchn"/>
          <w:rFonts w:ascii="Arial" w:hAnsi="Arial" w:cs="Arial"/>
        </w:rPr>
        <w:t>Prinzip der Rechtmäßigkeit</w:t>
      </w:r>
      <w:bookmarkEnd w:id="14"/>
      <w:r w:rsidR="0016489A" w:rsidRPr="00BD3F06">
        <w:rPr>
          <w:rFonts w:ascii="Arial" w:hAnsi="Arial" w:cs="Arial"/>
        </w:rPr>
        <w:t xml:space="preserve"> </w:t>
      </w:r>
    </w:p>
    <w:p w14:paraId="4674D805" w14:textId="401A2B8F" w:rsidR="0016489A" w:rsidRPr="00BD3F06" w:rsidRDefault="0016489A" w:rsidP="00BD3F06">
      <w:pPr>
        <w:spacing w:line="360" w:lineRule="auto"/>
        <w:jc w:val="both"/>
        <w:rPr>
          <w:rFonts w:ascii="Arial" w:hAnsi="Arial" w:cs="Arial"/>
        </w:rPr>
      </w:pPr>
      <w:r w:rsidRPr="00BD3F06">
        <w:rPr>
          <w:rFonts w:ascii="Arial" w:hAnsi="Arial" w:cs="Arial"/>
        </w:rPr>
        <w:t xml:space="preserve">Die Daten dürfen nur nach nachvollziehbarer Weise verarbeitet werden. Dies bestärkt insbesondere die Transparenz der Datenverarbeitung. </w:t>
      </w:r>
      <w:r w:rsidR="0005199A">
        <w:rPr>
          <w:rFonts w:ascii="Arial" w:hAnsi="Arial" w:cs="Arial"/>
        </w:rPr>
        <w:t xml:space="preserve">Zusätzlich gilt der Grundsatz der Treue und Glaube. </w:t>
      </w:r>
    </w:p>
    <w:p w14:paraId="4FAAE6A8" w14:textId="3635DFF9" w:rsidR="000E6E2E" w:rsidRDefault="005B757C" w:rsidP="00EE58C7">
      <w:pPr>
        <w:pStyle w:val="berschrift2"/>
        <w:rPr>
          <w:rFonts w:ascii="Arial" w:hAnsi="Arial" w:cs="Arial"/>
          <w:sz w:val="28"/>
          <w:szCs w:val="28"/>
        </w:rPr>
      </w:pPr>
      <w:bookmarkStart w:id="15" w:name="_Toc42089741"/>
      <w:r>
        <w:rPr>
          <w:rFonts w:ascii="Arial" w:hAnsi="Arial" w:cs="Arial"/>
          <w:sz w:val="28"/>
          <w:szCs w:val="28"/>
        </w:rPr>
        <w:t>2</w:t>
      </w:r>
      <w:r w:rsidR="00EE58C7">
        <w:rPr>
          <w:rFonts w:ascii="Arial" w:hAnsi="Arial" w:cs="Arial"/>
          <w:sz w:val="28"/>
          <w:szCs w:val="28"/>
        </w:rPr>
        <w:t>.</w:t>
      </w:r>
      <w:r w:rsidR="005B0367">
        <w:rPr>
          <w:rFonts w:ascii="Arial" w:hAnsi="Arial" w:cs="Arial"/>
          <w:sz w:val="28"/>
          <w:szCs w:val="28"/>
        </w:rPr>
        <w:t>6</w:t>
      </w:r>
      <w:r w:rsidR="00EE58C7">
        <w:rPr>
          <w:rFonts w:ascii="Arial" w:hAnsi="Arial" w:cs="Arial"/>
          <w:sz w:val="28"/>
          <w:szCs w:val="28"/>
        </w:rPr>
        <w:t xml:space="preserve"> Struktur</w:t>
      </w:r>
      <w:r w:rsidR="004E7779">
        <w:rPr>
          <w:rFonts w:ascii="Arial" w:hAnsi="Arial" w:cs="Arial"/>
          <w:sz w:val="28"/>
          <w:szCs w:val="28"/>
        </w:rPr>
        <w:t xml:space="preserve"> und Aufbau</w:t>
      </w:r>
      <w:r w:rsidR="00EE58C7">
        <w:rPr>
          <w:rFonts w:ascii="Arial" w:hAnsi="Arial" w:cs="Arial"/>
          <w:sz w:val="28"/>
          <w:szCs w:val="28"/>
        </w:rPr>
        <w:t xml:space="preserve"> der DSGVO</w:t>
      </w:r>
      <w:bookmarkEnd w:id="15"/>
    </w:p>
    <w:p w14:paraId="527A0067" w14:textId="2D6E4211" w:rsidR="00EE58C7" w:rsidRDefault="00EE58C7" w:rsidP="00EE58C7"/>
    <w:p w14:paraId="79E9470F" w14:textId="78F8EE68" w:rsidR="00EE58C7" w:rsidRPr="00D23BF2" w:rsidRDefault="004E7779" w:rsidP="003178DD">
      <w:pPr>
        <w:spacing w:line="360" w:lineRule="auto"/>
        <w:jc w:val="both"/>
        <w:rPr>
          <w:rFonts w:ascii="Arial" w:hAnsi="Arial" w:cs="Arial"/>
        </w:rPr>
      </w:pPr>
      <w:r w:rsidRPr="00D23BF2">
        <w:rPr>
          <w:rFonts w:ascii="Arial" w:hAnsi="Arial" w:cs="Arial"/>
        </w:rPr>
        <w:t>Der Anwendungs- bzw. Geltungsbereich bezieht sich auf voll und teil automatisierte Verarbeitungsprozesse der personenbezogenen Daten. Auch gelten manuelle gespeicherte Daten in Datenbanken oder Systemen. Der Anwendungsbereich wird in zwei Kategorien gegliedert, auf der einen Seite der sachliche und auf der anderen der Räumliche. Der sachliche Anwendungsbereich bezieht sich auf die ganz oder teilweise automatisierten Verarbeitungsprozesse sowie manuelle Prozesse zur Verarbeitung. Der räumliche Anwendungsbereich regelt die Verantwortung für die Verarbeitung bei Organisationen, Unternehmen etc., auch wenn die Verarbeitung zum Beispiel in den USA gespeichert wird</w:t>
      </w:r>
      <w:r w:rsidR="00D23BF2" w:rsidRPr="00D23BF2">
        <w:rPr>
          <w:rFonts w:ascii="Arial" w:hAnsi="Arial" w:cs="Arial"/>
        </w:rPr>
        <w:t xml:space="preserve"> (Marktortprinzip)</w:t>
      </w:r>
      <w:r w:rsidRPr="00D23BF2">
        <w:rPr>
          <w:rFonts w:ascii="Arial" w:hAnsi="Arial" w:cs="Arial"/>
        </w:rPr>
        <w:t>. Wie bereits erwähnt bezieht sich die DSGVO lediglich auf natürliche Personen – juristische Personen sind ausgeschlossen.</w:t>
      </w:r>
      <w:r w:rsidRPr="00D23BF2">
        <w:rPr>
          <w:rStyle w:val="Funotenzeichen"/>
          <w:rFonts w:ascii="Arial" w:hAnsi="Arial" w:cs="Arial"/>
        </w:rPr>
        <w:footnoteReference w:id="13"/>
      </w:r>
      <w:r w:rsidRPr="00D23BF2">
        <w:rPr>
          <w:rFonts w:ascii="Arial" w:hAnsi="Arial" w:cs="Arial"/>
        </w:rPr>
        <w:t xml:space="preserve"> </w:t>
      </w:r>
    </w:p>
    <w:p w14:paraId="46F2DB68" w14:textId="42AB8643" w:rsidR="003178DD" w:rsidRDefault="003178DD" w:rsidP="00595A8C">
      <w:pPr>
        <w:spacing w:line="360" w:lineRule="auto"/>
        <w:jc w:val="both"/>
        <w:rPr>
          <w:rFonts w:ascii="Arial" w:hAnsi="Arial" w:cs="Arial"/>
        </w:rPr>
      </w:pPr>
      <w:r>
        <w:rPr>
          <w:rFonts w:ascii="Arial" w:hAnsi="Arial" w:cs="Arial"/>
        </w:rPr>
        <w:t>Insgesamt ist die DSGVO in elf Kapitel unterteilt.</w:t>
      </w:r>
      <w:r w:rsidR="00110335">
        <w:rPr>
          <w:rStyle w:val="Funotenzeichen"/>
          <w:rFonts w:ascii="Arial" w:hAnsi="Arial" w:cs="Arial"/>
        </w:rPr>
        <w:footnoteReference w:id="14"/>
      </w:r>
      <w:r>
        <w:rPr>
          <w:rFonts w:ascii="Arial" w:hAnsi="Arial" w:cs="Arial"/>
        </w:rPr>
        <w:t xml:space="preserve"> </w:t>
      </w:r>
    </w:p>
    <w:p w14:paraId="405FE3FF" w14:textId="77777777" w:rsidR="00595A8C" w:rsidRDefault="003178DD" w:rsidP="00595A8C">
      <w:pPr>
        <w:pStyle w:val="Listenabsatz"/>
        <w:numPr>
          <w:ilvl w:val="0"/>
          <w:numId w:val="2"/>
        </w:numPr>
        <w:spacing w:line="360" w:lineRule="auto"/>
        <w:ind w:left="714" w:hanging="357"/>
        <w:jc w:val="both"/>
        <w:rPr>
          <w:rFonts w:ascii="Arial" w:hAnsi="Arial" w:cs="Arial"/>
        </w:rPr>
      </w:pPr>
      <w:r>
        <w:rPr>
          <w:rFonts w:ascii="Arial" w:hAnsi="Arial" w:cs="Arial"/>
          <w:u w:val="single"/>
        </w:rPr>
        <w:t>Kapitel 1:</w:t>
      </w:r>
      <w:r>
        <w:rPr>
          <w:rFonts w:ascii="Arial" w:hAnsi="Arial" w:cs="Arial"/>
        </w:rPr>
        <w:t xml:space="preserve"> </w:t>
      </w:r>
      <w:r w:rsidR="00595A8C">
        <w:rPr>
          <w:rFonts w:ascii="Arial" w:hAnsi="Arial" w:cs="Arial"/>
        </w:rPr>
        <w:t xml:space="preserve">Im ersten Kapitel werden grundsätzlich die allgemeinen Bestimmungen erklärt. Insbesondere nähere Regeln zum Geltungsbereich, Definitionen und welchen Zweck diese erfüllen sollen. Weiters werden die grundlegenden Begriffe erklärt. </w:t>
      </w:r>
    </w:p>
    <w:p w14:paraId="2D7C1ED3" w14:textId="77777777" w:rsidR="00DC4E2C" w:rsidRPr="00DC4E2C" w:rsidRDefault="00DC4E2C" w:rsidP="00DC4E2C">
      <w:pPr>
        <w:pStyle w:val="Listenabsatz"/>
        <w:spacing w:line="360" w:lineRule="auto"/>
        <w:ind w:left="714"/>
        <w:jc w:val="both"/>
        <w:rPr>
          <w:rFonts w:ascii="Arial" w:hAnsi="Arial" w:cs="Arial"/>
        </w:rPr>
      </w:pPr>
    </w:p>
    <w:p w14:paraId="2E605B36" w14:textId="3DF2FA61" w:rsidR="00595A8C" w:rsidRDefault="00595A8C" w:rsidP="00595A8C">
      <w:pPr>
        <w:pStyle w:val="Listenabsatz"/>
        <w:numPr>
          <w:ilvl w:val="0"/>
          <w:numId w:val="2"/>
        </w:numPr>
        <w:spacing w:line="360" w:lineRule="auto"/>
        <w:ind w:left="714" w:hanging="357"/>
        <w:jc w:val="both"/>
        <w:rPr>
          <w:rFonts w:ascii="Arial" w:hAnsi="Arial" w:cs="Arial"/>
        </w:rPr>
      </w:pPr>
      <w:r>
        <w:rPr>
          <w:rFonts w:ascii="Arial" w:hAnsi="Arial" w:cs="Arial"/>
          <w:u w:val="single"/>
        </w:rPr>
        <w:t>Kapitel 2:</w:t>
      </w:r>
      <w:r>
        <w:rPr>
          <w:rFonts w:ascii="Arial" w:hAnsi="Arial" w:cs="Arial"/>
        </w:rPr>
        <w:t xml:space="preserve"> Im Kapitel zwei werden auch die Prinzipien der DSGVO erläutert und zusätzlich die Verarbeitung von sensiblen personenbezogenen Daten. Ein </w:t>
      </w:r>
      <w:r>
        <w:rPr>
          <w:rFonts w:ascii="Arial" w:hAnsi="Arial" w:cs="Arial"/>
        </w:rPr>
        <w:lastRenderedPageBreak/>
        <w:t xml:space="preserve">wesentlicher Aspekt, der im Kapitel 2 der DSGVO erläutert wird, sind die Bedingungen für die Einwilligung. </w:t>
      </w:r>
    </w:p>
    <w:p w14:paraId="4DC5240D" w14:textId="77777777" w:rsidR="00DC4E2C" w:rsidRPr="00DC4E2C" w:rsidRDefault="00DC4E2C" w:rsidP="00DC4E2C">
      <w:pPr>
        <w:pStyle w:val="Listenabsatz"/>
        <w:spacing w:line="360" w:lineRule="auto"/>
        <w:ind w:left="714"/>
        <w:jc w:val="both"/>
        <w:rPr>
          <w:rFonts w:ascii="Arial" w:hAnsi="Arial" w:cs="Arial"/>
        </w:rPr>
      </w:pPr>
    </w:p>
    <w:p w14:paraId="0E540754" w14:textId="0DB7585A" w:rsidR="00BF7388" w:rsidRDefault="00595A8C" w:rsidP="00595A8C">
      <w:pPr>
        <w:pStyle w:val="Listenabsatz"/>
        <w:numPr>
          <w:ilvl w:val="0"/>
          <w:numId w:val="2"/>
        </w:numPr>
        <w:spacing w:line="360" w:lineRule="auto"/>
        <w:ind w:left="714" w:hanging="357"/>
        <w:jc w:val="both"/>
        <w:rPr>
          <w:rFonts w:ascii="Arial" w:hAnsi="Arial" w:cs="Arial"/>
        </w:rPr>
      </w:pPr>
      <w:r>
        <w:rPr>
          <w:rFonts w:ascii="Arial" w:hAnsi="Arial" w:cs="Arial"/>
          <w:u w:val="single"/>
        </w:rPr>
        <w:t>Kapitel 3:</w:t>
      </w:r>
      <w:r>
        <w:rPr>
          <w:rFonts w:ascii="Arial" w:hAnsi="Arial" w:cs="Arial"/>
        </w:rPr>
        <w:t xml:space="preserve"> Dieses Kapitel handelt von den Rechten der betroffenen Personen. Diese werden in Abschnitte unterteilt. Diese Abschnitte umfassen die Informationspflicht, Recht auf Auskunft, Löschung der Daten, Widerspruchsrecht und Beschränkungen bei der Verarbeitung. </w:t>
      </w:r>
    </w:p>
    <w:p w14:paraId="17FCD370" w14:textId="77777777" w:rsidR="00DC4E2C" w:rsidRPr="00DC4E2C" w:rsidRDefault="00DC4E2C" w:rsidP="00DC4E2C">
      <w:pPr>
        <w:pStyle w:val="Listenabsatz"/>
        <w:spacing w:line="360" w:lineRule="auto"/>
        <w:ind w:left="714"/>
        <w:jc w:val="both"/>
        <w:rPr>
          <w:rFonts w:ascii="Arial" w:hAnsi="Arial" w:cs="Arial"/>
        </w:rPr>
      </w:pPr>
    </w:p>
    <w:p w14:paraId="27CF9BD7" w14:textId="1F04D8C5" w:rsidR="003178DD" w:rsidRDefault="00BF7388" w:rsidP="00595A8C">
      <w:pPr>
        <w:pStyle w:val="Listenabsatz"/>
        <w:numPr>
          <w:ilvl w:val="0"/>
          <w:numId w:val="2"/>
        </w:numPr>
        <w:spacing w:line="360" w:lineRule="auto"/>
        <w:ind w:left="714" w:hanging="357"/>
        <w:jc w:val="both"/>
        <w:rPr>
          <w:rFonts w:ascii="Arial" w:hAnsi="Arial" w:cs="Arial"/>
        </w:rPr>
      </w:pPr>
      <w:r>
        <w:rPr>
          <w:rFonts w:ascii="Arial" w:hAnsi="Arial" w:cs="Arial"/>
          <w:u w:val="single"/>
        </w:rPr>
        <w:t>Kapitel 4:</w:t>
      </w:r>
      <w:r>
        <w:rPr>
          <w:rFonts w:ascii="Arial" w:hAnsi="Arial" w:cs="Arial"/>
        </w:rPr>
        <w:t xml:space="preserve"> Dieses Kapitel bezieht sich auf die Pflichten der Verantwortlichen und Auftragsverarbeiter. Dies bedeutet, welche Pflichten und Maßnahmen müssen Unternehmen setzen, um datenschutzrechtlich konform zu agieren. Die Aspekte sind ebenfalls in Abschnitte gegliedert. </w:t>
      </w:r>
      <w:r w:rsidR="006875B0">
        <w:rPr>
          <w:rFonts w:ascii="Arial" w:hAnsi="Arial" w:cs="Arial"/>
        </w:rPr>
        <w:t>Diese Abschnitte beschreiben allgemeine Pflichten, Sicherheit der Daten, Datenschutz-Folgeabschätzung.</w:t>
      </w:r>
    </w:p>
    <w:p w14:paraId="40658953" w14:textId="77777777" w:rsidR="00DC4E2C" w:rsidRPr="00DC4E2C" w:rsidRDefault="00DC4E2C" w:rsidP="00DC4E2C">
      <w:pPr>
        <w:pStyle w:val="Listenabsatz"/>
        <w:spacing w:line="360" w:lineRule="auto"/>
        <w:ind w:left="714"/>
        <w:jc w:val="both"/>
        <w:rPr>
          <w:rFonts w:ascii="Arial" w:hAnsi="Arial" w:cs="Arial"/>
        </w:rPr>
      </w:pPr>
    </w:p>
    <w:p w14:paraId="68EE3450" w14:textId="5948294E" w:rsidR="006875B0" w:rsidRDefault="006875B0" w:rsidP="00595A8C">
      <w:pPr>
        <w:pStyle w:val="Listenabsatz"/>
        <w:numPr>
          <w:ilvl w:val="0"/>
          <w:numId w:val="2"/>
        </w:numPr>
        <w:spacing w:line="360" w:lineRule="auto"/>
        <w:ind w:left="714" w:hanging="357"/>
        <w:jc w:val="both"/>
        <w:rPr>
          <w:rFonts w:ascii="Arial" w:hAnsi="Arial" w:cs="Arial"/>
        </w:rPr>
      </w:pPr>
      <w:r>
        <w:rPr>
          <w:rFonts w:ascii="Arial" w:hAnsi="Arial" w:cs="Arial"/>
          <w:u w:val="single"/>
        </w:rPr>
        <w:t>Kapitel 7:</w:t>
      </w:r>
      <w:r>
        <w:rPr>
          <w:rFonts w:ascii="Arial" w:hAnsi="Arial" w:cs="Arial"/>
        </w:rPr>
        <w:t xml:space="preserve"> Im folgenden Kapitel wird die Zusammenarbeit der jeweiligen Aufsichtsbehörden der Mitgliedsstaaten beschrieben. Dies soll ebenfalls natürlichen Personen beim Schutz der Daten bzw. Rechtsdurchsetzung ermöglichen einfacher vor Gericht bzw. Behörden bei etwaigen Verletzungen vorzugehen. </w:t>
      </w:r>
    </w:p>
    <w:p w14:paraId="721E6C0B" w14:textId="77777777" w:rsidR="00DC4E2C" w:rsidRPr="00DC4E2C" w:rsidRDefault="00DC4E2C" w:rsidP="00DC4E2C">
      <w:pPr>
        <w:pStyle w:val="Listenabsatz"/>
        <w:spacing w:line="360" w:lineRule="auto"/>
        <w:ind w:left="714"/>
        <w:jc w:val="both"/>
        <w:rPr>
          <w:rFonts w:ascii="Arial" w:hAnsi="Arial" w:cs="Arial"/>
        </w:rPr>
      </w:pPr>
    </w:p>
    <w:p w14:paraId="2E1126A1" w14:textId="125215E3" w:rsidR="003D0AA7" w:rsidRDefault="006875B0" w:rsidP="00595A8C">
      <w:pPr>
        <w:pStyle w:val="Listenabsatz"/>
        <w:numPr>
          <w:ilvl w:val="0"/>
          <w:numId w:val="2"/>
        </w:numPr>
        <w:spacing w:line="360" w:lineRule="auto"/>
        <w:ind w:left="714" w:hanging="357"/>
        <w:jc w:val="both"/>
        <w:rPr>
          <w:rFonts w:ascii="Arial" w:hAnsi="Arial" w:cs="Arial"/>
        </w:rPr>
      </w:pPr>
      <w:r>
        <w:rPr>
          <w:rFonts w:ascii="Arial" w:hAnsi="Arial" w:cs="Arial"/>
          <w:u w:val="single"/>
        </w:rPr>
        <w:t>Kapitel 8:</w:t>
      </w:r>
      <w:r>
        <w:rPr>
          <w:rFonts w:ascii="Arial" w:hAnsi="Arial" w:cs="Arial"/>
        </w:rPr>
        <w:t xml:space="preserve"> Im achten Kapitel werden die Rechtsbehelfe, Haftung und Sanktionen beschrieben. </w:t>
      </w:r>
    </w:p>
    <w:p w14:paraId="718B4D69" w14:textId="249698A1" w:rsidR="000E6E2E" w:rsidRPr="003356EB" w:rsidRDefault="005B757C" w:rsidP="003356EB">
      <w:pPr>
        <w:pStyle w:val="berschrift1"/>
        <w:pBdr>
          <w:bottom w:val="single" w:sz="4" w:space="1" w:color="auto"/>
        </w:pBdr>
        <w:rPr>
          <w:rFonts w:ascii="Arial" w:hAnsi="Arial" w:cs="Arial"/>
        </w:rPr>
      </w:pPr>
      <w:bookmarkStart w:id="16" w:name="_Toc42089742"/>
      <w:r>
        <w:rPr>
          <w:rFonts w:ascii="Arial" w:hAnsi="Arial" w:cs="Arial"/>
        </w:rPr>
        <w:t>3</w:t>
      </w:r>
      <w:r w:rsidR="003356EB">
        <w:rPr>
          <w:rFonts w:ascii="Arial" w:hAnsi="Arial" w:cs="Arial"/>
        </w:rPr>
        <w:t xml:space="preserve"> Kapitel 4 der DSGVO – Pflichten der Datenverarbeiter</w:t>
      </w:r>
      <w:bookmarkEnd w:id="16"/>
    </w:p>
    <w:p w14:paraId="49185B4A" w14:textId="6B2B129D" w:rsidR="009864E8" w:rsidRDefault="009864E8" w:rsidP="009864E8"/>
    <w:p w14:paraId="5936C3C9" w14:textId="01154697" w:rsidR="00300D8C" w:rsidRDefault="003356EB" w:rsidP="003356EB">
      <w:pPr>
        <w:spacing w:line="360" w:lineRule="auto"/>
        <w:jc w:val="both"/>
        <w:rPr>
          <w:rFonts w:ascii="Arial" w:hAnsi="Arial" w:cs="Arial"/>
        </w:rPr>
      </w:pPr>
      <w:r>
        <w:rPr>
          <w:rFonts w:ascii="Arial" w:hAnsi="Arial" w:cs="Arial"/>
        </w:rPr>
        <w:t xml:space="preserve">Dieses Kapitel beschreibt das Kapitel 4 der DSGVO – Pflichten der Verantwortlichen und Auftragsverarbeiter. </w:t>
      </w:r>
      <w:r w:rsidR="00496187">
        <w:rPr>
          <w:rFonts w:ascii="Arial" w:hAnsi="Arial" w:cs="Arial"/>
        </w:rPr>
        <w:t xml:space="preserve">Es soll insbesondere darauf eingegangen werden </w:t>
      </w:r>
      <w:r w:rsidR="00300D8C">
        <w:rPr>
          <w:rFonts w:ascii="Arial" w:hAnsi="Arial" w:cs="Arial"/>
        </w:rPr>
        <w:t>unter welchen Berücksichtig</w:t>
      </w:r>
      <w:r w:rsidR="00395565">
        <w:rPr>
          <w:rFonts w:ascii="Arial" w:hAnsi="Arial" w:cs="Arial"/>
        </w:rPr>
        <w:t>ungen</w:t>
      </w:r>
      <w:r w:rsidR="00496187">
        <w:rPr>
          <w:rFonts w:ascii="Arial" w:hAnsi="Arial" w:cs="Arial"/>
        </w:rPr>
        <w:t xml:space="preserve"> der Verantwortliche für die Verarbeitung der Daten nach den DSGVO Bestimmungen konform mit den Daten umgeht. </w:t>
      </w:r>
    </w:p>
    <w:p w14:paraId="73BA308E" w14:textId="42B26DDD" w:rsidR="00300D8C" w:rsidRPr="005D2CB2" w:rsidRDefault="005B757C" w:rsidP="005D2CB2">
      <w:pPr>
        <w:pStyle w:val="berschrift2"/>
        <w:rPr>
          <w:rFonts w:ascii="Arial" w:hAnsi="Arial" w:cs="Arial"/>
          <w:sz w:val="28"/>
          <w:szCs w:val="28"/>
        </w:rPr>
      </w:pPr>
      <w:bookmarkStart w:id="17" w:name="_Toc42089743"/>
      <w:r>
        <w:rPr>
          <w:rFonts w:ascii="Arial" w:hAnsi="Arial" w:cs="Arial"/>
          <w:sz w:val="28"/>
          <w:szCs w:val="28"/>
        </w:rPr>
        <w:t>3</w:t>
      </w:r>
      <w:r w:rsidR="00300D8C" w:rsidRPr="005D2CB2">
        <w:rPr>
          <w:rFonts w:ascii="Arial" w:hAnsi="Arial" w:cs="Arial"/>
          <w:sz w:val="28"/>
          <w:szCs w:val="28"/>
        </w:rPr>
        <w:t>.1 Datenschutz und Datensicherheit</w:t>
      </w:r>
      <w:r w:rsidR="003110CD">
        <w:rPr>
          <w:rStyle w:val="Funotenzeichen"/>
          <w:rFonts w:ascii="Arial" w:hAnsi="Arial" w:cs="Arial"/>
        </w:rPr>
        <w:footnoteReference w:id="15"/>
      </w:r>
      <w:bookmarkEnd w:id="17"/>
    </w:p>
    <w:p w14:paraId="6D54AD6D" w14:textId="648E1A1E" w:rsidR="00300D8C" w:rsidRDefault="00300D8C" w:rsidP="00300D8C"/>
    <w:p w14:paraId="30AD5816" w14:textId="77777777" w:rsidR="00FC39D7" w:rsidRDefault="00300D8C" w:rsidP="00DC4E2C">
      <w:pPr>
        <w:spacing w:line="360" w:lineRule="auto"/>
        <w:jc w:val="both"/>
        <w:rPr>
          <w:rFonts w:ascii="Arial" w:hAnsi="Arial" w:cs="Arial"/>
        </w:rPr>
      </w:pPr>
      <w:r>
        <w:rPr>
          <w:rFonts w:ascii="Arial" w:hAnsi="Arial" w:cs="Arial"/>
        </w:rPr>
        <w:t xml:space="preserve">Die Sicherheit der Daten ist für die DSGVO eine der wesentlichsten </w:t>
      </w:r>
      <w:r w:rsidR="00E04EF6">
        <w:rPr>
          <w:rFonts w:ascii="Arial" w:hAnsi="Arial" w:cs="Arial"/>
        </w:rPr>
        <w:t>Punkte,</w:t>
      </w:r>
      <w:r>
        <w:rPr>
          <w:rFonts w:ascii="Arial" w:hAnsi="Arial" w:cs="Arial"/>
        </w:rPr>
        <w:t xml:space="preserve"> die vor Dritten geschützt werden müssen, daher müssen Unternehmen bereits im Vorhinein Maßnahmen treffen, um dies zu ermöglichen. </w:t>
      </w:r>
      <w:r w:rsidR="00E04EF6">
        <w:rPr>
          <w:rFonts w:ascii="Arial" w:hAnsi="Arial" w:cs="Arial"/>
        </w:rPr>
        <w:t xml:space="preserve">Um die Daten effizient zu schützen muss der Verantwortliche bzw. Auftragsverarbeiter geeignete technische Maßnahmen setzen, um das Risiko vor </w:t>
      </w:r>
      <w:r w:rsidR="00E04EF6">
        <w:rPr>
          <w:rFonts w:ascii="Arial" w:hAnsi="Arial" w:cs="Arial"/>
        </w:rPr>
        <w:lastRenderedPageBreak/>
        <w:t xml:space="preserve">Datenverlust zu minimieren. Dafür können Verschlüsselungen oder Zugangsbeschränkungen zu den Daten vorgenommen werden. </w:t>
      </w:r>
    </w:p>
    <w:p w14:paraId="11414815" w14:textId="1D9D2551" w:rsidR="0003563C" w:rsidRPr="00DC4E2C" w:rsidRDefault="00E04EF6" w:rsidP="00DC4E2C">
      <w:pPr>
        <w:spacing w:line="360" w:lineRule="auto"/>
        <w:jc w:val="both"/>
        <w:rPr>
          <w:rFonts w:ascii="Arial" w:hAnsi="Arial" w:cs="Arial"/>
        </w:rPr>
      </w:pPr>
      <w:r>
        <w:rPr>
          <w:rFonts w:ascii="Arial" w:hAnsi="Arial" w:cs="Arial"/>
        </w:rPr>
        <w:t>Weiters muss der Verantwortliche bei Datenverlust Backup-Programme einsetzen. Um ein Schutzniveau gewährleisten werden zwei Grundsätze angewendet, einerseits Datenschutz durch Technik und andererseits datenschutzfreundliche Voreinstellungen. Datenschutz durch Technik (</w:t>
      </w:r>
      <w:proofErr w:type="spellStart"/>
      <w:r>
        <w:rPr>
          <w:rFonts w:ascii="Arial" w:hAnsi="Arial" w:cs="Arial"/>
        </w:rPr>
        <w:t>privacy</w:t>
      </w:r>
      <w:proofErr w:type="spellEnd"/>
      <w:r>
        <w:rPr>
          <w:rFonts w:ascii="Arial" w:hAnsi="Arial" w:cs="Arial"/>
        </w:rPr>
        <w:t xml:space="preserve"> </w:t>
      </w:r>
      <w:proofErr w:type="spellStart"/>
      <w:r>
        <w:rPr>
          <w:rFonts w:ascii="Arial" w:hAnsi="Arial" w:cs="Arial"/>
        </w:rPr>
        <w:t>by</w:t>
      </w:r>
      <w:proofErr w:type="spellEnd"/>
      <w:r>
        <w:rPr>
          <w:rFonts w:ascii="Arial" w:hAnsi="Arial" w:cs="Arial"/>
        </w:rPr>
        <w:t xml:space="preserve"> </w:t>
      </w:r>
      <w:proofErr w:type="spellStart"/>
      <w:r>
        <w:rPr>
          <w:rFonts w:ascii="Arial" w:hAnsi="Arial" w:cs="Arial"/>
        </w:rPr>
        <w:t>design</w:t>
      </w:r>
      <w:proofErr w:type="spellEnd"/>
      <w:r>
        <w:rPr>
          <w:rFonts w:ascii="Arial" w:hAnsi="Arial" w:cs="Arial"/>
        </w:rPr>
        <w:t xml:space="preserve">) betrifft eine entsprechende IT-Infrastruktur und die Schwere der Risiken und </w:t>
      </w:r>
      <w:r w:rsidR="00897301">
        <w:rPr>
          <w:rFonts w:ascii="Arial" w:hAnsi="Arial" w:cs="Arial"/>
        </w:rPr>
        <w:t>Eintrittswahrscheinlichkeiten</w:t>
      </w:r>
      <w:r>
        <w:rPr>
          <w:rFonts w:ascii="Arial" w:hAnsi="Arial" w:cs="Arial"/>
        </w:rPr>
        <w:t xml:space="preserve"> (Datenverlust) </w:t>
      </w:r>
      <w:r w:rsidR="00080178">
        <w:rPr>
          <w:rFonts w:ascii="Arial" w:hAnsi="Arial" w:cs="Arial"/>
        </w:rPr>
        <w:t>abzuwägen</w:t>
      </w:r>
      <w:r>
        <w:rPr>
          <w:rFonts w:ascii="Arial" w:hAnsi="Arial" w:cs="Arial"/>
        </w:rPr>
        <w:t>. Datenschutzfreundliche Voreinstellungen (</w:t>
      </w:r>
      <w:proofErr w:type="spellStart"/>
      <w:r>
        <w:rPr>
          <w:rFonts w:ascii="Arial" w:hAnsi="Arial" w:cs="Arial"/>
        </w:rPr>
        <w:t>privacy</w:t>
      </w:r>
      <w:proofErr w:type="spellEnd"/>
      <w:r>
        <w:rPr>
          <w:rFonts w:ascii="Arial" w:hAnsi="Arial" w:cs="Arial"/>
        </w:rPr>
        <w:t xml:space="preserve"> </w:t>
      </w:r>
      <w:proofErr w:type="spellStart"/>
      <w:r>
        <w:rPr>
          <w:rFonts w:ascii="Arial" w:hAnsi="Arial" w:cs="Arial"/>
        </w:rPr>
        <w:t>by</w:t>
      </w:r>
      <w:proofErr w:type="spellEnd"/>
      <w:r>
        <w:rPr>
          <w:rFonts w:ascii="Arial" w:hAnsi="Arial" w:cs="Arial"/>
        </w:rPr>
        <w:t xml:space="preserve"> </w:t>
      </w:r>
      <w:proofErr w:type="spellStart"/>
      <w:r>
        <w:rPr>
          <w:rFonts w:ascii="Arial" w:hAnsi="Arial" w:cs="Arial"/>
        </w:rPr>
        <w:t>default</w:t>
      </w:r>
      <w:proofErr w:type="spellEnd"/>
      <w:r>
        <w:rPr>
          <w:rFonts w:ascii="Arial" w:hAnsi="Arial" w:cs="Arial"/>
        </w:rPr>
        <w:t xml:space="preserve">) sind ebenfalls technische Maßnahmen und soll insbesondere nur die Daten verarbeiten, die dem </w:t>
      </w:r>
      <w:r w:rsidR="000B7DCF">
        <w:rPr>
          <w:rFonts w:ascii="Arial" w:hAnsi="Arial" w:cs="Arial"/>
        </w:rPr>
        <w:t xml:space="preserve">jeweiligen </w:t>
      </w:r>
      <w:r>
        <w:rPr>
          <w:rFonts w:ascii="Arial" w:hAnsi="Arial" w:cs="Arial"/>
        </w:rPr>
        <w:t xml:space="preserve">Zwecke dienen. </w:t>
      </w:r>
      <w:r w:rsidR="000B7DCF">
        <w:rPr>
          <w:rFonts w:ascii="Arial" w:hAnsi="Arial" w:cs="Arial"/>
        </w:rPr>
        <w:t xml:space="preserve">Dies ist mit dem Prinzip „Datenminimierung“ verbunden. </w:t>
      </w:r>
    </w:p>
    <w:p w14:paraId="0BE4B886" w14:textId="3902CBD9" w:rsidR="005B0367" w:rsidRDefault="005B757C" w:rsidP="005B0367">
      <w:pPr>
        <w:pStyle w:val="berschrift3"/>
        <w:rPr>
          <w:rFonts w:ascii="Arial" w:hAnsi="Arial" w:cs="Arial"/>
        </w:rPr>
      </w:pPr>
      <w:bookmarkStart w:id="18" w:name="_Toc42089744"/>
      <w:r>
        <w:rPr>
          <w:rFonts w:ascii="Arial" w:hAnsi="Arial" w:cs="Arial"/>
        </w:rPr>
        <w:t>3</w:t>
      </w:r>
      <w:r w:rsidR="005B0367" w:rsidRPr="005B0367">
        <w:rPr>
          <w:rFonts w:ascii="Arial" w:hAnsi="Arial" w:cs="Arial"/>
        </w:rPr>
        <w:t>.1.1 Privacy By Design</w:t>
      </w:r>
      <w:r w:rsidR="006944DD">
        <w:rPr>
          <w:rStyle w:val="Funotenzeichen"/>
          <w:rFonts w:ascii="Arial" w:hAnsi="Arial" w:cs="Arial"/>
        </w:rPr>
        <w:footnoteReference w:id="16"/>
      </w:r>
      <w:bookmarkEnd w:id="18"/>
    </w:p>
    <w:p w14:paraId="4E6E82CD" w14:textId="009CC69F" w:rsidR="005B0367" w:rsidRDefault="005B0367" w:rsidP="005B0367"/>
    <w:p w14:paraId="197C7491" w14:textId="6D06EAFE" w:rsidR="005B0367" w:rsidRPr="00680AA2" w:rsidRDefault="00680AA2" w:rsidP="00680AA2">
      <w:pPr>
        <w:spacing w:line="360" w:lineRule="auto"/>
        <w:jc w:val="both"/>
        <w:rPr>
          <w:rFonts w:ascii="Arial" w:hAnsi="Arial" w:cs="Arial"/>
        </w:rPr>
      </w:pPr>
      <w:r>
        <w:rPr>
          <w:rFonts w:ascii="Arial" w:hAnsi="Arial" w:cs="Arial"/>
        </w:rPr>
        <w:t>Dieser Begriff bedeutet übersetzt „Datenschutz durch Technikgestaltung“. Dies soll bereits bei einem Vorgang eines Datenverarbeitungsprozess der Datenschutz technisch integriert werden. Daher sollten technische Schutzmaßnahmen bereits bei der Entwicklung und Integration der DSGVO miteingearbeitet werden.</w:t>
      </w:r>
    </w:p>
    <w:p w14:paraId="05D3BC4D" w14:textId="003E4ECC" w:rsidR="005B0367" w:rsidRDefault="005B757C" w:rsidP="005B0367">
      <w:pPr>
        <w:pStyle w:val="berschrift3"/>
        <w:rPr>
          <w:rFonts w:ascii="Arial" w:hAnsi="Arial" w:cs="Arial"/>
        </w:rPr>
      </w:pPr>
      <w:bookmarkStart w:id="19" w:name="_Toc42089745"/>
      <w:r>
        <w:rPr>
          <w:rFonts w:ascii="Arial" w:hAnsi="Arial" w:cs="Arial"/>
        </w:rPr>
        <w:t>3</w:t>
      </w:r>
      <w:r w:rsidR="005B0367" w:rsidRPr="005B0367">
        <w:rPr>
          <w:rFonts w:ascii="Arial" w:hAnsi="Arial" w:cs="Arial"/>
        </w:rPr>
        <w:t xml:space="preserve">.1.2 Privacy </w:t>
      </w:r>
      <w:proofErr w:type="spellStart"/>
      <w:r w:rsidR="005B0367" w:rsidRPr="005B0367">
        <w:rPr>
          <w:rFonts w:ascii="Arial" w:hAnsi="Arial" w:cs="Arial"/>
        </w:rPr>
        <w:t>by</w:t>
      </w:r>
      <w:proofErr w:type="spellEnd"/>
      <w:r w:rsidR="005B0367" w:rsidRPr="005B0367">
        <w:rPr>
          <w:rFonts w:ascii="Arial" w:hAnsi="Arial" w:cs="Arial"/>
        </w:rPr>
        <w:t xml:space="preserve"> Default</w:t>
      </w:r>
      <w:r w:rsidR="006944DD">
        <w:rPr>
          <w:rStyle w:val="Funotenzeichen"/>
          <w:rFonts w:ascii="Arial" w:hAnsi="Arial" w:cs="Arial"/>
        </w:rPr>
        <w:footnoteReference w:id="17"/>
      </w:r>
      <w:bookmarkEnd w:id="19"/>
    </w:p>
    <w:p w14:paraId="4A118759" w14:textId="1D824297" w:rsidR="00680AA2" w:rsidRDefault="00680AA2" w:rsidP="00680AA2"/>
    <w:p w14:paraId="29416BDB" w14:textId="4D3049D1" w:rsidR="00680AA2" w:rsidRDefault="00680AA2" w:rsidP="00680AA2">
      <w:pPr>
        <w:spacing w:line="360" w:lineRule="auto"/>
        <w:jc w:val="both"/>
        <w:rPr>
          <w:rFonts w:ascii="Arial" w:hAnsi="Arial" w:cs="Arial"/>
        </w:rPr>
      </w:pPr>
      <w:r>
        <w:rPr>
          <w:rFonts w:ascii="Arial" w:hAnsi="Arial" w:cs="Arial"/>
        </w:rPr>
        <w:t xml:space="preserve">Dieser Begriff bedeutet übersetzt „Datenschutz durch datenschutzfreundliche Voreinstellungen“. Dies soll insbesondere den Nutzer schützen. Es sollen datenschutzfreundliche Einstellungen in der Entwicklungsphase eingebaut werden. Jeder Nutzer soll sich bei den Einstellungen </w:t>
      </w:r>
      <w:r w:rsidR="000137B5">
        <w:rPr>
          <w:rFonts w:ascii="Arial" w:hAnsi="Arial" w:cs="Arial"/>
        </w:rPr>
        <w:t>zurechtfinden</w:t>
      </w:r>
      <w:r>
        <w:rPr>
          <w:rFonts w:ascii="Arial" w:hAnsi="Arial" w:cs="Arial"/>
        </w:rPr>
        <w:t xml:space="preserve"> und diese leicht und schnell einstellen können. </w:t>
      </w:r>
    </w:p>
    <w:p w14:paraId="1DE58E4E" w14:textId="4713ACC1" w:rsidR="00835640" w:rsidRDefault="005B757C" w:rsidP="00835640">
      <w:pPr>
        <w:pStyle w:val="berschrift3"/>
        <w:rPr>
          <w:rFonts w:ascii="Arial" w:hAnsi="Arial" w:cs="Arial"/>
        </w:rPr>
      </w:pPr>
      <w:bookmarkStart w:id="20" w:name="_Toc42089746"/>
      <w:r>
        <w:rPr>
          <w:rFonts w:ascii="Arial" w:hAnsi="Arial" w:cs="Arial"/>
        </w:rPr>
        <w:t>3</w:t>
      </w:r>
      <w:r w:rsidR="00835640" w:rsidRPr="00835640">
        <w:rPr>
          <w:rFonts w:ascii="Arial" w:hAnsi="Arial" w:cs="Arial"/>
        </w:rPr>
        <w:t xml:space="preserve">.1.3 </w:t>
      </w:r>
      <w:r w:rsidR="00835640">
        <w:rPr>
          <w:rFonts w:ascii="Arial" w:hAnsi="Arial" w:cs="Arial"/>
        </w:rPr>
        <w:t>Technische und organisatorische Maßnahmen (TOMs)</w:t>
      </w:r>
      <w:bookmarkEnd w:id="20"/>
    </w:p>
    <w:p w14:paraId="2267F014" w14:textId="0871FBC5" w:rsidR="00835640" w:rsidRDefault="00835640" w:rsidP="00835640"/>
    <w:p w14:paraId="17D47981" w14:textId="7B078E21" w:rsidR="00835640" w:rsidRPr="00835640" w:rsidRDefault="00835640" w:rsidP="00835640">
      <w:pPr>
        <w:spacing w:line="360" w:lineRule="auto"/>
        <w:jc w:val="both"/>
        <w:rPr>
          <w:rFonts w:ascii="Arial" w:hAnsi="Arial" w:cs="Arial"/>
        </w:rPr>
      </w:pPr>
      <w:proofErr w:type="spellStart"/>
      <w:r>
        <w:rPr>
          <w:rFonts w:ascii="Arial" w:hAnsi="Arial" w:cs="Arial"/>
        </w:rPr>
        <w:t>Isd</w:t>
      </w:r>
      <w:proofErr w:type="spellEnd"/>
      <w:r>
        <w:rPr>
          <w:rFonts w:ascii="Arial" w:hAnsi="Arial" w:cs="Arial"/>
        </w:rPr>
        <w:t xml:space="preserve">. Art. 32 „Sicherheit der Verarbeitung“ gibt es sowohl für Unternehmen als auch Institutionen technische und organisatorische Maßnahmen für die richtige Umsetzung der DSGVO zu treffen. Diese gesetzten Maßnahmen sollen die personenbezogenen Daten einerseits vor Verlust und </w:t>
      </w:r>
      <w:r w:rsidR="005A591C">
        <w:rPr>
          <w:rFonts w:ascii="Arial" w:hAnsi="Arial" w:cs="Arial"/>
        </w:rPr>
        <w:t xml:space="preserve">Diebstahl schützen. Der Gesetzgeber schreibt keine verpflichtenden Maßnahmen vor, ein Unternehmen muss dieses für sich selbst entscheiden. Das Ziel ist es die Daten zu verschlüsseln, die Systeme vor Angriffen zu schützen, regelmäßige Überprüfung und Auswertung der technischen Anforderungen bzw. Maßnahmen und dauerhafte Verfügbarkeit der Daten. Dies betrifft insbesondere die technischen Maßnahmen. Organisatorische </w:t>
      </w:r>
      <w:r w:rsidR="005A591C">
        <w:rPr>
          <w:rFonts w:ascii="Arial" w:hAnsi="Arial" w:cs="Arial"/>
        </w:rPr>
        <w:lastRenderedPageBreak/>
        <w:t xml:space="preserve">Maßnahmen wären bauliche Maßnahmen, wie zum Beispiel Sicherung der Eingänge bzw. Gebäude, Videoüberwachung, Protokollierung über Besucher. Es gibt einige Maßnahmen, die von den Unternehmen gesetzt werden können und es steht ihnen frei diese auszuüben. </w:t>
      </w:r>
      <w:r w:rsidR="00CB145E">
        <w:rPr>
          <w:rFonts w:ascii="Arial" w:hAnsi="Arial" w:cs="Arial"/>
        </w:rPr>
        <w:t>Die Maßnahmen sollten daher aufgrund jedes Einzelfalls basieren.</w:t>
      </w:r>
      <w:r w:rsidR="003E2661">
        <w:rPr>
          <w:rStyle w:val="Funotenzeichen"/>
          <w:rFonts w:ascii="Arial" w:hAnsi="Arial" w:cs="Arial"/>
        </w:rPr>
        <w:footnoteReference w:id="18"/>
      </w:r>
    </w:p>
    <w:p w14:paraId="1082F678" w14:textId="54E1C11F" w:rsidR="00A471D5" w:rsidRDefault="005B757C" w:rsidP="00A471D5">
      <w:pPr>
        <w:pStyle w:val="berschrift2"/>
        <w:rPr>
          <w:rFonts w:ascii="Arial" w:hAnsi="Arial" w:cs="Arial"/>
          <w:sz w:val="28"/>
          <w:szCs w:val="28"/>
        </w:rPr>
      </w:pPr>
      <w:bookmarkStart w:id="21" w:name="_Toc42089747"/>
      <w:r>
        <w:rPr>
          <w:rFonts w:ascii="Arial" w:hAnsi="Arial" w:cs="Arial"/>
          <w:sz w:val="28"/>
          <w:szCs w:val="28"/>
        </w:rPr>
        <w:t>3</w:t>
      </w:r>
      <w:r w:rsidR="00A471D5">
        <w:rPr>
          <w:rFonts w:ascii="Arial" w:hAnsi="Arial" w:cs="Arial"/>
          <w:sz w:val="28"/>
          <w:szCs w:val="28"/>
        </w:rPr>
        <w:t xml:space="preserve">.2 </w:t>
      </w:r>
      <w:r w:rsidR="00BA7018">
        <w:rPr>
          <w:rFonts w:ascii="Arial" w:hAnsi="Arial" w:cs="Arial"/>
          <w:sz w:val="28"/>
          <w:szCs w:val="28"/>
        </w:rPr>
        <w:t>Dokumentationspflicht</w:t>
      </w:r>
      <w:bookmarkEnd w:id="21"/>
    </w:p>
    <w:p w14:paraId="7245BA3B" w14:textId="7806673C" w:rsidR="00BA7018" w:rsidRDefault="00BA7018" w:rsidP="00BA7018"/>
    <w:p w14:paraId="28B3681A" w14:textId="0CEBE87F" w:rsidR="00BA7018" w:rsidRDefault="00E04910" w:rsidP="00E04910">
      <w:pPr>
        <w:spacing w:line="360" w:lineRule="auto"/>
        <w:jc w:val="both"/>
        <w:rPr>
          <w:rFonts w:ascii="Arial" w:hAnsi="Arial" w:cs="Arial"/>
        </w:rPr>
      </w:pPr>
      <w:r>
        <w:rPr>
          <w:rFonts w:ascii="Arial" w:hAnsi="Arial" w:cs="Arial"/>
        </w:rPr>
        <w:t>Der Verantwortliche muss ein Verzeichnis aller Verarbeitungsprozesse führen. Dieses Verzeichnis muss einige Punkte und Daten des Verantwortlichen (Name des Verantwortlichen, Zweck der Datenverarbeitung, Fristen der Löschung, etc.) mitführen. Auch enthalten sind Datenübermittlungen in Drittländer oder an eine internationale Organisation. Dieses Verzeichnis muss stets aktualisiert werden. Die Aufsichtsbehörde hat das Recht dieses Verzeichnis vom Verantwortlichen vorlegen zu lassen. Dies dient insbesondere den Schutz der personenbezogenen Daten und die Behörde kontrolliert auch, ob die Prinzipen bei den Verarbeitungstätigkeiten eingehalten werden.</w:t>
      </w:r>
      <w:r>
        <w:rPr>
          <w:rStyle w:val="Funotenzeichen"/>
          <w:rFonts w:ascii="Arial" w:hAnsi="Arial" w:cs="Arial"/>
        </w:rPr>
        <w:footnoteReference w:id="19"/>
      </w:r>
      <w:r>
        <w:rPr>
          <w:rFonts w:ascii="Arial" w:hAnsi="Arial" w:cs="Arial"/>
        </w:rPr>
        <w:t xml:space="preserve"> </w:t>
      </w:r>
    </w:p>
    <w:p w14:paraId="51430509" w14:textId="5BD7C287" w:rsidR="00E124DE" w:rsidRDefault="005B757C" w:rsidP="00E124DE">
      <w:pPr>
        <w:pStyle w:val="berschrift2"/>
        <w:rPr>
          <w:rFonts w:ascii="Arial" w:hAnsi="Arial" w:cs="Arial"/>
          <w:sz w:val="28"/>
          <w:szCs w:val="28"/>
        </w:rPr>
      </w:pPr>
      <w:bookmarkStart w:id="22" w:name="_Toc42089748"/>
      <w:r>
        <w:rPr>
          <w:rFonts w:ascii="Arial" w:hAnsi="Arial" w:cs="Arial"/>
          <w:sz w:val="28"/>
          <w:szCs w:val="28"/>
        </w:rPr>
        <w:t>3</w:t>
      </w:r>
      <w:r w:rsidR="00E124DE">
        <w:rPr>
          <w:rFonts w:ascii="Arial" w:hAnsi="Arial" w:cs="Arial"/>
          <w:sz w:val="28"/>
          <w:szCs w:val="28"/>
        </w:rPr>
        <w:t>.</w:t>
      </w:r>
      <w:r w:rsidR="005914E8">
        <w:rPr>
          <w:rFonts w:ascii="Arial" w:hAnsi="Arial" w:cs="Arial"/>
          <w:sz w:val="28"/>
          <w:szCs w:val="28"/>
        </w:rPr>
        <w:t>3</w:t>
      </w:r>
      <w:r w:rsidR="00E124DE">
        <w:rPr>
          <w:rFonts w:ascii="Arial" w:hAnsi="Arial" w:cs="Arial"/>
          <w:sz w:val="28"/>
          <w:szCs w:val="28"/>
        </w:rPr>
        <w:t xml:space="preserve"> </w:t>
      </w:r>
      <w:r w:rsidR="005914E8">
        <w:rPr>
          <w:rFonts w:ascii="Arial" w:hAnsi="Arial" w:cs="Arial"/>
          <w:sz w:val="28"/>
          <w:szCs w:val="28"/>
        </w:rPr>
        <w:t>Pflichten bei Datenschutzverletzung</w:t>
      </w:r>
      <w:bookmarkEnd w:id="22"/>
    </w:p>
    <w:p w14:paraId="503A3B69" w14:textId="5E7833FB" w:rsidR="00A27026" w:rsidRDefault="00A27026" w:rsidP="00A27026">
      <w:pPr>
        <w:spacing w:line="360" w:lineRule="auto"/>
      </w:pPr>
    </w:p>
    <w:p w14:paraId="1FE18904" w14:textId="6DACEFED" w:rsidR="00A27026" w:rsidRDefault="006D6137" w:rsidP="00A27026">
      <w:pPr>
        <w:spacing w:line="360" w:lineRule="auto"/>
        <w:jc w:val="both"/>
        <w:rPr>
          <w:rFonts w:ascii="Arial" w:hAnsi="Arial" w:cs="Arial"/>
        </w:rPr>
      </w:pPr>
      <w:r>
        <w:rPr>
          <w:rFonts w:ascii="Arial" w:hAnsi="Arial" w:cs="Arial"/>
        </w:rPr>
        <w:t>Unabhängig ob die Verletzung des Schutzes der personenbezogenen Daten (</w:t>
      </w:r>
      <w:proofErr w:type="spellStart"/>
      <w:r>
        <w:rPr>
          <w:rFonts w:ascii="Arial" w:hAnsi="Arial" w:cs="Arial"/>
        </w:rPr>
        <w:t>data</w:t>
      </w:r>
      <w:proofErr w:type="spellEnd"/>
      <w:r>
        <w:rPr>
          <w:rFonts w:ascii="Arial" w:hAnsi="Arial" w:cs="Arial"/>
        </w:rPr>
        <w:t xml:space="preserve"> </w:t>
      </w:r>
      <w:proofErr w:type="spellStart"/>
      <w:r>
        <w:rPr>
          <w:rFonts w:ascii="Arial" w:hAnsi="Arial" w:cs="Arial"/>
        </w:rPr>
        <w:t>breach</w:t>
      </w:r>
      <w:proofErr w:type="spellEnd"/>
      <w:r>
        <w:rPr>
          <w:rFonts w:ascii="Arial" w:hAnsi="Arial" w:cs="Arial"/>
        </w:rPr>
        <w:t xml:space="preserve">) beabsichtigt oder unbeabsichtigt war, muss dies bei möglichem Risiko von Diebstahl, Verlust oder unbefugter Zugriff auf die Daten der zuständigen Aufsichtsbehörde binnen 72 Stunden gemeldet werden. Bei Datenpannen muss eine Meldung bei der Aufsichtsbehörde nicht vorgenommen werden, sofern kein Risiko besteht. Falls die Meldung verspätet erfolgt, müssen Unternehmen bzw. Institutionen eine Begründung bei der Meldung beifügen. Bei einem erhöhten Risiko für die Rechte und Freiheiten der natürlichen Personen muss die betroffene Person benachrichtigt werden. </w:t>
      </w:r>
      <w:r w:rsidR="009F60C9">
        <w:rPr>
          <w:rFonts w:ascii="Arial" w:hAnsi="Arial" w:cs="Arial"/>
        </w:rPr>
        <w:t>Die Meldung an die zuständige muss folgende Informationen beinhalten:</w:t>
      </w:r>
    </w:p>
    <w:p w14:paraId="1E7D3762" w14:textId="6FD13734" w:rsidR="009F60C9" w:rsidRDefault="009F60C9" w:rsidP="009F60C9">
      <w:pPr>
        <w:pStyle w:val="Listenabsatz"/>
        <w:numPr>
          <w:ilvl w:val="0"/>
          <w:numId w:val="4"/>
        </w:numPr>
        <w:spacing w:line="360" w:lineRule="auto"/>
        <w:jc w:val="both"/>
        <w:rPr>
          <w:rFonts w:ascii="Arial" w:hAnsi="Arial" w:cs="Arial"/>
        </w:rPr>
      </w:pPr>
      <w:r>
        <w:rPr>
          <w:rFonts w:ascii="Arial" w:hAnsi="Arial" w:cs="Arial"/>
        </w:rPr>
        <w:t>Beschreibung der Art der Verletzung, wie viele Personen betroffen sind, mögliche Kategorien</w:t>
      </w:r>
    </w:p>
    <w:p w14:paraId="483FC2F2" w14:textId="58D72DC3" w:rsidR="009F60C9" w:rsidRDefault="009F60C9" w:rsidP="009F60C9">
      <w:pPr>
        <w:pStyle w:val="Listenabsatz"/>
        <w:numPr>
          <w:ilvl w:val="0"/>
          <w:numId w:val="4"/>
        </w:numPr>
        <w:spacing w:line="360" w:lineRule="auto"/>
        <w:jc w:val="both"/>
        <w:rPr>
          <w:rFonts w:ascii="Arial" w:hAnsi="Arial" w:cs="Arial"/>
        </w:rPr>
      </w:pPr>
      <w:r>
        <w:rPr>
          <w:rFonts w:ascii="Arial" w:hAnsi="Arial" w:cs="Arial"/>
        </w:rPr>
        <w:t>Kontaktdaten des Datenschutzbeauftragten</w:t>
      </w:r>
    </w:p>
    <w:p w14:paraId="52036A54" w14:textId="544D4ABA" w:rsidR="009F60C9" w:rsidRDefault="009F60C9" w:rsidP="009F60C9">
      <w:pPr>
        <w:pStyle w:val="Listenabsatz"/>
        <w:numPr>
          <w:ilvl w:val="0"/>
          <w:numId w:val="4"/>
        </w:numPr>
        <w:spacing w:line="360" w:lineRule="auto"/>
        <w:jc w:val="both"/>
        <w:rPr>
          <w:rFonts w:ascii="Arial" w:hAnsi="Arial" w:cs="Arial"/>
        </w:rPr>
      </w:pPr>
      <w:r>
        <w:rPr>
          <w:rFonts w:ascii="Arial" w:hAnsi="Arial" w:cs="Arial"/>
        </w:rPr>
        <w:t xml:space="preserve">Folgeeinschätzung der Verletzung des Schutzes der personenbezogenen Daten. </w:t>
      </w:r>
    </w:p>
    <w:p w14:paraId="3438AC0B" w14:textId="191639B6" w:rsidR="009F60C9" w:rsidRDefault="009F60C9" w:rsidP="009F60C9">
      <w:pPr>
        <w:pStyle w:val="Listenabsatz"/>
        <w:numPr>
          <w:ilvl w:val="0"/>
          <w:numId w:val="4"/>
        </w:numPr>
        <w:spacing w:line="360" w:lineRule="auto"/>
        <w:jc w:val="both"/>
        <w:rPr>
          <w:rFonts w:ascii="Arial" w:hAnsi="Arial" w:cs="Arial"/>
        </w:rPr>
      </w:pPr>
      <w:r>
        <w:rPr>
          <w:rFonts w:ascii="Arial" w:hAnsi="Arial" w:cs="Arial"/>
        </w:rPr>
        <w:t>Beschreibung ergriffenen und gesetzten Maßnahmen (TOMs)</w:t>
      </w:r>
    </w:p>
    <w:p w14:paraId="7CF10854" w14:textId="45D97055" w:rsidR="00BA22CD" w:rsidRDefault="009F60C9" w:rsidP="009F60C9">
      <w:pPr>
        <w:spacing w:line="360" w:lineRule="auto"/>
        <w:jc w:val="both"/>
        <w:rPr>
          <w:rFonts w:ascii="Arial" w:hAnsi="Arial" w:cs="Arial"/>
        </w:rPr>
      </w:pPr>
      <w:r>
        <w:rPr>
          <w:rFonts w:ascii="Arial" w:hAnsi="Arial" w:cs="Arial"/>
        </w:rPr>
        <w:t xml:space="preserve">Bei einer Verletzung müssen sämtliche Schritte, Auswirkungen, Fakten und TOMs dokumentiert werden. Dies wird von der zuständigen Aufsichtsbehörde überprüft. </w:t>
      </w:r>
      <w:r w:rsidR="00BA22CD">
        <w:rPr>
          <w:rFonts w:ascii="Arial" w:hAnsi="Arial" w:cs="Arial"/>
        </w:rPr>
        <w:t xml:space="preserve">Wie bereits </w:t>
      </w:r>
      <w:r w:rsidR="00BA22CD">
        <w:rPr>
          <w:rFonts w:ascii="Arial" w:hAnsi="Arial" w:cs="Arial"/>
        </w:rPr>
        <w:lastRenderedPageBreak/>
        <w:t>beschrieben werden bei erhöhtem Risiko die betroffenen Personen direkt benachrichtigt. Dies erfolgt insbesondere bei Datendiebstahl, wie beispielsweise Hackerangriffe.</w:t>
      </w:r>
      <w:r w:rsidR="00BA22CD">
        <w:rPr>
          <w:rStyle w:val="Funotenzeichen"/>
          <w:rFonts w:ascii="Arial" w:hAnsi="Arial" w:cs="Arial"/>
        </w:rPr>
        <w:footnoteReference w:id="20"/>
      </w:r>
      <w:r w:rsidR="00BA22CD">
        <w:rPr>
          <w:rFonts w:ascii="Arial" w:hAnsi="Arial" w:cs="Arial"/>
        </w:rPr>
        <w:t xml:space="preserve"> </w:t>
      </w:r>
    </w:p>
    <w:p w14:paraId="04B0CC7E" w14:textId="75BF90F3" w:rsidR="009F60C9" w:rsidRDefault="00BA22CD" w:rsidP="009F60C9">
      <w:pPr>
        <w:spacing w:line="360" w:lineRule="auto"/>
        <w:jc w:val="both"/>
        <w:rPr>
          <w:rFonts w:ascii="Arial" w:hAnsi="Arial" w:cs="Arial"/>
        </w:rPr>
      </w:pPr>
      <w:r>
        <w:rPr>
          <w:rFonts w:ascii="Arial" w:hAnsi="Arial" w:cs="Arial"/>
        </w:rPr>
        <w:t>Auch in diesen Fällen gilt es einige verpflichtende Informationen der Person zukommen zu lassen:</w:t>
      </w:r>
    </w:p>
    <w:p w14:paraId="3919B5E7" w14:textId="7D01C1CC" w:rsidR="00BA22CD" w:rsidRDefault="00BA22CD" w:rsidP="00BA22CD">
      <w:pPr>
        <w:pStyle w:val="Listenabsatz"/>
        <w:numPr>
          <w:ilvl w:val="0"/>
          <w:numId w:val="5"/>
        </w:numPr>
        <w:spacing w:line="360" w:lineRule="auto"/>
        <w:jc w:val="both"/>
        <w:rPr>
          <w:rFonts w:ascii="Arial" w:hAnsi="Arial" w:cs="Arial"/>
        </w:rPr>
      </w:pPr>
      <w:r>
        <w:rPr>
          <w:rFonts w:ascii="Arial" w:hAnsi="Arial" w:cs="Arial"/>
        </w:rPr>
        <w:t xml:space="preserve">Beschreibung der Art der Verletzung </w:t>
      </w:r>
    </w:p>
    <w:p w14:paraId="4774B47B" w14:textId="1922F133" w:rsidR="00BA22CD" w:rsidRDefault="00BA22CD" w:rsidP="00BA22CD">
      <w:pPr>
        <w:pStyle w:val="Listenabsatz"/>
        <w:numPr>
          <w:ilvl w:val="0"/>
          <w:numId w:val="5"/>
        </w:numPr>
        <w:spacing w:line="360" w:lineRule="auto"/>
        <w:jc w:val="both"/>
        <w:rPr>
          <w:rFonts w:ascii="Arial" w:hAnsi="Arial" w:cs="Arial"/>
        </w:rPr>
      </w:pPr>
      <w:r>
        <w:rPr>
          <w:rFonts w:ascii="Arial" w:hAnsi="Arial" w:cs="Arial"/>
        </w:rPr>
        <w:t xml:space="preserve">Kontaktdaten des Datenschutzbeauftragten </w:t>
      </w:r>
    </w:p>
    <w:p w14:paraId="6C8BEA65" w14:textId="1DACCDAE" w:rsidR="00BA22CD" w:rsidRDefault="00BA22CD" w:rsidP="00BA22CD">
      <w:pPr>
        <w:pStyle w:val="Listenabsatz"/>
        <w:numPr>
          <w:ilvl w:val="0"/>
          <w:numId w:val="5"/>
        </w:numPr>
        <w:spacing w:line="360" w:lineRule="auto"/>
        <w:jc w:val="both"/>
        <w:rPr>
          <w:rFonts w:ascii="Arial" w:hAnsi="Arial" w:cs="Arial"/>
        </w:rPr>
      </w:pPr>
      <w:r>
        <w:rPr>
          <w:rFonts w:ascii="Arial" w:hAnsi="Arial" w:cs="Arial"/>
        </w:rPr>
        <w:t>Folgeeinschätzung der Verletzung des Schutzes der personenbezogenen Daten</w:t>
      </w:r>
    </w:p>
    <w:p w14:paraId="095B3FC4" w14:textId="3B11F204" w:rsidR="00BA22CD" w:rsidRDefault="00BA22CD" w:rsidP="00BA22CD">
      <w:pPr>
        <w:pStyle w:val="Listenabsatz"/>
        <w:numPr>
          <w:ilvl w:val="0"/>
          <w:numId w:val="5"/>
        </w:numPr>
        <w:spacing w:line="360" w:lineRule="auto"/>
        <w:jc w:val="both"/>
        <w:rPr>
          <w:rFonts w:ascii="Arial" w:hAnsi="Arial" w:cs="Arial"/>
        </w:rPr>
      </w:pPr>
      <w:r>
        <w:rPr>
          <w:rFonts w:ascii="Arial" w:hAnsi="Arial" w:cs="Arial"/>
        </w:rPr>
        <w:t>Beschreibung der ergriffenen und gesetzten Maßnahmen (TOMs)</w:t>
      </w:r>
    </w:p>
    <w:p w14:paraId="3A7E6649" w14:textId="299E1DC5" w:rsidR="00BA22CD" w:rsidRPr="00BA22CD" w:rsidRDefault="00D00A5B" w:rsidP="00BA22CD">
      <w:pPr>
        <w:spacing w:line="360" w:lineRule="auto"/>
        <w:jc w:val="both"/>
        <w:rPr>
          <w:rFonts w:ascii="Arial" w:hAnsi="Arial" w:cs="Arial"/>
        </w:rPr>
      </w:pPr>
      <w:r>
        <w:rPr>
          <w:rFonts w:ascii="Arial" w:hAnsi="Arial" w:cs="Arial"/>
        </w:rPr>
        <w:t>In einigen Ausnahmefällen müssen die betroffenen Personen nicht benachrichtigt werden. Dies erfolgt, wenn die technischen und organisatorischen Maßnahmen bereits für die Verletzung angewandt wurde, durch nachträgliche Maßnahmen einführte und somit die Daten sicherstellen konnte oder die Benachrichtig mit einem sehr hohen Aufwand verbunden wäre. Falls sehr viele Personen von einem Diebstahl der Daten betroffen sind, muss ein Unternehmen dies öffentlich bekannt machen und damit die Personen informieren.</w:t>
      </w:r>
      <w:r>
        <w:rPr>
          <w:rStyle w:val="Funotenzeichen"/>
          <w:rFonts w:ascii="Arial" w:hAnsi="Arial" w:cs="Arial"/>
        </w:rPr>
        <w:footnoteReference w:id="21"/>
      </w:r>
    </w:p>
    <w:p w14:paraId="2695818A" w14:textId="03594AF3" w:rsidR="00655303" w:rsidRDefault="005B757C" w:rsidP="00655303">
      <w:pPr>
        <w:pStyle w:val="berschrift2"/>
        <w:rPr>
          <w:rFonts w:ascii="Arial" w:hAnsi="Arial" w:cs="Arial"/>
          <w:sz w:val="28"/>
          <w:szCs w:val="28"/>
        </w:rPr>
      </w:pPr>
      <w:bookmarkStart w:id="23" w:name="_Toc42089749"/>
      <w:r>
        <w:rPr>
          <w:rFonts w:ascii="Arial" w:hAnsi="Arial" w:cs="Arial"/>
          <w:sz w:val="28"/>
          <w:szCs w:val="28"/>
        </w:rPr>
        <w:t>3</w:t>
      </w:r>
      <w:r w:rsidR="00655303">
        <w:rPr>
          <w:rFonts w:ascii="Arial" w:hAnsi="Arial" w:cs="Arial"/>
          <w:sz w:val="28"/>
          <w:szCs w:val="28"/>
        </w:rPr>
        <w:t>.4 Auskunftspflicht des Verantwortlichen</w:t>
      </w:r>
      <w:bookmarkEnd w:id="23"/>
    </w:p>
    <w:p w14:paraId="57B69C69" w14:textId="77777777" w:rsidR="00655303" w:rsidRDefault="00655303" w:rsidP="00655303">
      <w:pPr>
        <w:pStyle w:val="berschrift2"/>
        <w:rPr>
          <w:rFonts w:ascii="Arial" w:hAnsi="Arial" w:cs="Arial"/>
          <w:sz w:val="28"/>
          <w:szCs w:val="28"/>
        </w:rPr>
      </w:pPr>
    </w:p>
    <w:p w14:paraId="31CC36CD" w14:textId="2B3AED4D" w:rsidR="00A27026" w:rsidRDefault="00655303" w:rsidP="00655303">
      <w:pPr>
        <w:spacing w:line="360" w:lineRule="auto"/>
        <w:jc w:val="both"/>
        <w:rPr>
          <w:rFonts w:ascii="Arial" w:hAnsi="Arial" w:cs="Arial"/>
        </w:rPr>
      </w:pPr>
      <w:r>
        <w:t xml:space="preserve"> </w:t>
      </w:r>
      <w:r w:rsidR="008046F7">
        <w:rPr>
          <w:rFonts w:ascii="Arial" w:hAnsi="Arial" w:cs="Arial"/>
        </w:rPr>
        <w:t xml:space="preserve">Laut Art 15 der DSGVO haben betroffene Personen über die personenbezogenen Daten ein Recht auf Auskunft. Dieses Recht dient einem transparenten Informationsfreiheitsrecht. </w:t>
      </w:r>
      <w:r w:rsidR="003D440F">
        <w:rPr>
          <w:rFonts w:ascii="Arial" w:hAnsi="Arial" w:cs="Arial"/>
        </w:rPr>
        <w:t>Grundsätzlich ist dieses Recht Bestandteil des österreichischen Rechts, jedoch können die einzelnen Mitgliedstaaten zu sehr speziellen Auskünften eigene Normen und Vorschriften vorsehen. Die betroffenen Personen können formlos einen Antrag bei dem jeweiligen Verantwortlichen stellen. Grundsätzlich kann aber ein Unternehmen bzw. Institut eine Identitätsfeststellung bei Zweifel von der Person prüfen. In der Praxis geschieht dies oft über telefonische Anträge.</w:t>
      </w:r>
      <w:r w:rsidR="00D0387B">
        <w:rPr>
          <w:rStyle w:val="Funotenzeichen"/>
          <w:rFonts w:ascii="Arial" w:hAnsi="Arial" w:cs="Arial"/>
        </w:rPr>
        <w:footnoteReference w:id="22"/>
      </w:r>
      <w:r w:rsidR="003D440F">
        <w:rPr>
          <w:rFonts w:ascii="Arial" w:hAnsi="Arial" w:cs="Arial"/>
        </w:rPr>
        <w:t xml:space="preserve"> </w:t>
      </w:r>
    </w:p>
    <w:p w14:paraId="146D7F65" w14:textId="3CD07A16" w:rsidR="00D0387B" w:rsidRPr="00D0387B" w:rsidRDefault="005B757C" w:rsidP="00D0387B">
      <w:pPr>
        <w:pStyle w:val="berschrift3"/>
        <w:rPr>
          <w:rFonts w:ascii="Arial" w:hAnsi="Arial" w:cs="Arial"/>
        </w:rPr>
      </w:pPr>
      <w:bookmarkStart w:id="24" w:name="_Toc42089750"/>
      <w:r>
        <w:rPr>
          <w:rFonts w:ascii="Arial" w:hAnsi="Arial" w:cs="Arial"/>
        </w:rPr>
        <w:t>3</w:t>
      </w:r>
      <w:r w:rsidR="00D0387B" w:rsidRPr="00D0387B">
        <w:rPr>
          <w:rFonts w:ascii="Arial" w:hAnsi="Arial" w:cs="Arial"/>
        </w:rPr>
        <w:t>.4.1 Inhalt der Auskunft</w:t>
      </w:r>
      <w:r w:rsidR="004F5ED9">
        <w:rPr>
          <w:rStyle w:val="Funotenzeichen"/>
          <w:rFonts w:ascii="Arial" w:hAnsi="Arial" w:cs="Arial"/>
        </w:rPr>
        <w:footnoteReference w:id="23"/>
      </w:r>
      <w:bookmarkEnd w:id="24"/>
    </w:p>
    <w:p w14:paraId="3AA09066" w14:textId="77777777" w:rsidR="003F26E4" w:rsidRDefault="003F26E4" w:rsidP="00D0387B">
      <w:pPr>
        <w:spacing w:line="360" w:lineRule="auto"/>
        <w:jc w:val="both"/>
        <w:rPr>
          <w:rFonts w:ascii="Arial" w:hAnsi="Arial" w:cs="Arial"/>
        </w:rPr>
      </w:pPr>
    </w:p>
    <w:p w14:paraId="1B49C171" w14:textId="363C193A" w:rsidR="00D0387B" w:rsidRDefault="00D0387B" w:rsidP="00D0387B">
      <w:pPr>
        <w:spacing w:line="360" w:lineRule="auto"/>
        <w:jc w:val="both"/>
        <w:rPr>
          <w:rFonts w:ascii="Arial" w:hAnsi="Arial" w:cs="Arial"/>
        </w:rPr>
      </w:pPr>
      <w:r>
        <w:rPr>
          <w:rFonts w:ascii="Arial" w:hAnsi="Arial" w:cs="Arial"/>
        </w:rPr>
        <w:t>Wie bereits oben beschrieben kann ein Antrag formlos gestellt werden. Die Auskunft der Daten muss einen gewissen Inhalt umfassen, der die relevantesten personenbezogenen Daten abdeckt:</w:t>
      </w:r>
    </w:p>
    <w:p w14:paraId="4FF875E4" w14:textId="00CED228" w:rsidR="00D0387B" w:rsidRDefault="00D0387B" w:rsidP="009C6191">
      <w:pPr>
        <w:pStyle w:val="Listenabsatz"/>
        <w:numPr>
          <w:ilvl w:val="0"/>
          <w:numId w:val="6"/>
        </w:numPr>
        <w:spacing w:line="360" w:lineRule="auto"/>
        <w:jc w:val="both"/>
        <w:rPr>
          <w:rFonts w:ascii="Arial" w:hAnsi="Arial" w:cs="Arial"/>
        </w:rPr>
      </w:pPr>
      <w:r>
        <w:rPr>
          <w:rFonts w:ascii="Arial" w:hAnsi="Arial" w:cs="Arial"/>
        </w:rPr>
        <w:t>Zweck der Verarbeitung</w:t>
      </w:r>
    </w:p>
    <w:p w14:paraId="1960EEBF" w14:textId="05DAC01A" w:rsidR="00D0387B" w:rsidRDefault="00D0387B" w:rsidP="009C6191">
      <w:pPr>
        <w:pStyle w:val="Listenabsatz"/>
        <w:numPr>
          <w:ilvl w:val="0"/>
          <w:numId w:val="6"/>
        </w:numPr>
        <w:spacing w:line="360" w:lineRule="auto"/>
        <w:jc w:val="both"/>
        <w:rPr>
          <w:rFonts w:ascii="Arial" w:hAnsi="Arial" w:cs="Arial"/>
        </w:rPr>
      </w:pPr>
      <w:r>
        <w:rPr>
          <w:rFonts w:ascii="Arial" w:hAnsi="Arial" w:cs="Arial"/>
        </w:rPr>
        <w:t>Kategorien der personenbezogenen Daten</w:t>
      </w:r>
    </w:p>
    <w:p w14:paraId="34086356" w14:textId="17EAF55F" w:rsidR="00D0387B" w:rsidRDefault="009C6191" w:rsidP="009C6191">
      <w:pPr>
        <w:pStyle w:val="Listenabsatz"/>
        <w:numPr>
          <w:ilvl w:val="0"/>
          <w:numId w:val="6"/>
        </w:numPr>
        <w:spacing w:line="360" w:lineRule="auto"/>
        <w:jc w:val="both"/>
        <w:rPr>
          <w:rFonts w:ascii="Arial" w:hAnsi="Arial" w:cs="Arial"/>
        </w:rPr>
      </w:pPr>
      <w:r>
        <w:rPr>
          <w:rFonts w:ascii="Arial" w:hAnsi="Arial" w:cs="Arial"/>
        </w:rPr>
        <w:lastRenderedPageBreak/>
        <w:t>Empfänger oder Dritte denen die Daten weitergereicht wurde (auch internationale Organisationen werden umfasst)</w:t>
      </w:r>
    </w:p>
    <w:p w14:paraId="2BD3FB8E" w14:textId="0C7A2742" w:rsidR="009C6191" w:rsidRDefault="009C6191" w:rsidP="009C6191">
      <w:pPr>
        <w:pStyle w:val="Listenabsatz"/>
        <w:numPr>
          <w:ilvl w:val="1"/>
          <w:numId w:val="6"/>
        </w:numPr>
        <w:spacing w:line="360" w:lineRule="auto"/>
        <w:jc w:val="both"/>
        <w:rPr>
          <w:rFonts w:ascii="Arial" w:hAnsi="Arial" w:cs="Arial"/>
        </w:rPr>
      </w:pPr>
      <w:r>
        <w:rPr>
          <w:rFonts w:ascii="Arial" w:hAnsi="Arial" w:cs="Arial"/>
        </w:rPr>
        <w:t>Bei der Übermittelung der Daten an Drittländer oder internationale Organisationen muss die betroffene Person benachrichtigt werden.</w:t>
      </w:r>
    </w:p>
    <w:p w14:paraId="7312D2AF" w14:textId="74F1C9C7" w:rsidR="009C6191" w:rsidRDefault="009C6191" w:rsidP="009C6191">
      <w:pPr>
        <w:pStyle w:val="Listenabsatz"/>
        <w:numPr>
          <w:ilvl w:val="0"/>
          <w:numId w:val="6"/>
        </w:numPr>
        <w:spacing w:line="360" w:lineRule="auto"/>
        <w:jc w:val="both"/>
        <w:rPr>
          <w:rFonts w:ascii="Arial" w:hAnsi="Arial" w:cs="Arial"/>
        </w:rPr>
      </w:pPr>
      <w:r>
        <w:rPr>
          <w:rFonts w:ascii="Arial" w:hAnsi="Arial" w:cs="Arial"/>
        </w:rPr>
        <w:t>Speicherdauer der Daten</w:t>
      </w:r>
    </w:p>
    <w:p w14:paraId="7AD6BAA5" w14:textId="67D0FD4D" w:rsidR="009C6191" w:rsidRDefault="009C6191" w:rsidP="009C6191">
      <w:pPr>
        <w:pStyle w:val="Listenabsatz"/>
        <w:numPr>
          <w:ilvl w:val="0"/>
          <w:numId w:val="6"/>
        </w:numPr>
        <w:spacing w:line="360" w:lineRule="auto"/>
        <w:jc w:val="both"/>
        <w:rPr>
          <w:rFonts w:ascii="Arial" w:hAnsi="Arial" w:cs="Arial"/>
        </w:rPr>
      </w:pPr>
      <w:r>
        <w:rPr>
          <w:rFonts w:ascii="Arial" w:hAnsi="Arial" w:cs="Arial"/>
        </w:rPr>
        <w:t>Sämtliche verfügbare Informationen der Daten</w:t>
      </w:r>
    </w:p>
    <w:p w14:paraId="5792550D" w14:textId="08765C38" w:rsidR="009C6191" w:rsidRDefault="009C6191" w:rsidP="009C6191">
      <w:pPr>
        <w:pStyle w:val="Listenabsatz"/>
        <w:numPr>
          <w:ilvl w:val="0"/>
          <w:numId w:val="6"/>
        </w:numPr>
        <w:spacing w:line="360" w:lineRule="auto"/>
        <w:jc w:val="both"/>
        <w:rPr>
          <w:rFonts w:ascii="Arial" w:hAnsi="Arial" w:cs="Arial"/>
        </w:rPr>
      </w:pPr>
      <w:r>
        <w:rPr>
          <w:rFonts w:ascii="Arial" w:hAnsi="Arial" w:cs="Arial"/>
        </w:rPr>
        <w:t>Automatische Entscheidungen (</w:t>
      </w:r>
      <w:proofErr w:type="spellStart"/>
      <w:r>
        <w:rPr>
          <w:rFonts w:ascii="Arial" w:hAnsi="Arial" w:cs="Arial"/>
        </w:rPr>
        <w:t>Profiling</w:t>
      </w:r>
      <w:proofErr w:type="spellEnd"/>
      <w:r>
        <w:rPr>
          <w:rFonts w:ascii="Arial" w:hAnsi="Arial" w:cs="Arial"/>
        </w:rPr>
        <w:t>)</w:t>
      </w:r>
    </w:p>
    <w:p w14:paraId="3FBC9008" w14:textId="1A716452" w:rsidR="009C6191" w:rsidRDefault="009C6191" w:rsidP="009C6191">
      <w:pPr>
        <w:pStyle w:val="Listenabsatz"/>
        <w:numPr>
          <w:ilvl w:val="0"/>
          <w:numId w:val="6"/>
        </w:numPr>
        <w:spacing w:line="360" w:lineRule="auto"/>
        <w:jc w:val="both"/>
        <w:rPr>
          <w:rFonts w:ascii="Arial" w:hAnsi="Arial" w:cs="Arial"/>
        </w:rPr>
      </w:pPr>
      <w:r>
        <w:rPr>
          <w:rFonts w:ascii="Arial" w:hAnsi="Arial" w:cs="Arial"/>
        </w:rPr>
        <w:t>Gewährleistung des Datenschutzes</w:t>
      </w:r>
    </w:p>
    <w:p w14:paraId="0B22626D" w14:textId="37609E23" w:rsidR="009C6191" w:rsidRDefault="009C6191" w:rsidP="009C6191">
      <w:pPr>
        <w:spacing w:line="360" w:lineRule="auto"/>
        <w:jc w:val="both"/>
        <w:rPr>
          <w:rFonts w:ascii="Arial" w:hAnsi="Arial" w:cs="Arial"/>
        </w:rPr>
      </w:pPr>
      <w:r>
        <w:rPr>
          <w:rFonts w:ascii="Arial" w:hAnsi="Arial" w:cs="Arial"/>
        </w:rPr>
        <w:t>Ein sehr wesentlicher Punkt, der bei der Auskunft noch beigefügt werden muss, ist die Mitteilung, dass die betroffene Person ein Recht auf Löschung oder Einschränkung der personenbezogenen Daten hat. Grundsätzlich kann die Auskunft schriftlich, elektronisch und mündlich über ein spezielles Formular der betroffenen Person zugesandt werden. Zusätzlich muss das Formular transparent und verständlich zugänglich sein.</w:t>
      </w:r>
      <w:r w:rsidR="00FD2DB1">
        <w:rPr>
          <w:rFonts w:ascii="Arial" w:hAnsi="Arial" w:cs="Arial"/>
        </w:rPr>
        <w:t xml:space="preserve"> Bei willkürlichen und unverhältnismäßig Anträgen, die mit einem hohen Aufwand verbunden wären, haben Unternehmen bzw. Institutionen das Recht den Antrag abzulehnen oder ein gewissen Entgelt zu verlangen. Prinzipiell hat aber die Auskunft unentgeltlich zu erfolgen.</w:t>
      </w:r>
      <w:r w:rsidR="00342752">
        <w:rPr>
          <w:rFonts w:ascii="Arial" w:hAnsi="Arial" w:cs="Arial"/>
        </w:rPr>
        <w:t xml:space="preserve"> Ein weiterer maßgeblicher Aspekt ist der Verantwortliche muss auf den Antrag sofort reagieren, zumindest binnen einem Monat. Bei begründeten und sehr individuellen Fällen kann die Frist </w:t>
      </w:r>
      <w:r w:rsidR="002014B7">
        <w:rPr>
          <w:rFonts w:ascii="Arial" w:hAnsi="Arial" w:cs="Arial"/>
        </w:rPr>
        <w:t>um einen Monat</w:t>
      </w:r>
      <w:r w:rsidR="00342752">
        <w:rPr>
          <w:rFonts w:ascii="Arial" w:hAnsi="Arial" w:cs="Arial"/>
        </w:rPr>
        <w:t xml:space="preserve"> verlängert werden. </w:t>
      </w:r>
    </w:p>
    <w:p w14:paraId="7154B47D" w14:textId="203E6062" w:rsidR="00E522EF" w:rsidRDefault="005B757C" w:rsidP="00E522EF">
      <w:pPr>
        <w:pStyle w:val="berschrift3"/>
        <w:rPr>
          <w:rFonts w:ascii="Arial" w:hAnsi="Arial" w:cs="Arial"/>
        </w:rPr>
      </w:pPr>
      <w:bookmarkStart w:id="25" w:name="_Toc42089751"/>
      <w:r>
        <w:rPr>
          <w:rFonts w:ascii="Arial" w:hAnsi="Arial" w:cs="Arial"/>
        </w:rPr>
        <w:t>3</w:t>
      </w:r>
      <w:r w:rsidR="00E522EF">
        <w:rPr>
          <w:rFonts w:ascii="Arial" w:hAnsi="Arial" w:cs="Arial"/>
        </w:rPr>
        <w:t>.4.2 Strafen bei Verletzung der Auskunftspflicht</w:t>
      </w:r>
      <w:r w:rsidR="002014B7">
        <w:rPr>
          <w:rStyle w:val="Funotenzeichen"/>
          <w:rFonts w:ascii="Arial" w:hAnsi="Arial" w:cs="Arial"/>
        </w:rPr>
        <w:footnoteReference w:id="24"/>
      </w:r>
      <w:bookmarkEnd w:id="25"/>
    </w:p>
    <w:p w14:paraId="59A357F0" w14:textId="6B6278C9" w:rsidR="00E522EF" w:rsidRDefault="00E522EF" w:rsidP="00E522EF"/>
    <w:p w14:paraId="3BC0B75F" w14:textId="3486920C" w:rsidR="004F5ED9" w:rsidRPr="004F5ED9" w:rsidRDefault="004F5ED9" w:rsidP="004F5ED9">
      <w:pPr>
        <w:spacing w:line="360" w:lineRule="auto"/>
        <w:jc w:val="both"/>
        <w:rPr>
          <w:rFonts w:ascii="Arial" w:hAnsi="Arial" w:cs="Arial"/>
        </w:rPr>
      </w:pPr>
      <w:r>
        <w:rPr>
          <w:rFonts w:ascii="Arial" w:hAnsi="Arial" w:cs="Arial"/>
        </w:rPr>
        <w:t xml:space="preserve">Bei Verletzung, fehlerhaften oder fälschlicherweise </w:t>
      </w:r>
      <w:r w:rsidR="00342752">
        <w:rPr>
          <w:rFonts w:ascii="Arial" w:hAnsi="Arial" w:cs="Arial"/>
        </w:rPr>
        <w:t xml:space="preserve">falsche Auskünfte können Strafen bis zu 20 Mio. Euro oder 4 % des gesamten weltweiten Umsatzes erhoben werden. Solch hohe Strafen werden aber nur bei koordinierten Auskunftsfälschungen oder Anträge, die ignoriert werden, angesetzt. </w:t>
      </w:r>
      <w:r w:rsidR="00C41F3A">
        <w:rPr>
          <w:rFonts w:ascii="Arial" w:hAnsi="Arial" w:cs="Arial"/>
        </w:rPr>
        <w:t>Zusätzlich hat auch die betroffene Person ein Recht auf Schadensersatz, was in einem Einzelfall für größere Unternehmen ein sehr geringfügiger Betrag ist. Wenn mehrere Personen betroffen sind, könne die Strafen auch für sehr große Unternehmen immens teuer werden.</w:t>
      </w:r>
    </w:p>
    <w:p w14:paraId="1DFF068F" w14:textId="02D324D6" w:rsidR="00E522EF" w:rsidRPr="00D77363" w:rsidRDefault="005B757C" w:rsidP="00D77363">
      <w:pPr>
        <w:pStyle w:val="berschrift2"/>
        <w:rPr>
          <w:rFonts w:ascii="Arial" w:hAnsi="Arial" w:cs="Arial"/>
          <w:sz w:val="28"/>
          <w:szCs w:val="28"/>
        </w:rPr>
      </w:pPr>
      <w:bookmarkStart w:id="26" w:name="_Toc42089752"/>
      <w:r>
        <w:rPr>
          <w:rFonts w:ascii="Arial" w:hAnsi="Arial" w:cs="Arial"/>
          <w:sz w:val="28"/>
          <w:szCs w:val="28"/>
        </w:rPr>
        <w:t>3</w:t>
      </w:r>
      <w:r w:rsidR="00D77363" w:rsidRPr="00D77363">
        <w:rPr>
          <w:rFonts w:ascii="Arial" w:hAnsi="Arial" w:cs="Arial"/>
          <w:sz w:val="28"/>
          <w:szCs w:val="28"/>
        </w:rPr>
        <w:t>.5 Umsetzung der Vorgaben der DSGVO</w:t>
      </w:r>
      <w:r w:rsidR="00244541">
        <w:rPr>
          <w:rStyle w:val="Funotenzeichen"/>
          <w:rFonts w:ascii="Arial" w:hAnsi="Arial" w:cs="Arial"/>
          <w:sz w:val="28"/>
          <w:szCs w:val="28"/>
        </w:rPr>
        <w:footnoteReference w:id="25"/>
      </w:r>
      <w:bookmarkEnd w:id="26"/>
    </w:p>
    <w:p w14:paraId="51101A3D" w14:textId="1BDCE960" w:rsidR="009C6191" w:rsidRDefault="009C6191" w:rsidP="009C6191">
      <w:pPr>
        <w:spacing w:line="360" w:lineRule="auto"/>
        <w:jc w:val="both"/>
        <w:rPr>
          <w:rFonts w:ascii="Arial" w:hAnsi="Arial" w:cs="Arial"/>
        </w:rPr>
      </w:pPr>
    </w:p>
    <w:p w14:paraId="04F1D475" w14:textId="67B6D167" w:rsidR="00801FCC" w:rsidRDefault="00801FCC" w:rsidP="009C6191">
      <w:pPr>
        <w:spacing w:line="360" w:lineRule="auto"/>
        <w:jc w:val="both"/>
        <w:rPr>
          <w:rFonts w:ascii="Arial" w:hAnsi="Arial" w:cs="Arial"/>
        </w:rPr>
      </w:pPr>
      <w:r>
        <w:rPr>
          <w:rFonts w:ascii="Arial" w:hAnsi="Arial" w:cs="Arial"/>
        </w:rPr>
        <w:t xml:space="preserve">Besonders KMU waren bei der DSGVO Einführung finanziell teilweise schwer betroffen. Es ist abhängig von der Unternehmensgröße die Vorgaben der DSGVO einzuführen. Folglich ist auch der Aufwand der Einführung größer. Dieser Unterpunkt soll einen Überblick verschaffen, </w:t>
      </w:r>
      <w:r>
        <w:rPr>
          <w:rFonts w:ascii="Arial" w:hAnsi="Arial" w:cs="Arial"/>
        </w:rPr>
        <w:lastRenderedPageBreak/>
        <w:t xml:space="preserve">wie die Vorgaben der DSGVO entsprechend umgesetzt werden können. Oft stellt dies für KMUs eine große Herausforderung dar, da oft ein Unternehmen im Vorfeld feststellen muss, ob sie in den Anwendungsbereich der DSGVO fallen. Ist dies der Fall </w:t>
      </w:r>
      <w:r w:rsidR="00244541">
        <w:rPr>
          <w:rFonts w:ascii="Arial" w:hAnsi="Arial" w:cs="Arial"/>
        </w:rPr>
        <w:t xml:space="preserve">gilt es die Vorgaben genau zu eruieren und beginnen diesen Prozess umzusetzen. Der gängige Plan ist in vier Schritten unterteilt. Dieser dient insbesondere für Unternehmen, die vorerst die Basis entwickeln. </w:t>
      </w:r>
      <w:r w:rsidR="0028234F">
        <w:rPr>
          <w:rFonts w:ascii="Arial" w:hAnsi="Arial" w:cs="Arial"/>
        </w:rPr>
        <w:t>Obwohl jedes Unternehmen von den Vorgaben der DSGVO betroffen ist und diese Vorgaben bei Prozessen einhalten muss, wird dennoch auf die Einführung der DSGVO eingegangen. Dies soll insbesondere KMUs bei der Umsetzung bzw. weiteren Umsetzung unterstützen und einen Überblick über die korrekte Einführung der Verordnungen</w:t>
      </w:r>
      <w:r w:rsidR="00586039">
        <w:rPr>
          <w:rFonts w:ascii="Arial" w:hAnsi="Arial" w:cs="Arial"/>
        </w:rPr>
        <w:t xml:space="preserve"> geben. </w:t>
      </w:r>
      <w:r w:rsidR="0028234F">
        <w:rPr>
          <w:rFonts w:ascii="Arial" w:hAnsi="Arial" w:cs="Arial"/>
        </w:rPr>
        <w:t xml:space="preserve"> </w:t>
      </w:r>
    </w:p>
    <w:p w14:paraId="4F8EFCD0" w14:textId="174DAFDD" w:rsidR="00244541" w:rsidRPr="00244541" w:rsidRDefault="005B757C" w:rsidP="00244541">
      <w:pPr>
        <w:pStyle w:val="berschrift3"/>
        <w:rPr>
          <w:rFonts w:ascii="Arial" w:hAnsi="Arial" w:cs="Arial"/>
        </w:rPr>
      </w:pPr>
      <w:bookmarkStart w:id="27" w:name="_Toc42089753"/>
      <w:r>
        <w:rPr>
          <w:rFonts w:ascii="Arial" w:hAnsi="Arial" w:cs="Arial"/>
        </w:rPr>
        <w:t>3</w:t>
      </w:r>
      <w:r w:rsidR="00244541">
        <w:rPr>
          <w:rFonts w:ascii="Arial" w:hAnsi="Arial" w:cs="Arial"/>
        </w:rPr>
        <w:t>.5.1 Lücken-Analyse</w:t>
      </w:r>
      <w:bookmarkEnd w:id="27"/>
    </w:p>
    <w:p w14:paraId="14C7D0F7" w14:textId="4C01699B" w:rsidR="00D77363" w:rsidRDefault="00D77363" w:rsidP="009C6191">
      <w:pPr>
        <w:spacing w:line="360" w:lineRule="auto"/>
        <w:jc w:val="both"/>
        <w:rPr>
          <w:rFonts w:ascii="Arial" w:hAnsi="Arial" w:cs="Arial"/>
        </w:rPr>
      </w:pPr>
    </w:p>
    <w:p w14:paraId="6D3D3FD0" w14:textId="7E11297D" w:rsidR="00244541" w:rsidRDefault="00C14A01" w:rsidP="009C6191">
      <w:pPr>
        <w:spacing w:line="360" w:lineRule="auto"/>
        <w:jc w:val="both"/>
        <w:rPr>
          <w:rFonts w:ascii="Arial" w:hAnsi="Arial" w:cs="Arial"/>
        </w:rPr>
      </w:pPr>
      <w:r>
        <w:rPr>
          <w:rFonts w:ascii="Arial" w:hAnsi="Arial" w:cs="Arial"/>
        </w:rPr>
        <w:t xml:space="preserve">Der erste Schritt ist die sogenannte Lücken-Analyse. Die bereits vorhandenen Datenschutzstandards müssen analysiert und mit den neuen Vorgaben der DSGVO verglichen werden. Durch diesen Vergleich können „Lücken“ festgestellt werden. In Folge dessen werden diese „Lücken“ den neuen Vorgaben und Richtlinien entsprechend angepasst. </w:t>
      </w:r>
      <w:r w:rsidR="00FE3CB3">
        <w:rPr>
          <w:rFonts w:ascii="Arial" w:hAnsi="Arial" w:cs="Arial"/>
        </w:rPr>
        <w:t>Es sollten sämtliche Abteilungen eines Unternehmens in diesen Prozess miteingebunden werden. Der Fokus sollte insbesondere auf die vier Aspekte liegen:</w:t>
      </w:r>
    </w:p>
    <w:p w14:paraId="73719179" w14:textId="6359763F" w:rsidR="00FE3CB3" w:rsidRDefault="00FE3CB3" w:rsidP="00FE3CB3">
      <w:pPr>
        <w:pStyle w:val="Listenabsatz"/>
        <w:numPr>
          <w:ilvl w:val="0"/>
          <w:numId w:val="7"/>
        </w:numPr>
        <w:spacing w:line="360" w:lineRule="auto"/>
        <w:jc w:val="both"/>
        <w:rPr>
          <w:rFonts w:ascii="Arial" w:hAnsi="Arial" w:cs="Arial"/>
        </w:rPr>
      </w:pPr>
      <w:r>
        <w:rPr>
          <w:rFonts w:ascii="Arial" w:hAnsi="Arial" w:cs="Arial"/>
        </w:rPr>
        <w:t>Welche Verarbeitungsvorgänge?</w:t>
      </w:r>
    </w:p>
    <w:p w14:paraId="7A1A2B58" w14:textId="1B86CB61" w:rsidR="00FE3CB3" w:rsidRDefault="00FE3CB3" w:rsidP="00FE3CB3">
      <w:pPr>
        <w:pStyle w:val="Listenabsatz"/>
        <w:numPr>
          <w:ilvl w:val="0"/>
          <w:numId w:val="7"/>
        </w:numPr>
        <w:spacing w:line="360" w:lineRule="auto"/>
        <w:jc w:val="both"/>
        <w:rPr>
          <w:rFonts w:ascii="Arial" w:hAnsi="Arial" w:cs="Arial"/>
        </w:rPr>
      </w:pPr>
      <w:r>
        <w:rPr>
          <w:rFonts w:ascii="Arial" w:hAnsi="Arial" w:cs="Arial"/>
        </w:rPr>
        <w:t>Welche Arten von Daten?</w:t>
      </w:r>
    </w:p>
    <w:p w14:paraId="1D34F74C" w14:textId="24A8CD0C" w:rsidR="00FE3CB3" w:rsidRDefault="00FE3CB3" w:rsidP="00FE3CB3">
      <w:pPr>
        <w:pStyle w:val="Listenabsatz"/>
        <w:numPr>
          <w:ilvl w:val="0"/>
          <w:numId w:val="7"/>
        </w:numPr>
        <w:spacing w:line="360" w:lineRule="auto"/>
        <w:jc w:val="both"/>
        <w:rPr>
          <w:rFonts w:ascii="Arial" w:hAnsi="Arial" w:cs="Arial"/>
        </w:rPr>
      </w:pPr>
      <w:r>
        <w:rPr>
          <w:rFonts w:ascii="Arial" w:hAnsi="Arial" w:cs="Arial"/>
        </w:rPr>
        <w:t>Verteilung der internen Verantwortlichkeit</w:t>
      </w:r>
    </w:p>
    <w:p w14:paraId="7ACF13A8" w14:textId="5241C8E3" w:rsidR="00FE3CB3" w:rsidRDefault="00FE3CB3" w:rsidP="00FE3CB3">
      <w:pPr>
        <w:pStyle w:val="Listenabsatz"/>
        <w:numPr>
          <w:ilvl w:val="0"/>
          <w:numId w:val="7"/>
        </w:numPr>
        <w:spacing w:line="360" w:lineRule="auto"/>
        <w:jc w:val="both"/>
        <w:rPr>
          <w:rFonts w:ascii="Arial" w:hAnsi="Arial" w:cs="Arial"/>
        </w:rPr>
      </w:pPr>
      <w:r>
        <w:rPr>
          <w:rFonts w:ascii="Arial" w:hAnsi="Arial" w:cs="Arial"/>
        </w:rPr>
        <w:t>Datenschutzmaßnahmen</w:t>
      </w:r>
    </w:p>
    <w:p w14:paraId="40C49E82" w14:textId="5700C560" w:rsidR="00FE3CB3" w:rsidRDefault="00FE3CB3" w:rsidP="00FE3CB3">
      <w:pPr>
        <w:pStyle w:val="Listenabsatz"/>
        <w:numPr>
          <w:ilvl w:val="1"/>
          <w:numId w:val="7"/>
        </w:numPr>
        <w:spacing w:line="360" w:lineRule="auto"/>
        <w:jc w:val="both"/>
        <w:rPr>
          <w:rFonts w:ascii="Arial" w:hAnsi="Arial" w:cs="Arial"/>
        </w:rPr>
      </w:pPr>
      <w:r>
        <w:rPr>
          <w:rFonts w:ascii="Arial" w:hAnsi="Arial" w:cs="Arial"/>
        </w:rPr>
        <w:t>Datenschutz</w:t>
      </w:r>
    </w:p>
    <w:p w14:paraId="53A0E624" w14:textId="5AC66105" w:rsidR="00FE3CB3" w:rsidRDefault="00FE3CB3" w:rsidP="00FE3CB3">
      <w:pPr>
        <w:pStyle w:val="Listenabsatz"/>
        <w:numPr>
          <w:ilvl w:val="1"/>
          <w:numId w:val="7"/>
        </w:numPr>
        <w:spacing w:line="360" w:lineRule="auto"/>
        <w:jc w:val="both"/>
        <w:rPr>
          <w:rFonts w:ascii="Arial" w:hAnsi="Arial" w:cs="Arial"/>
        </w:rPr>
      </w:pPr>
      <w:r>
        <w:rPr>
          <w:rFonts w:ascii="Arial" w:hAnsi="Arial" w:cs="Arial"/>
        </w:rPr>
        <w:t>Datensicherheit</w:t>
      </w:r>
    </w:p>
    <w:p w14:paraId="0784F60E" w14:textId="47AAE494" w:rsidR="00FE3CB3" w:rsidRDefault="00FE3CB3" w:rsidP="00FE3CB3">
      <w:pPr>
        <w:pStyle w:val="Listenabsatz"/>
        <w:numPr>
          <w:ilvl w:val="1"/>
          <w:numId w:val="7"/>
        </w:numPr>
        <w:spacing w:line="360" w:lineRule="auto"/>
        <w:jc w:val="both"/>
        <w:rPr>
          <w:rFonts w:ascii="Arial" w:hAnsi="Arial" w:cs="Arial"/>
        </w:rPr>
      </w:pPr>
      <w:r>
        <w:rPr>
          <w:rFonts w:ascii="Arial" w:hAnsi="Arial" w:cs="Arial"/>
        </w:rPr>
        <w:t>Rechte der betroffenen Personen</w:t>
      </w:r>
    </w:p>
    <w:p w14:paraId="020FDB4F" w14:textId="661222C4" w:rsidR="00FE3CB3" w:rsidRDefault="005B757C" w:rsidP="0028234F">
      <w:pPr>
        <w:pStyle w:val="berschrift3"/>
        <w:rPr>
          <w:rFonts w:ascii="Arial" w:hAnsi="Arial" w:cs="Arial"/>
        </w:rPr>
      </w:pPr>
      <w:bookmarkStart w:id="28" w:name="_Toc42089754"/>
      <w:r>
        <w:rPr>
          <w:rFonts w:ascii="Arial" w:hAnsi="Arial" w:cs="Arial"/>
        </w:rPr>
        <w:t>3</w:t>
      </w:r>
      <w:r w:rsidR="0028234F">
        <w:rPr>
          <w:rFonts w:ascii="Arial" w:hAnsi="Arial" w:cs="Arial"/>
        </w:rPr>
        <w:t>.5.2 Risikoanalyse</w:t>
      </w:r>
      <w:bookmarkEnd w:id="28"/>
    </w:p>
    <w:p w14:paraId="5B7D1285" w14:textId="683C6017" w:rsidR="0028234F" w:rsidRDefault="0028234F" w:rsidP="0028234F"/>
    <w:p w14:paraId="6F3F4225" w14:textId="4F626858" w:rsidR="0028234F" w:rsidRDefault="00586039" w:rsidP="0028234F">
      <w:pPr>
        <w:spacing w:line="360" w:lineRule="auto"/>
        <w:jc w:val="both"/>
        <w:rPr>
          <w:rFonts w:ascii="Arial" w:hAnsi="Arial" w:cs="Arial"/>
        </w:rPr>
      </w:pPr>
      <w:r>
        <w:rPr>
          <w:rFonts w:ascii="Arial" w:hAnsi="Arial" w:cs="Arial"/>
        </w:rPr>
        <w:t xml:space="preserve">Dieser Punkt dient der Risikoabschätzung, welche Daten primär geschützt werden sollten, also welche Prozesse am risikoreichsten sind. Alle Abteilungen sollten bei dieser Analyse direkt miteingebunden werden. Da diese Vorgänge im Falle einer Verletzung der Pflichten, nach den Vorgaben der DSGVO, zu Bußgeldern führen können, sollte das Hauptaugenmerk auf die risikoreichsten Prozesse liegen. </w:t>
      </w:r>
      <w:r w:rsidR="00AE7C8D">
        <w:rPr>
          <w:rFonts w:ascii="Arial" w:hAnsi="Arial" w:cs="Arial"/>
        </w:rPr>
        <w:t xml:space="preserve">Anschließend werden die weiteren Prozesse an die neuen Standards angepasst. </w:t>
      </w:r>
    </w:p>
    <w:p w14:paraId="230A6FB2" w14:textId="77777777" w:rsidR="002D3855" w:rsidRDefault="002D3855">
      <w:pPr>
        <w:rPr>
          <w:rFonts w:ascii="Arial" w:eastAsiaTheme="majorEastAsia" w:hAnsi="Arial" w:cs="Arial"/>
          <w:color w:val="1F3763" w:themeColor="accent1" w:themeShade="7F"/>
          <w:sz w:val="24"/>
          <w:szCs w:val="24"/>
        </w:rPr>
      </w:pPr>
      <w:r>
        <w:rPr>
          <w:rFonts w:ascii="Arial" w:hAnsi="Arial" w:cs="Arial"/>
        </w:rPr>
        <w:br w:type="page"/>
      </w:r>
    </w:p>
    <w:p w14:paraId="0D49C765" w14:textId="2ACA040F" w:rsidR="00C7655C" w:rsidRDefault="005B757C" w:rsidP="00C7655C">
      <w:pPr>
        <w:pStyle w:val="berschrift3"/>
        <w:rPr>
          <w:rFonts w:ascii="Arial" w:hAnsi="Arial" w:cs="Arial"/>
        </w:rPr>
      </w:pPr>
      <w:bookmarkStart w:id="29" w:name="_Toc42089755"/>
      <w:r>
        <w:rPr>
          <w:rFonts w:ascii="Arial" w:hAnsi="Arial" w:cs="Arial"/>
        </w:rPr>
        <w:lastRenderedPageBreak/>
        <w:t>3</w:t>
      </w:r>
      <w:r w:rsidR="00C7655C">
        <w:rPr>
          <w:rFonts w:ascii="Arial" w:hAnsi="Arial" w:cs="Arial"/>
        </w:rPr>
        <w:t>.5.3 Budget- und Ressourcenplanung</w:t>
      </w:r>
      <w:bookmarkEnd w:id="29"/>
    </w:p>
    <w:p w14:paraId="7DAB8AF8" w14:textId="38FF4A93" w:rsidR="00C7655C" w:rsidRDefault="00C7655C" w:rsidP="00C7655C"/>
    <w:p w14:paraId="34DCB442" w14:textId="101BD1C8" w:rsidR="00C7655C" w:rsidRDefault="00C7655C" w:rsidP="00C7655C">
      <w:pPr>
        <w:spacing w:line="360" w:lineRule="auto"/>
        <w:jc w:val="both"/>
        <w:rPr>
          <w:rFonts w:ascii="Arial" w:hAnsi="Arial" w:cs="Arial"/>
        </w:rPr>
      </w:pPr>
      <w:r>
        <w:rPr>
          <w:rFonts w:ascii="Arial" w:hAnsi="Arial" w:cs="Arial"/>
        </w:rPr>
        <w:t xml:space="preserve">Auf Basis der Risikoanalyse kann das Unternehmen abschätzen, welche Prozesse sehr genau an die Vorgaben der DSGVO angepasst werden müssen. Folglich muss das Unternehmen ein Budget- und Ressourcenplan aufstellen. Der Schutz der Daten benötigt eine entsprechende IT-Infrastruktur und auch geeignete Softwares. Zusätzlich benötigt ein Unternehmen neues Personal, um </w:t>
      </w:r>
      <w:r w:rsidR="00FF39CC">
        <w:rPr>
          <w:rFonts w:ascii="Arial" w:hAnsi="Arial" w:cs="Arial"/>
        </w:rPr>
        <w:t xml:space="preserve">einen gewissen Schutz der Daten zu gewährleisten. Dies ist insbesondere bei der Verarbeitung von personenbezogenen Daten der Fall. </w:t>
      </w:r>
    </w:p>
    <w:p w14:paraId="164B928B" w14:textId="06CD09EE" w:rsidR="002A6C93" w:rsidRPr="00DC4E2C" w:rsidRDefault="005B757C" w:rsidP="00DC4E2C">
      <w:pPr>
        <w:pStyle w:val="berschrift3"/>
        <w:rPr>
          <w:rFonts w:ascii="Arial" w:hAnsi="Arial" w:cs="Arial"/>
        </w:rPr>
      </w:pPr>
      <w:bookmarkStart w:id="30" w:name="_Toc42089756"/>
      <w:r>
        <w:rPr>
          <w:rFonts w:ascii="Arial" w:hAnsi="Arial" w:cs="Arial"/>
        </w:rPr>
        <w:t>3</w:t>
      </w:r>
      <w:r w:rsidR="002A6C93" w:rsidRPr="00DC4E2C">
        <w:rPr>
          <w:rFonts w:ascii="Arial" w:hAnsi="Arial" w:cs="Arial"/>
        </w:rPr>
        <w:t>.5.4 Finalisierung der DSGVO Vorgaben</w:t>
      </w:r>
      <w:bookmarkEnd w:id="30"/>
    </w:p>
    <w:p w14:paraId="0FCF5E9B" w14:textId="216D1B34" w:rsidR="002A6C93" w:rsidRDefault="002A6C93" w:rsidP="002A6C93"/>
    <w:p w14:paraId="71B96AE3" w14:textId="0C0A4F18" w:rsidR="002A6C93" w:rsidRPr="002A6C93" w:rsidRDefault="002A6C93" w:rsidP="002A6C93">
      <w:pPr>
        <w:spacing w:line="360" w:lineRule="auto"/>
        <w:jc w:val="both"/>
        <w:rPr>
          <w:rFonts w:ascii="Arial" w:hAnsi="Arial" w:cs="Arial"/>
        </w:rPr>
      </w:pPr>
      <w:r>
        <w:rPr>
          <w:rFonts w:ascii="Arial" w:hAnsi="Arial" w:cs="Arial"/>
        </w:rPr>
        <w:t xml:space="preserve">Die letzte Phase beschäftigt sich mit der Implementierung der neuen Vorgaben. Besonders in der letzten Phase können Workshops oder neues Personal einen enormen Vorteil bringen. Dies dient nicht nur der Schulung der neuen Vorgaben, sondern auch Schulungen über die neuen eingeführten Softwares. Der Schutz der Daten sollte eine sehr hohe Priorität haben, daher werden für diesen Aspekt ein angemessenes System verlangt, um dies auch zu gewährleisten. Dieses System überwacht einerseits die technischen als auch die organisatorischen Maßnahmen der DSGVO. Dieses System sollte bereits bei der Phase 3 „Budget- und Ressourcenplanung“ miteingerechnet werden. Weiters kann insbesondere ein KMU von einem Datenschutzbeauftragten profitieren. Dieser überwacht die Einhaltung der Vorgaben und unterstützt das Unternehmen bei weiteren Prozessen. Daher dient ein Datenschutzbeauftragter der Aufrechterhaltung der neuen Vorgaben der DSGVO. </w:t>
      </w:r>
    </w:p>
    <w:p w14:paraId="41CB4B7F" w14:textId="170C448B" w:rsidR="00655303" w:rsidRPr="00D56F06" w:rsidRDefault="005B757C" w:rsidP="00BA2EE0">
      <w:pPr>
        <w:pStyle w:val="berschrift1"/>
        <w:pBdr>
          <w:bottom w:val="single" w:sz="4" w:space="1" w:color="auto"/>
        </w:pBdr>
        <w:rPr>
          <w:rFonts w:ascii="Arial" w:hAnsi="Arial" w:cs="Arial"/>
        </w:rPr>
      </w:pPr>
      <w:bookmarkStart w:id="31" w:name="_Toc42089757"/>
      <w:r>
        <w:rPr>
          <w:rFonts w:ascii="Arial" w:hAnsi="Arial" w:cs="Arial"/>
        </w:rPr>
        <w:t>4</w:t>
      </w:r>
      <w:r w:rsidR="002E231D" w:rsidRPr="00D56F06">
        <w:rPr>
          <w:rFonts w:ascii="Arial" w:hAnsi="Arial" w:cs="Arial"/>
        </w:rPr>
        <w:t xml:space="preserve"> </w:t>
      </w:r>
      <w:r w:rsidR="004417CF" w:rsidRPr="00D56F06">
        <w:rPr>
          <w:rFonts w:ascii="Arial" w:hAnsi="Arial" w:cs="Arial"/>
        </w:rPr>
        <w:t>DSGVO Vorgaben in Onlinemarketing</w:t>
      </w:r>
      <w:r w:rsidR="005B2E26">
        <w:rPr>
          <w:rFonts w:ascii="Arial" w:hAnsi="Arial" w:cs="Arial"/>
        </w:rPr>
        <w:t xml:space="preserve"> und Big Data</w:t>
      </w:r>
      <w:bookmarkEnd w:id="31"/>
    </w:p>
    <w:p w14:paraId="1200AD55" w14:textId="3F06416A" w:rsidR="004417CF" w:rsidRDefault="004417CF" w:rsidP="004417CF"/>
    <w:p w14:paraId="3AA324A6" w14:textId="77777777" w:rsidR="00F76648" w:rsidRDefault="008F0534" w:rsidP="008F0534">
      <w:pPr>
        <w:spacing w:line="360" w:lineRule="auto"/>
        <w:jc w:val="both"/>
        <w:rPr>
          <w:rFonts w:ascii="Arial" w:hAnsi="Arial" w:cs="Arial"/>
        </w:rPr>
      </w:pPr>
      <w:r>
        <w:rPr>
          <w:rFonts w:ascii="Arial" w:hAnsi="Arial" w:cs="Arial"/>
        </w:rPr>
        <w:t xml:space="preserve">Die ständige Onlinepräsenz hat das Marketing erheblich beeinflusst. Unabhängig mittels Smartphones, Tablet, PC oder auch </w:t>
      </w:r>
      <w:proofErr w:type="spellStart"/>
      <w:r>
        <w:rPr>
          <w:rFonts w:ascii="Arial" w:hAnsi="Arial" w:cs="Arial"/>
        </w:rPr>
        <w:t>SmartTV</w:t>
      </w:r>
      <w:proofErr w:type="spellEnd"/>
      <w:r>
        <w:rPr>
          <w:rFonts w:ascii="Arial" w:hAnsi="Arial" w:cs="Arial"/>
        </w:rPr>
        <w:t xml:space="preserve"> werden die Menschen durch Werbung beeinflusst. Durch die verschiedenen Kanäle (E-Mail, Radio, Ads) werden die Vertriebswege der Onlinewerbung vermischt und folglich entsteht ein einheitliches Unternehmensbild. Das Onlinemarketing nutzt daher die neuen Möglichkeiten, um mit potenziellen oder bereits vorhandenen Kunden in Kontakt zu treten bzw. interagieren. Der Fokus liegt also die Marketingziele durch neue Vertriebskanäle zu erreichen.</w:t>
      </w:r>
      <w:r>
        <w:rPr>
          <w:rStyle w:val="Funotenzeichen"/>
          <w:rFonts w:ascii="Arial" w:hAnsi="Arial" w:cs="Arial"/>
        </w:rPr>
        <w:footnoteReference w:id="26"/>
      </w:r>
      <w:r w:rsidR="00860178">
        <w:rPr>
          <w:rFonts w:ascii="Arial" w:hAnsi="Arial" w:cs="Arial"/>
        </w:rPr>
        <w:t xml:space="preserve"> </w:t>
      </w:r>
    </w:p>
    <w:p w14:paraId="0AA69897" w14:textId="77777777" w:rsidR="000219AB" w:rsidRDefault="00860178" w:rsidP="008F0534">
      <w:pPr>
        <w:spacing w:line="360" w:lineRule="auto"/>
        <w:jc w:val="both"/>
        <w:rPr>
          <w:rFonts w:ascii="Arial" w:hAnsi="Arial" w:cs="Arial"/>
        </w:rPr>
      </w:pPr>
      <w:r>
        <w:rPr>
          <w:rFonts w:ascii="Arial" w:hAnsi="Arial" w:cs="Arial"/>
        </w:rPr>
        <w:t xml:space="preserve">Der nächste Punkt ist ein sehr attraktives Instrument, um große Datenmengen auszuwerten. Dafür werden Softwares bei Unternehmen eingesetzt, die diese komplexen Daten auslesen und folglich analysiert werden können. Die Ära in der digitalen Kommunikation ist dies ein wesentlicher Aspekt in Unternehmen Kunden zu gewinnen bzw. Progressen für die Zukunft zu </w:t>
      </w:r>
      <w:r>
        <w:rPr>
          <w:rFonts w:ascii="Arial" w:hAnsi="Arial" w:cs="Arial"/>
        </w:rPr>
        <w:lastRenderedPageBreak/>
        <w:t>erstellen. Auch in Big Data spielt DSGVO eine große Rolle, insbesondere das „Prinzip der Zweckbindung“.</w:t>
      </w:r>
      <w:r>
        <w:rPr>
          <w:rStyle w:val="Funotenzeichen"/>
          <w:rFonts w:ascii="Arial" w:hAnsi="Arial" w:cs="Arial"/>
        </w:rPr>
        <w:footnoteReference w:id="27"/>
      </w:r>
      <w:r>
        <w:rPr>
          <w:rFonts w:ascii="Arial" w:hAnsi="Arial" w:cs="Arial"/>
        </w:rPr>
        <w:t xml:space="preserve"> </w:t>
      </w:r>
    </w:p>
    <w:p w14:paraId="6E084770" w14:textId="708DCAB6" w:rsidR="004417CF" w:rsidRDefault="002724C0" w:rsidP="008F0534">
      <w:pPr>
        <w:spacing w:line="360" w:lineRule="auto"/>
        <w:jc w:val="both"/>
        <w:rPr>
          <w:rFonts w:ascii="Arial" w:hAnsi="Arial" w:cs="Arial"/>
        </w:rPr>
      </w:pPr>
      <w:r>
        <w:rPr>
          <w:rFonts w:ascii="Arial" w:hAnsi="Arial" w:cs="Arial"/>
        </w:rPr>
        <w:t xml:space="preserve">Das dritte Kapitel soll dem Leser einen praktischen Bezug der Vorgaben der DSGVO näherbringen. Insbesondere soll auf die verschiedenen Onlinemarketing-Instrumente eingegangen werden und welche Maßnahmen von Websitebetreibern bzw. Unternehmen gesetzt werden müssen, um die Vorgaben der DSGVO zu entsprechen. </w:t>
      </w:r>
      <w:r w:rsidR="00A62BC2">
        <w:rPr>
          <w:rFonts w:ascii="Arial" w:hAnsi="Arial" w:cs="Arial"/>
        </w:rPr>
        <w:t xml:space="preserve">Der nächste Punkt wird auf die Big Data und deren Möglichkeiten für Unternehmen beschrieben und weiters auf den Datenschutz dabei eingegangen. </w:t>
      </w:r>
    </w:p>
    <w:p w14:paraId="702BF0B2" w14:textId="5575EEA7" w:rsidR="00ED45CF" w:rsidRDefault="005B757C" w:rsidP="002A58FC">
      <w:pPr>
        <w:pStyle w:val="berschrift2"/>
        <w:rPr>
          <w:rFonts w:ascii="Arial" w:hAnsi="Arial" w:cs="Arial"/>
          <w:sz w:val="28"/>
          <w:szCs w:val="28"/>
        </w:rPr>
      </w:pPr>
      <w:bookmarkStart w:id="32" w:name="_Toc42089758"/>
      <w:r>
        <w:rPr>
          <w:rFonts w:ascii="Arial" w:hAnsi="Arial" w:cs="Arial"/>
          <w:sz w:val="28"/>
          <w:szCs w:val="28"/>
        </w:rPr>
        <w:t>4</w:t>
      </w:r>
      <w:r w:rsidR="002A58FC">
        <w:rPr>
          <w:rFonts w:ascii="Arial" w:hAnsi="Arial" w:cs="Arial"/>
          <w:sz w:val="28"/>
          <w:szCs w:val="28"/>
        </w:rPr>
        <w:t>.1 Onlinemarketing-Instrumente</w:t>
      </w:r>
      <w:bookmarkEnd w:id="32"/>
    </w:p>
    <w:p w14:paraId="784AE9B8" w14:textId="6CF53AD1" w:rsidR="002A58FC" w:rsidRDefault="002A58FC" w:rsidP="002A58FC"/>
    <w:p w14:paraId="16DE5140" w14:textId="56D4A3D7" w:rsidR="002A58FC" w:rsidRDefault="005B757C" w:rsidP="00615718">
      <w:pPr>
        <w:pStyle w:val="berschrift3"/>
        <w:jc w:val="both"/>
        <w:rPr>
          <w:rFonts w:ascii="Arial" w:hAnsi="Arial" w:cs="Arial"/>
        </w:rPr>
      </w:pPr>
      <w:bookmarkStart w:id="33" w:name="_Toc42089759"/>
      <w:r>
        <w:rPr>
          <w:rFonts w:ascii="Arial" w:hAnsi="Arial" w:cs="Arial"/>
        </w:rPr>
        <w:t>4</w:t>
      </w:r>
      <w:r w:rsidR="00615718">
        <w:rPr>
          <w:rFonts w:ascii="Arial" w:hAnsi="Arial" w:cs="Arial"/>
        </w:rPr>
        <w:t>.1.1 Cookies</w:t>
      </w:r>
      <w:r w:rsidR="00B00E26">
        <w:rPr>
          <w:rStyle w:val="Funotenzeichen"/>
          <w:rFonts w:ascii="Arial" w:hAnsi="Arial" w:cs="Arial"/>
        </w:rPr>
        <w:footnoteReference w:id="28"/>
      </w:r>
      <w:bookmarkEnd w:id="33"/>
    </w:p>
    <w:p w14:paraId="60CDAD2C" w14:textId="0BAA76ED" w:rsidR="00615718" w:rsidRDefault="00615718" w:rsidP="00615718"/>
    <w:p w14:paraId="25A12409" w14:textId="7D616A9B" w:rsidR="006A3161" w:rsidRDefault="006A3161" w:rsidP="006A3161">
      <w:pPr>
        <w:spacing w:line="360" w:lineRule="auto"/>
        <w:jc w:val="both"/>
        <w:rPr>
          <w:rFonts w:ascii="Arial" w:hAnsi="Arial" w:cs="Arial"/>
        </w:rPr>
      </w:pPr>
      <w:r>
        <w:rPr>
          <w:rFonts w:ascii="Arial" w:hAnsi="Arial" w:cs="Arial"/>
        </w:rPr>
        <w:t>Cookies sind kleine Datenmengen, die auf den Servern der Website übermittelt und teilweise auch für eine gewisse Zeit gespeichert werden. Cookies dienen vor allem dem Betreiber einer Website bzw. ein Unternehmen statistische Analysen zu erfassen. Cookies enthalten verschiedene Informationen. Welche Informationen dies sind, hängt auch von der jeweiligen Funktionsweise eines Cookies ab. Bei den Arten kann man zwischen kurzen und langlebigen Cookies unterscheiden. Zusätzlich werden noch persistent Cookies hinzugerechnet, diese werden für die Einstellungen einer Website für den Nutzer dauerhaft auf dem Server gespeichert. Weiters neben den persistenten Cookies gibt es zwei Arten von Cookies die temporär gespeichert werden</w:t>
      </w:r>
      <w:r w:rsidR="00B00E26">
        <w:rPr>
          <w:rFonts w:ascii="Arial" w:hAnsi="Arial" w:cs="Arial"/>
        </w:rPr>
        <w:t>:</w:t>
      </w:r>
    </w:p>
    <w:p w14:paraId="1D43B09A" w14:textId="63B5C9AB" w:rsidR="008759DB" w:rsidRDefault="008759DB" w:rsidP="008759DB">
      <w:pPr>
        <w:pStyle w:val="Listenabsatz"/>
        <w:numPr>
          <w:ilvl w:val="0"/>
          <w:numId w:val="8"/>
        </w:numPr>
        <w:spacing w:line="360" w:lineRule="auto"/>
        <w:jc w:val="both"/>
        <w:rPr>
          <w:rFonts w:ascii="Arial" w:hAnsi="Arial" w:cs="Arial"/>
        </w:rPr>
      </w:pPr>
      <w:r>
        <w:rPr>
          <w:rFonts w:ascii="Arial" w:hAnsi="Arial" w:cs="Arial"/>
        </w:rPr>
        <w:t xml:space="preserve">Session Cookies: Diese werden für gewöhnlich temporär (kurzfristig) an einen Server übermittelt und gespeichert. Das gängigste Beispiel ist das Einloggen in einen Account auf einer Website. Für diese gewisse Zeit wird der Nutzer auf dem Server temporär gespeichert und </w:t>
      </w:r>
      <w:r w:rsidR="00B50B0A">
        <w:rPr>
          <w:rFonts w:ascii="Arial" w:hAnsi="Arial" w:cs="Arial"/>
        </w:rPr>
        <w:t xml:space="preserve">ermöglicht die gesamte Session im Account zu bleiben. Diese Cookies werden solange gespeichert, bis die Session vom Nutzer beendet wird. </w:t>
      </w:r>
    </w:p>
    <w:p w14:paraId="14D15693" w14:textId="77777777" w:rsidR="00DC4E2C" w:rsidRDefault="00DC4E2C" w:rsidP="00DC4E2C">
      <w:pPr>
        <w:pStyle w:val="Listenabsatz"/>
        <w:spacing w:line="360" w:lineRule="auto"/>
        <w:jc w:val="both"/>
        <w:rPr>
          <w:rFonts w:ascii="Arial" w:hAnsi="Arial" w:cs="Arial"/>
          <w:lang w:val="de-DE"/>
        </w:rPr>
      </w:pPr>
    </w:p>
    <w:p w14:paraId="500684E1" w14:textId="22363664" w:rsidR="00B50B0A" w:rsidRPr="00C12A9E" w:rsidRDefault="00B50B0A" w:rsidP="008759DB">
      <w:pPr>
        <w:pStyle w:val="Listenabsatz"/>
        <w:numPr>
          <w:ilvl w:val="0"/>
          <w:numId w:val="8"/>
        </w:numPr>
        <w:spacing w:line="360" w:lineRule="auto"/>
        <w:jc w:val="both"/>
        <w:rPr>
          <w:rFonts w:ascii="Arial" w:hAnsi="Arial" w:cs="Arial"/>
          <w:lang w:val="de-DE"/>
        </w:rPr>
      </w:pPr>
      <w:r w:rsidRPr="00C12A9E">
        <w:rPr>
          <w:rFonts w:ascii="Arial" w:hAnsi="Arial" w:cs="Arial"/>
          <w:lang w:val="de-DE"/>
        </w:rPr>
        <w:t>Tracking Cookies</w:t>
      </w:r>
      <w:r w:rsidR="00ED7EA7">
        <w:rPr>
          <w:rStyle w:val="Funotenzeichen"/>
          <w:rFonts w:ascii="Arial" w:hAnsi="Arial" w:cs="Arial"/>
          <w:lang w:val="de-DE"/>
        </w:rPr>
        <w:footnoteReference w:id="29"/>
      </w:r>
      <w:r w:rsidRPr="00C12A9E">
        <w:rPr>
          <w:rFonts w:ascii="Arial" w:hAnsi="Arial" w:cs="Arial"/>
          <w:lang w:val="de-DE"/>
        </w:rPr>
        <w:t xml:space="preserve">: </w:t>
      </w:r>
      <w:r w:rsidR="00445F99" w:rsidRPr="00C12A9E">
        <w:rPr>
          <w:rFonts w:ascii="Arial" w:hAnsi="Arial" w:cs="Arial"/>
          <w:lang w:val="de-DE"/>
        </w:rPr>
        <w:t xml:space="preserve">Diese Cookies bieten dem </w:t>
      </w:r>
      <w:r w:rsidR="00C12A9E" w:rsidRPr="00C12A9E">
        <w:rPr>
          <w:rFonts w:ascii="Arial" w:hAnsi="Arial" w:cs="Arial"/>
          <w:lang w:val="de-DE"/>
        </w:rPr>
        <w:t>Betreib</w:t>
      </w:r>
      <w:r w:rsidR="00C12A9E">
        <w:rPr>
          <w:rFonts w:ascii="Arial" w:hAnsi="Arial" w:cs="Arial"/>
          <w:lang w:val="de-DE"/>
        </w:rPr>
        <w:t xml:space="preserve">er der Website die Möglichkeit das Verhalten der Besucher der Website durch Informationen zu analysieren und folglich auszuwerten. </w:t>
      </w:r>
      <w:r w:rsidR="00C64C69">
        <w:rPr>
          <w:rFonts w:ascii="Arial" w:hAnsi="Arial" w:cs="Arial"/>
          <w:lang w:val="de-DE"/>
        </w:rPr>
        <w:t xml:space="preserve">Für Unternehmen bietet dieses Instrument eine attraktive Chance neue Kunden zu gewinnen, das Verhalten neuer bzw. vorhandener Kunden auszuwerten und weiters auch persönliche Interessen der Nutzer auszuwerten. </w:t>
      </w:r>
      <w:r w:rsidR="00BD5331">
        <w:rPr>
          <w:rFonts w:ascii="Arial" w:hAnsi="Arial" w:cs="Arial"/>
          <w:lang w:val="de-DE"/>
        </w:rPr>
        <w:t xml:space="preserve">Besonders bei Online-Shops werden diese Art von Cookies verwendet. </w:t>
      </w:r>
      <w:r w:rsidR="003B3602">
        <w:rPr>
          <w:rFonts w:ascii="Arial" w:hAnsi="Arial" w:cs="Arial"/>
          <w:lang w:val="de-DE"/>
        </w:rPr>
        <w:t xml:space="preserve">Wenn ein </w:t>
      </w:r>
      <w:r w:rsidR="003B3602">
        <w:rPr>
          <w:rFonts w:ascii="Arial" w:hAnsi="Arial" w:cs="Arial"/>
          <w:lang w:val="de-DE"/>
        </w:rPr>
        <w:lastRenderedPageBreak/>
        <w:t xml:space="preserve">potenzieller Kunde bereits einen Account erstellte und </w:t>
      </w:r>
      <w:r w:rsidR="00ED7EA7">
        <w:rPr>
          <w:rFonts w:ascii="Arial" w:hAnsi="Arial" w:cs="Arial"/>
          <w:lang w:val="de-DE"/>
        </w:rPr>
        <w:t xml:space="preserve">verschiedene Produkte im Online-Shop durchsucht, können die Informationen in eine Werbemail miteingebaut werden und diese gesuchten Produkte bzw. weitere Vorschläge dem Kunden geschickt werden. </w:t>
      </w:r>
    </w:p>
    <w:p w14:paraId="7ABC5BDA" w14:textId="5CF891BE" w:rsidR="00634D94" w:rsidRDefault="00A30685" w:rsidP="006A3161">
      <w:pPr>
        <w:spacing w:line="360" w:lineRule="auto"/>
        <w:jc w:val="both"/>
        <w:rPr>
          <w:rFonts w:ascii="Arial" w:hAnsi="Arial" w:cs="Arial"/>
          <w:lang w:val="de-DE"/>
        </w:rPr>
      </w:pPr>
      <w:r>
        <w:rPr>
          <w:rFonts w:ascii="Arial" w:hAnsi="Arial" w:cs="Arial"/>
          <w:lang w:val="de-DE"/>
        </w:rPr>
        <w:t>Der Art. 4 DSGVO definiert den Begriff personenbezogenen Daten. In diese fallen auch Online-Kennungen, beispielsweise die IP-Adresse.</w:t>
      </w:r>
      <w:r w:rsidR="00B06AA8">
        <w:rPr>
          <w:rStyle w:val="Funotenzeichen"/>
          <w:rFonts w:ascii="Arial" w:hAnsi="Arial" w:cs="Arial"/>
          <w:lang w:val="de-DE"/>
        </w:rPr>
        <w:footnoteReference w:id="30"/>
      </w:r>
      <w:r>
        <w:rPr>
          <w:rFonts w:ascii="Arial" w:hAnsi="Arial" w:cs="Arial"/>
          <w:lang w:val="de-DE"/>
        </w:rPr>
        <w:t xml:space="preserve"> </w:t>
      </w:r>
      <w:r w:rsidR="00B06AA8">
        <w:rPr>
          <w:rFonts w:ascii="Arial" w:hAnsi="Arial" w:cs="Arial"/>
          <w:lang w:val="de-DE"/>
        </w:rPr>
        <w:t>Eine Ausnahme finden sich lediglich</w:t>
      </w:r>
      <w:r w:rsidR="00AA69B7">
        <w:rPr>
          <w:rFonts w:ascii="Arial" w:hAnsi="Arial" w:cs="Arial"/>
          <w:lang w:val="de-DE"/>
        </w:rPr>
        <w:t xml:space="preserve"> in </w:t>
      </w:r>
      <w:r w:rsidR="002E3FA7">
        <w:rPr>
          <w:rFonts w:ascii="Arial" w:hAnsi="Arial" w:cs="Arial"/>
          <w:lang w:val="de-DE"/>
        </w:rPr>
        <w:t>den notwendigen</w:t>
      </w:r>
      <w:r w:rsidR="00B06AA8">
        <w:rPr>
          <w:rFonts w:ascii="Arial" w:hAnsi="Arial" w:cs="Arial"/>
          <w:lang w:val="de-DE"/>
        </w:rPr>
        <w:t xml:space="preserve"> technischen Cookies, welche keine erkennbaren personenbezogenen Daten auf dem Server </w:t>
      </w:r>
      <w:r w:rsidR="002E3FA7">
        <w:rPr>
          <w:rFonts w:ascii="Arial" w:hAnsi="Arial" w:cs="Arial"/>
          <w:lang w:val="de-DE"/>
        </w:rPr>
        <w:t xml:space="preserve">nachvollziehbar sind. In Art. 6 DSGVO wird die Verarbeitung der Daten beschrieben. Der Betreiber der Website muss dem Nutzer die Einstellungen der Cookies ersichtlich beim </w:t>
      </w:r>
      <w:r w:rsidR="0046360E">
        <w:rPr>
          <w:rFonts w:ascii="Arial" w:hAnsi="Arial" w:cs="Arial"/>
          <w:lang w:val="de-DE"/>
        </w:rPr>
        <w:t>Besuch der Seite anzeigen. Diese Einstellungen müssen auch für den Nutzer nachvollziehbar sein und wie die Daten genutzt werden</w:t>
      </w:r>
      <w:r w:rsidR="00E337A8">
        <w:rPr>
          <w:rFonts w:ascii="Arial" w:hAnsi="Arial" w:cs="Arial"/>
          <w:lang w:val="de-DE"/>
        </w:rPr>
        <w:t xml:space="preserve">. </w:t>
      </w:r>
      <w:r w:rsidR="00634D94">
        <w:rPr>
          <w:rFonts w:ascii="Arial" w:hAnsi="Arial" w:cs="Arial"/>
          <w:lang w:val="de-DE"/>
        </w:rPr>
        <w:t>Die Einwilligung zur Verarbeitung der Daten muss freiwillig erfolgen. Diese Einwilligung wird durch ein Banner dem Nutzer gezeigt. Der Nutzer kann daraufhin die jeweiligen Einstellungen der Cookies vornehmen</w:t>
      </w:r>
      <w:r w:rsidR="002E0FCC" w:rsidRPr="002E0FCC">
        <w:rPr>
          <w:rFonts w:ascii="Arial" w:hAnsi="Arial" w:cs="Arial"/>
          <w:lang w:val="de-DE"/>
        </w:rPr>
        <w:t xml:space="preserve"> </w:t>
      </w:r>
      <w:r w:rsidR="002E0FCC" w:rsidRPr="00F849E7">
        <w:rPr>
          <w:rFonts w:ascii="Arial" w:hAnsi="Arial" w:cs="Arial"/>
          <w:lang w:val="de-DE"/>
        </w:rPr>
        <w:t>Bei fehlenden Cookie-Hinweisen bzw. nicht ersichtliche nachvollziehbare Verarbeitung der Daten können Aufsichtsbehörden Abmahnungen bzw. Bußgelder verhängen</w:t>
      </w:r>
      <w:r w:rsidR="00634D94">
        <w:rPr>
          <w:rFonts w:ascii="Arial" w:hAnsi="Arial" w:cs="Arial"/>
          <w:lang w:val="de-DE"/>
        </w:rPr>
        <w:t>.</w:t>
      </w:r>
      <w:r w:rsidR="00762E8A">
        <w:rPr>
          <w:rFonts w:ascii="Arial" w:hAnsi="Arial" w:cs="Arial"/>
          <w:lang w:val="de-DE"/>
        </w:rPr>
        <w:t xml:space="preserve"> Auf die höhen der Bußgelder bzw. Rechtsbehelfe von Nutzer wird in einem späteren Punkt der Arbeit eingegangen.</w:t>
      </w:r>
      <w:r w:rsidR="000C2854">
        <w:rPr>
          <w:rStyle w:val="Funotenzeichen"/>
          <w:rFonts w:ascii="Arial" w:hAnsi="Arial" w:cs="Arial"/>
          <w:lang w:val="de-DE"/>
        </w:rPr>
        <w:footnoteReference w:id="31"/>
      </w:r>
      <w:r w:rsidR="000C2854">
        <w:rPr>
          <w:rFonts w:ascii="Arial" w:hAnsi="Arial" w:cs="Arial"/>
          <w:lang w:val="de-DE"/>
        </w:rPr>
        <w:t xml:space="preserve"> </w:t>
      </w:r>
      <w:r w:rsidR="000C2854" w:rsidRPr="000C2854">
        <w:rPr>
          <w:rFonts w:ascii="Arial" w:hAnsi="Arial" w:cs="Arial"/>
          <w:lang w:val="de-DE"/>
        </w:rPr>
        <w:t>Websitebetreiber haben die Möglichkeit durch die Website „</w:t>
      </w:r>
      <w:hyperlink r:id="rId13" w:history="1">
        <w:r w:rsidR="000C2854" w:rsidRPr="000C2854">
          <w:rPr>
            <w:rStyle w:val="Hyperlink"/>
            <w:rFonts w:ascii="Arial" w:hAnsi="Arial" w:cs="Arial"/>
          </w:rPr>
          <w:t>https://avalex.de/</w:t>
        </w:r>
      </w:hyperlink>
      <w:r w:rsidR="000C2854" w:rsidRPr="000C2854">
        <w:rPr>
          <w:rFonts w:ascii="Arial" w:hAnsi="Arial" w:cs="Arial"/>
        </w:rPr>
        <w:t xml:space="preserve">“ die notwendigen </w:t>
      </w:r>
      <w:r w:rsidR="00A8070A">
        <w:rPr>
          <w:rFonts w:ascii="Arial" w:hAnsi="Arial" w:cs="Arial"/>
        </w:rPr>
        <w:t xml:space="preserve">Cookie-Einstellungen an die DSGVO Vorgaben anzupassen. </w:t>
      </w:r>
      <w:r w:rsidR="000C2854" w:rsidRPr="000C2854">
        <w:rPr>
          <w:rFonts w:ascii="Arial" w:hAnsi="Arial" w:cs="Arial"/>
        </w:rPr>
        <w:t xml:space="preserve"> </w:t>
      </w:r>
    </w:p>
    <w:p w14:paraId="5F8A1D61" w14:textId="53FFDEF1" w:rsidR="006A3161" w:rsidRDefault="00634D94" w:rsidP="00634D94">
      <w:pPr>
        <w:spacing w:line="360" w:lineRule="auto"/>
        <w:rPr>
          <w:rFonts w:ascii="Arial" w:hAnsi="Arial" w:cs="Arial"/>
          <w:lang w:val="de-DE"/>
        </w:rPr>
      </w:pPr>
      <w:r>
        <w:rPr>
          <w:noProof/>
        </w:rPr>
        <w:drawing>
          <wp:inline distT="0" distB="0" distL="0" distR="0" wp14:anchorId="76646359" wp14:editId="25112A77">
            <wp:extent cx="5391150" cy="20193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91150" cy="2019300"/>
                    </a:xfrm>
                    <a:prstGeom prst="rect">
                      <a:avLst/>
                    </a:prstGeom>
                  </pic:spPr>
                </pic:pic>
              </a:graphicData>
            </a:graphic>
          </wp:inline>
        </w:drawing>
      </w:r>
      <w:r>
        <w:rPr>
          <w:rFonts w:ascii="Arial" w:hAnsi="Arial" w:cs="Arial"/>
          <w:lang w:val="de-DE"/>
        </w:rPr>
        <w:br/>
        <w:t xml:space="preserve">Abb. 1: Cookie-Einstellungen </w:t>
      </w:r>
    </w:p>
    <w:p w14:paraId="62DCA301" w14:textId="7486195F" w:rsidR="00655303" w:rsidRPr="000C3E0E" w:rsidRDefault="005B757C" w:rsidP="000C3E0E">
      <w:pPr>
        <w:pStyle w:val="berschrift3"/>
        <w:spacing w:line="360" w:lineRule="auto"/>
        <w:jc w:val="both"/>
        <w:rPr>
          <w:rFonts w:ascii="Arial" w:hAnsi="Arial" w:cs="Arial"/>
          <w:lang w:val="de-DE"/>
        </w:rPr>
      </w:pPr>
      <w:bookmarkStart w:id="34" w:name="_Toc42089760"/>
      <w:r>
        <w:rPr>
          <w:rFonts w:ascii="Arial" w:hAnsi="Arial" w:cs="Arial"/>
          <w:lang w:val="de-DE"/>
        </w:rPr>
        <w:t>4</w:t>
      </w:r>
      <w:r w:rsidR="000C3E0E">
        <w:rPr>
          <w:rFonts w:ascii="Arial" w:hAnsi="Arial" w:cs="Arial"/>
          <w:lang w:val="de-DE"/>
        </w:rPr>
        <w:t xml:space="preserve">.1.2 </w:t>
      </w:r>
      <w:proofErr w:type="spellStart"/>
      <w:r w:rsidR="000C3E0E">
        <w:rPr>
          <w:rFonts w:ascii="Arial" w:hAnsi="Arial" w:cs="Arial"/>
          <w:lang w:val="de-DE"/>
        </w:rPr>
        <w:t>Opt</w:t>
      </w:r>
      <w:proofErr w:type="spellEnd"/>
      <w:r w:rsidR="000C3E0E">
        <w:rPr>
          <w:rFonts w:ascii="Arial" w:hAnsi="Arial" w:cs="Arial"/>
          <w:lang w:val="de-DE"/>
        </w:rPr>
        <w:t xml:space="preserve">-In und </w:t>
      </w:r>
      <w:proofErr w:type="spellStart"/>
      <w:r w:rsidR="000C3E0E">
        <w:rPr>
          <w:rFonts w:ascii="Arial" w:hAnsi="Arial" w:cs="Arial"/>
          <w:lang w:val="de-DE"/>
        </w:rPr>
        <w:t>Opt</w:t>
      </w:r>
      <w:proofErr w:type="spellEnd"/>
      <w:r w:rsidR="000C3E0E">
        <w:rPr>
          <w:rFonts w:ascii="Arial" w:hAnsi="Arial" w:cs="Arial"/>
          <w:lang w:val="de-DE"/>
        </w:rPr>
        <w:t>-Out Modell</w:t>
      </w:r>
      <w:bookmarkEnd w:id="34"/>
    </w:p>
    <w:p w14:paraId="3A8CE3EA" w14:textId="074B0BDB" w:rsidR="00300D8C" w:rsidRPr="00C12A9E" w:rsidRDefault="00300D8C" w:rsidP="00300D8C">
      <w:pPr>
        <w:rPr>
          <w:lang w:val="de-DE"/>
        </w:rPr>
      </w:pPr>
    </w:p>
    <w:p w14:paraId="10AE9FE0" w14:textId="77777777" w:rsidR="00C00909" w:rsidRDefault="00B0736B" w:rsidP="003356EB">
      <w:pPr>
        <w:spacing w:line="360" w:lineRule="auto"/>
        <w:jc w:val="both"/>
        <w:rPr>
          <w:rFonts w:ascii="Arial" w:hAnsi="Arial" w:cs="Arial"/>
          <w:lang w:val="de-DE"/>
        </w:rPr>
      </w:pPr>
      <w:r>
        <w:rPr>
          <w:rFonts w:ascii="Arial" w:hAnsi="Arial" w:cs="Arial"/>
          <w:lang w:val="de-DE"/>
        </w:rPr>
        <w:t xml:space="preserve">Der Ansatz dieses Modells liegt im </w:t>
      </w:r>
      <w:proofErr w:type="spellStart"/>
      <w:r>
        <w:rPr>
          <w:rFonts w:ascii="Arial" w:hAnsi="Arial" w:cs="Arial"/>
          <w:lang w:val="de-DE"/>
        </w:rPr>
        <w:t>Direct</w:t>
      </w:r>
      <w:proofErr w:type="spellEnd"/>
      <w:r>
        <w:rPr>
          <w:rFonts w:ascii="Arial" w:hAnsi="Arial" w:cs="Arial"/>
          <w:lang w:val="de-DE"/>
        </w:rPr>
        <w:t xml:space="preserve">-Marketing mit der Einwilligung des Nutzers. Der Nutzer gab bereits eine Einwilligung über die Kontaktaufnahme, also E-Mail oder Telefon, ab. Somit war für das Unternehmen schlüssig die Daten des Nutzers für verschiedene Zwecke zu verwenden. Grundsätzlich ist das </w:t>
      </w:r>
      <w:proofErr w:type="spellStart"/>
      <w:r>
        <w:rPr>
          <w:rFonts w:ascii="Arial" w:hAnsi="Arial" w:cs="Arial"/>
          <w:lang w:val="de-DE"/>
        </w:rPr>
        <w:t>Opt</w:t>
      </w:r>
      <w:proofErr w:type="spellEnd"/>
      <w:r>
        <w:rPr>
          <w:rFonts w:ascii="Arial" w:hAnsi="Arial" w:cs="Arial"/>
          <w:lang w:val="de-DE"/>
        </w:rPr>
        <w:t xml:space="preserve">-Out Modell im Internet durch digitale Werbung durchaus </w:t>
      </w:r>
      <w:r>
        <w:rPr>
          <w:rFonts w:ascii="Arial" w:hAnsi="Arial" w:cs="Arial"/>
          <w:lang w:val="de-DE"/>
        </w:rPr>
        <w:lastRenderedPageBreak/>
        <w:t xml:space="preserve">erlaubt, jedoch befindet es sich bei </w:t>
      </w:r>
      <w:proofErr w:type="spellStart"/>
      <w:r>
        <w:rPr>
          <w:rFonts w:ascii="Arial" w:hAnsi="Arial" w:cs="Arial"/>
          <w:lang w:val="de-DE"/>
        </w:rPr>
        <w:t>Mass</w:t>
      </w:r>
      <w:proofErr w:type="spellEnd"/>
      <w:r>
        <w:rPr>
          <w:rFonts w:ascii="Arial" w:hAnsi="Arial" w:cs="Arial"/>
          <w:lang w:val="de-DE"/>
        </w:rPr>
        <w:t xml:space="preserve">-Marketing in einem Graubereich. Denn es wurde bereits vor dem Versenden der E-Mail eine Datenbank der Nutzer erstellt. Die personenbezogenen Daten unterliegen weitaus strengeren Regeln und definieren auch genau das Sammeln und Verarbeiten von Daten. Daher müssen </w:t>
      </w:r>
      <w:proofErr w:type="spellStart"/>
      <w:r>
        <w:rPr>
          <w:rFonts w:ascii="Arial" w:hAnsi="Arial" w:cs="Arial"/>
          <w:lang w:val="de-DE"/>
        </w:rPr>
        <w:t>Opt</w:t>
      </w:r>
      <w:proofErr w:type="spellEnd"/>
      <w:r>
        <w:rPr>
          <w:rFonts w:ascii="Arial" w:hAnsi="Arial" w:cs="Arial"/>
          <w:lang w:val="de-DE"/>
        </w:rPr>
        <w:t xml:space="preserve">-Out Verfahren vom Nutzer eingewilligt werden. Die erweiterte Version des </w:t>
      </w:r>
      <w:proofErr w:type="spellStart"/>
      <w:r>
        <w:rPr>
          <w:rFonts w:ascii="Arial" w:hAnsi="Arial" w:cs="Arial"/>
          <w:lang w:val="de-DE"/>
        </w:rPr>
        <w:t>Opt</w:t>
      </w:r>
      <w:proofErr w:type="spellEnd"/>
      <w:r>
        <w:rPr>
          <w:rFonts w:ascii="Arial" w:hAnsi="Arial" w:cs="Arial"/>
          <w:lang w:val="de-DE"/>
        </w:rPr>
        <w:t>-Out ist das Double-</w:t>
      </w:r>
      <w:proofErr w:type="spellStart"/>
      <w:r>
        <w:rPr>
          <w:rFonts w:ascii="Arial" w:hAnsi="Arial" w:cs="Arial"/>
          <w:lang w:val="de-DE"/>
        </w:rPr>
        <w:t>Opt</w:t>
      </w:r>
      <w:proofErr w:type="spellEnd"/>
      <w:r>
        <w:rPr>
          <w:rFonts w:ascii="Arial" w:hAnsi="Arial" w:cs="Arial"/>
          <w:lang w:val="de-DE"/>
        </w:rPr>
        <w:t>-Out. Dies setzt auch eine separate Einwilligung für beispielsweise Newsletter voraus.</w:t>
      </w:r>
      <w:r w:rsidR="008270D1">
        <w:rPr>
          <w:rFonts w:ascii="Arial" w:hAnsi="Arial" w:cs="Arial"/>
          <w:lang w:val="de-DE"/>
        </w:rPr>
        <w:t xml:space="preserve"> Der Nutzer muss auch die Möglichkeit haben sich für den Newsletter wieder schnell und einfach abzumelden. In E-Mail wird bei einem Newsletter in der Regel ein Abmeldelink zugesandt.</w:t>
      </w:r>
      <w:r w:rsidR="004570CA">
        <w:rPr>
          <w:rStyle w:val="Funotenzeichen"/>
          <w:rFonts w:ascii="Arial" w:hAnsi="Arial" w:cs="Arial"/>
          <w:lang w:val="de-DE"/>
        </w:rPr>
        <w:footnoteReference w:id="32"/>
      </w:r>
      <w:r>
        <w:rPr>
          <w:rFonts w:ascii="Arial" w:hAnsi="Arial" w:cs="Arial"/>
          <w:lang w:val="de-DE"/>
        </w:rPr>
        <w:t xml:space="preserve"> </w:t>
      </w:r>
      <w:r w:rsidR="00140AA7">
        <w:rPr>
          <w:rFonts w:ascii="Arial" w:hAnsi="Arial" w:cs="Arial"/>
          <w:lang w:val="de-DE"/>
        </w:rPr>
        <w:t xml:space="preserve">Bei </w:t>
      </w:r>
      <w:proofErr w:type="spellStart"/>
      <w:r w:rsidR="00140AA7">
        <w:rPr>
          <w:rFonts w:ascii="Arial" w:hAnsi="Arial" w:cs="Arial"/>
          <w:lang w:val="de-DE"/>
        </w:rPr>
        <w:t>Opt</w:t>
      </w:r>
      <w:proofErr w:type="spellEnd"/>
      <w:r w:rsidR="00140AA7">
        <w:rPr>
          <w:rFonts w:ascii="Arial" w:hAnsi="Arial" w:cs="Arial"/>
          <w:lang w:val="de-DE"/>
        </w:rPr>
        <w:t>-</w:t>
      </w:r>
      <w:proofErr w:type="spellStart"/>
      <w:r w:rsidR="00140AA7">
        <w:rPr>
          <w:rFonts w:ascii="Arial" w:hAnsi="Arial" w:cs="Arial"/>
          <w:lang w:val="de-DE"/>
        </w:rPr>
        <w:t>In</w:t>
      </w:r>
      <w:proofErr w:type="spellEnd"/>
      <w:r w:rsidR="00140AA7">
        <w:rPr>
          <w:rFonts w:ascii="Arial" w:hAnsi="Arial" w:cs="Arial"/>
          <w:lang w:val="de-DE"/>
        </w:rPr>
        <w:t xml:space="preserve"> muss der Nutzer ebenfalls dem Betreiber der Website aktiv erlauben die Daten für Informations- und Werbezwecke nutzen zu dürfen. </w:t>
      </w:r>
      <w:r w:rsidR="00DC13F2">
        <w:rPr>
          <w:rFonts w:ascii="Arial" w:hAnsi="Arial" w:cs="Arial"/>
          <w:lang w:val="de-DE"/>
        </w:rPr>
        <w:t xml:space="preserve">Der Nutzer gibt beim Newsletter seine E-Mail-Adresse an und stimmt somit freiwillig zu einen Newsletter zu erhalten. </w:t>
      </w:r>
    </w:p>
    <w:p w14:paraId="50FD6330" w14:textId="556B4E7B" w:rsidR="00300D8C" w:rsidRDefault="00DC13F2" w:rsidP="003356EB">
      <w:pPr>
        <w:spacing w:line="360" w:lineRule="auto"/>
        <w:jc w:val="both"/>
        <w:rPr>
          <w:rFonts w:ascii="Arial" w:hAnsi="Arial" w:cs="Arial"/>
          <w:lang w:val="de-DE"/>
        </w:rPr>
      </w:pPr>
      <w:r>
        <w:rPr>
          <w:rFonts w:ascii="Arial" w:hAnsi="Arial" w:cs="Arial"/>
          <w:lang w:val="de-DE"/>
        </w:rPr>
        <w:t>Der Nachteil des Single-</w:t>
      </w:r>
      <w:proofErr w:type="spellStart"/>
      <w:r>
        <w:rPr>
          <w:rFonts w:ascii="Arial" w:hAnsi="Arial" w:cs="Arial"/>
          <w:lang w:val="de-DE"/>
        </w:rPr>
        <w:t>Opt</w:t>
      </w:r>
      <w:proofErr w:type="spellEnd"/>
      <w:r>
        <w:rPr>
          <w:rFonts w:ascii="Arial" w:hAnsi="Arial" w:cs="Arial"/>
          <w:lang w:val="de-DE"/>
        </w:rPr>
        <w:t xml:space="preserve">-In </w:t>
      </w:r>
      <w:r w:rsidR="005B2012">
        <w:rPr>
          <w:rFonts w:ascii="Arial" w:hAnsi="Arial" w:cs="Arial"/>
          <w:lang w:val="de-DE"/>
        </w:rPr>
        <w:t>ist, dass beliebe E-Mail-Adressen verwendet werden können. Um diesen Nachteil zu umgehen, gibt es das Double-</w:t>
      </w:r>
      <w:proofErr w:type="spellStart"/>
      <w:r w:rsidR="005B2012">
        <w:rPr>
          <w:rFonts w:ascii="Arial" w:hAnsi="Arial" w:cs="Arial"/>
          <w:lang w:val="de-DE"/>
        </w:rPr>
        <w:t>Opt</w:t>
      </w:r>
      <w:proofErr w:type="spellEnd"/>
      <w:r w:rsidR="005B2012">
        <w:rPr>
          <w:rFonts w:ascii="Arial" w:hAnsi="Arial" w:cs="Arial"/>
          <w:lang w:val="de-DE"/>
        </w:rPr>
        <w:t xml:space="preserve">-In Verfahren. In der Praxis setzte sich dieses Verfahren durch, da das Unternehmen bzw. der Werbebetreiber auf der rechtssicheren Seite ist. </w:t>
      </w:r>
      <w:r w:rsidR="00A722C9">
        <w:rPr>
          <w:rFonts w:ascii="Arial" w:hAnsi="Arial" w:cs="Arial"/>
          <w:lang w:val="de-DE"/>
        </w:rPr>
        <w:t>Nachdem der Nutzer dem Newsletter mit einer E-Mail zustimmte, bekommt der Nutzer eine Bestätigungsmail. Folglich kann das Unternehmen die Daten für Informations- und Werbezwecke nutzen. Weiters können weitaus attraktivere und präzisiere Daten durch den Nutzer gesammelt werden.</w:t>
      </w:r>
      <w:r w:rsidR="007C3C95">
        <w:rPr>
          <w:rStyle w:val="Funotenzeichen"/>
          <w:rFonts w:ascii="Arial" w:hAnsi="Arial" w:cs="Arial"/>
          <w:lang w:val="de-DE"/>
        </w:rPr>
        <w:footnoteReference w:id="33"/>
      </w:r>
      <w:r w:rsidR="00A722C9">
        <w:rPr>
          <w:rFonts w:ascii="Arial" w:hAnsi="Arial" w:cs="Arial"/>
          <w:lang w:val="de-DE"/>
        </w:rPr>
        <w:t xml:space="preserve"> </w:t>
      </w:r>
    </w:p>
    <w:p w14:paraId="400AA759" w14:textId="3F63DB05" w:rsidR="00815E27" w:rsidRPr="00815E27" w:rsidRDefault="00815E27" w:rsidP="003356EB">
      <w:pPr>
        <w:spacing w:line="360" w:lineRule="auto"/>
        <w:jc w:val="both"/>
        <w:rPr>
          <w:rFonts w:ascii="Arial" w:hAnsi="Arial" w:cs="Arial"/>
          <w:lang w:val="de-DE"/>
        </w:rPr>
      </w:pPr>
      <w:r>
        <w:rPr>
          <w:noProof/>
        </w:rPr>
        <w:drawing>
          <wp:inline distT="0" distB="0" distL="0" distR="0" wp14:anchorId="1038111A" wp14:editId="347D0FA4">
            <wp:extent cx="5760720" cy="11049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1104900"/>
                    </a:xfrm>
                    <a:prstGeom prst="rect">
                      <a:avLst/>
                    </a:prstGeom>
                  </pic:spPr>
                </pic:pic>
              </a:graphicData>
            </a:graphic>
          </wp:inline>
        </w:drawing>
      </w:r>
      <w:r w:rsidRPr="00815E27">
        <w:rPr>
          <w:rFonts w:ascii="Arial" w:hAnsi="Arial" w:cs="Arial"/>
          <w:lang w:val="de-DE"/>
        </w:rPr>
        <w:t>Abb. 2: Double-</w:t>
      </w:r>
      <w:proofErr w:type="spellStart"/>
      <w:r w:rsidRPr="00815E27">
        <w:rPr>
          <w:rFonts w:ascii="Arial" w:hAnsi="Arial" w:cs="Arial"/>
          <w:lang w:val="de-DE"/>
        </w:rPr>
        <w:t>Opt</w:t>
      </w:r>
      <w:proofErr w:type="spellEnd"/>
      <w:r w:rsidRPr="00815E27">
        <w:rPr>
          <w:rFonts w:ascii="Arial" w:hAnsi="Arial" w:cs="Arial"/>
          <w:lang w:val="de-DE"/>
        </w:rPr>
        <w:t>-In mit Bestät</w:t>
      </w:r>
      <w:r>
        <w:rPr>
          <w:rFonts w:ascii="Arial" w:hAnsi="Arial" w:cs="Arial"/>
          <w:lang w:val="de-DE"/>
        </w:rPr>
        <w:t xml:space="preserve">igungsmail </w:t>
      </w:r>
    </w:p>
    <w:p w14:paraId="0DBA7A6A" w14:textId="232F712E" w:rsidR="009864E8" w:rsidRPr="000601BC" w:rsidRDefault="005B757C" w:rsidP="00714403">
      <w:pPr>
        <w:pStyle w:val="berschrift3"/>
        <w:jc w:val="both"/>
        <w:rPr>
          <w:rFonts w:ascii="Arial" w:hAnsi="Arial" w:cs="Arial"/>
          <w:lang w:val="de-DE"/>
        </w:rPr>
      </w:pPr>
      <w:bookmarkStart w:id="35" w:name="_Toc42089761"/>
      <w:r>
        <w:rPr>
          <w:rFonts w:ascii="Arial" w:hAnsi="Arial" w:cs="Arial"/>
          <w:lang w:val="de-DE"/>
        </w:rPr>
        <w:t>4</w:t>
      </w:r>
      <w:r w:rsidR="00714403" w:rsidRPr="000601BC">
        <w:rPr>
          <w:rFonts w:ascii="Arial" w:hAnsi="Arial" w:cs="Arial"/>
          <w:lang w:val="de-DE"/>
        </w:rPr>
        <w:t>.1.3 Google Analytics</w:t>
      </w:r>
      <w:r w:rsidR="00B072C0">
        <w:rPr>
          <w:rStyle w:val="Funotenzeichen"/>
          <w:rFonts w:ascii="Arial" w:hAnsi="Arial" w:cs="Arial"/>
          <w:lang w:val="de-DE"/>
        </w:rPr>
        <w:footnoteReference w:id="34"/>
      </w:r>
      <w:bookmarkEnd w:id="35"/>
    </w:p>
    <w:p w14:paraId="3C7E5C15" w14:textId="569F56C9" w:rsidR="00714403" w:rsidRPr="000601BC" w:rsidRDefault="00714403" w:rsidP="00714403">
      <w:pPr>
        <w:rPr>
          <w:lang w:val="de-DE"/>
        </w:rPr>
      </w:pPr>
    </w:p>
    <w:p w14:paraId="39D14FF6" w14:textId="6ABADF75" w:rsidR="00714403" w:rsidRDefault="00C6350E" w:rsidP="00A228AD">
      <w:pPr>
        <w:spacing w:line="360" w:lineRule="auto"/>
        <w:jc w:val="both"/>
        <w:rPr>
          <w:rFonts w:ascii="Arial" w:hAnsi="Arial" w:cs="Arial"/>
          <w:lang w:val="de-DE"/>
        </w:rPr>
      </w:pPr>
      <w:r>
        <w:rPr>
          <w:rFonts w:ascii="Arial" w:hAnsi="Arial" w:cs="Arial"/>
          <w:lang w:val="de-DE"/>
        </w:rPr>
        <w:t xml:space="preserve">Google Analytics ist für Online-Marketing das meist genutzte Tool. Es dient vor allem der Nutzeranalyse auf </w:t>
      </w:r>
      <w:proofErr w:type="spellStart"/>
      <w:r>
        <w:rPr>
          <w:rFonts w:ascii="Arial" w:hAnsi="Arial" w:cs="Arial"/>
          <w:lang w:val="de-DE"/>
        </w:rPr>
        <w:t>Websiten</w:t>
      </w:r>
      <w:proofErr w:type="spellEnd"/>
      <w:r>
        <w:rPr>
          <w:rFonts w:ascii="Arial" w:hAnsi="Arial" w:cs="Arial"/>
          <w:lang w:val="de-DE"/>
        </w:rPr>
        <w:t>. Dieses Tool sammelt Daten (Besuchsdauer, Besuchsverhalten, Besucheranzahl</w:t>
      </w:r>
      <w:r w:rsidR="00A228AD">
        <w:rPr>
          <w:rFonts w:ascii="Arial" w:hAnsi="Arial" w:cs="Arial"/>
          <w:lang w:val="de-DE"/>
        </w:rPr>
        <w:t>, demographische Merkmale, Nutzung von Suchbegriffen</w:t>
      </w:r>
      <w:r>
        <w:rPr>
          <w:rFonts w:ascii="Arial" w:hAnsi="Arial" w:cs="Arial"/>
          <w:lang w:val="de-DE"/>
        </w:rPr>
        <w:t xml:space="preserve">) von Besuchern auf der Website und unterstützt bei der Optimierung der Seite durch statistische Analysen. </w:t>
      </w:r>
      <w:r w:rsidR="00C87C07">
        <w:rPr>
          <w:rFonts w:ascii="Arial" w:hAnsi="Arial" w:cs="Arial"/>
          <w:lang w:val="de-DE"/>
        </w:rPr>
        <w:t xml:space="preserve">Beim Sammeln der Daten wurden auch die vollständigen IP-Adressen an die Server von Google in die USA übermittelt. Somit war dies nicht mit den Vorgaben der DSGVO vereinbar. </w:t>
      </w:r>
      <w:r w:rsidR="00712CCC">
        <w:rPr>
          <w:rFonts w:ascii="Arial" w:hAnsi="Arial" w:cs="Arial"/>
          <w:lang w:val="de-DE"/>
        </w:rPr>
        <w:t xml:space="preserve">Folglich bekamen Websitebetreiber Abmahnungen oder wurden auch Bußgelder verhängt. Dadurch </w:t>
      </w:r>
      <w:r w:rsidR="00712CCC">
        <w:rPr>
          <w:rFonts w:ascii="Arial" w:hAnsi="Arial" w:cs="Arial"/>
          <w:lang w:val="de-DE"/>
        </w:rPr>
        <w:lastRenderedPageBreak/>
        <w:t>wurde zwischen Google und Datenschützer einige Punkte</w:t>
      </w:r>
      <w:r w:rsidR="009539DD">
        <w:rPr>
          <w:rFonts w:ascii="Arial" w:hAnsi="Arial" w:cs="Arial"/>
          <w:lang w:val="de-DE"/>
        </w:rPr>
        <w:t xml:space="preserve"> vereinbart</w:t>
      </w:r>
      <w:r w:rsidR="00712CCC">
        <w:rPr>
          <w:rFonts w:ascii="Arial" w:hAnsi="Arial" w:cs="Arial"/>
          <w:lang w:val="de-DE"/>
        </w:rPr>
        <w:t>, um Google Analytics rechtskonform als Unternehmen bzw. Websitebetreiber zu nutzen:</w:t>
      </w:r>
    </w:p>
    <w:p w14:paraId="7E81F1BD" w14:textId="5285C623" w:rsidR="00712CCC" w:rsidRDefault="00712CCC" w:rsidP="00712CCC">
      <w:pPr>
        <w:pStyle w:val="Listenabsatz"/>
        <w:numPr>
          <w:ilvl w:val="0"/>
          <w:numId w:val="9"/>
        </w:numPr>
        <w:spacing w:line="360" w:lineRule="auto"/>
        <w:jc w:val="both"/>
        <w:rPr>
          <w:rFonts w:ascii="Arial" w:hAnsi="Arial" w:cs="Arial"/>
          <w:lang w:val="de-DE"/>
        </w:rPr>
      </w:pPr>
      <w:r>
        <w:rPr>
          <w:rFonts w:ascii="Arial" w:hAnsi="Arial" w:cs="Arial"/>
          <w:lang w:val="de-DE"/>
        </w:rPr>
        <w:t xml:space="preserve">IP-Anonymisierung: </w:t>
      </w:r>
      <w:r w:rsidR="00FE3D27">
        <w:rPr>
          <w:rFonts w:ascii="Arial" w:hAnsi="Arial" w:cs="Arial"/>
          <w:lang w:val="de-DE"/>
        </w:rPr>
        <w:t xml:space="preserve">Die IP-Adressen der Nutzer müssen von Google anonymisiert werden. Durch dieses Prinzip können Daten nicht mehr auf eine einzelne Person zurückverfolgt werden. Die letzten 8 Ziffern der IP-Adresse werden gelöscht. Grundsätzlich kann aber durchaus noch eine grobe Lokalisierung </w:t>
      </w:r>
      <w:r w:rsidR="002075C2">
        <w:rPr>
          <w:rFonts w:ascii="Arial" w:hAnsi="Arial" w:cs="Arial"/>
          <w:lang w:val="de-DE"/>
        </w:rPr>
        <w:t>seitens Google</w:t>
      </w:r>
      <w:r w:rsidR="00FE3D27">
        <w:rPr>
          <w:rFonts w:ascii="Arial" w:hAnsi="Arial" w:cs="Arial"/>
          <w:lang w:val="de-DE"/>
        </w:rPr>
        <w:t xml:space="preserve"> stattfinden. </w:t>
      </w:r>
    </w:p>
    <w:p w14:paraId="558D20F5" w14:textId="77777777" w:rsidR="00DC4E2C" w:rsidRDefault="00DC4E2C" w:rsidP="00DC4E2C">
      <w:pPr>
        <w:pStyle w:val="Listenabsatz"/>
        <w:spacing w:line="360" w:lineRule="auto"/>
        <w:jc w:val="both"/>
        <w:rPr>
          <w:rFonts w:ascii="Arial" w:hAnsi="Arial" w:cs="Arial"/>
          <w:lang w:val="de-DE"/>
        </w:rPr>
      </w:pPr>
    </w:p>
    <w:p w14:paraId="3A0810E6" w14:textId="1882308C" w:rsidR="00FE3D27" w:rsidRDefault="00FE3D27" w:rsidP="00712CCC">
      <w:pPr>
        <w:pStyle w:val="Listenabsatz"/>
        <w:numPr>
          <w:ilvl w:val="0"/>
          <w:numId w:val="9"/>
        </w:numPr>
        <w:spacing w:line="360" w:lineRule="auto"/>
        <w:jc w:val="both"/>
        <w:rPr>
          <w:rFonts w:ascii="Arial" w:hAnsi="Arial" w:cs="Arial"/>
          <w:lang w:val="de-DE"/>
        </w:rPr>
      </w:pPr>
      <w:r>
        <w:rPr>
          <w:rFonts w:ascii="Arial" w:hAnsi="Arial" w:cs="Arial"/>
          <w:lang w:val="de-DE"/>
        </w:rPr>
        <w:t>Widerspruchsrecht</w:t>
      </w:r>
      <w:r w:rsidR="00B072C0">
        <w:rPr>
          <w:rFonts w:ascii="Arial" w:hAnsi="Arial" w:cs="Arial"/>
          <w:lang w:val="de-DE"/>
        </w:rPr>
        <w:t xml:space="preserve">: Die Nutzer müssen die Möglichkeit haben einen Widerspruch gegen das </w:t>
      </w:r>
      <w:proofErr w:type="spellStart"/>
      <w:r w:rsidR="00B072C0">
        <w:rPr>
          <w:rFonts w:ascii="Arial" w:hAnsi="Arial" w:cs="Arial"/>
          <w:lang w:val="de-DE"/>
        </w:rPr>
        <w:t>Profiling</w:t>
      </w:r>
      <w:proofErr w:type="spellEnd"/>
      <w:r w:rsidR="00B072C0">
        <w:rPr>
          <w:rFonts w:ascii="Arial" w:hAnsi="Arial" w:cs="Arial"/>
          <w:lang w:val="de-DE"/>
        </w:rPr>
        <w:t xml:space="preserve"> erheben zu können. Besucher einer Website können Google Analytics auch ablehnen mit Hilfe einer Deaktivierung von diesem Tool durch ein </w:t>
      </w:r>
      <w:proofErr w:type="spellStart"/>
      <w:r w:rsidR="00B072C0">
        <w:rPr>
          <w:rFonts w:ascii="Arial" w:hAnsi="Arial" w:cs="Arial"/>
          <w:lang w:val="de-DE"/>
        </w:rPr>
        <w:t>Opt</w:t>
      </w:r>
      <w:proofErr w:type="spellEnd"/>
      <w:r w:rsidR="00B072C0">
        <w:rPr>
          <w:rFonts w:ascii="Arial" w:hAnsi="Arial" w:cs="Arial"/>
          <w:lang w:val="de-DE"/>
        </w:rPr>
        <w:t xml:space="preserve">-Out Cookie. Dies verhindert bei zukünftigen Besuchen das Erfassen von Daten. </w:t>
      </w:r>
    </w:p>
    <w:p w14:paraId="34F0E4B1" w14:textId="77777777" w:rsidR="00DC4E2C" w:rsidRDefault="00DC4E2C" w:rsidP="00DC4E2C">
      <w:pPr>
        <w:pStyle w:val="Listenabsatz"/>
        <w:spacing w:line="360" w:lineRule="auto"/>
        <w:jc w:val="both"/>
        <w:rPr>
          <w:rFonts w:ascii="Arial" w:hAnsi="Arial" w:cs="Arial"/>
          <w:lang w:val="de-DE"/>
        </w:rPr>
      </w:pPr>
    </w:p>
    <w:p w14:paraId="627E04EF" w14:textId="3D34FD94" w:rsidR="00421476" w:rsidRDefault="00B072C0" w:rsidP="00712CCC">
      <w:pPr>
        <w:pStyle w:val="Listenabsatz"/>
        <w:numPr>
          <w:ilvl w:val="0"/>
          <w:numId w:val="9"/>
        </w:numPr>
        <w:spacing w:line="360" w:lineRule="auto"/>
        <w:jc w:val="both"/>
        <w:rPr>
          <w:rFonts w:ascii="Arial" w:hAnsi="Arial" w:cs="Arial"/>
          <w:lang w:val="de-DE"/>
        </w:rPr>
      </w:pPr>
      <w:r>
        <w:rPr>
          <w:rFonts w:ascii="Arial" w:hAnsi="Arial" w:cs="Arial"/>
          <w:lang w:val="de-DE"/>
        </w:rPr>
        <w:t xml:space="preserve">Aufbewahrungsdauer der Daten: </w:t>
      </w:r>
      <w:r w:rsidR="00B108B1">
        <w:rPr>
          <w:rFonts w:ascii="Arial" w:hAnsi="Arial" w:cs="Arial"/>
          <w:lang w:val="de-DE"/>
        </w:rPr>
        <w:t xml:space="preserve">Mittels Art. 25 DSGVO (Datenschutz durch Technikgestaltung und datenschutzfreundliche Voreinstellung) wird den Nutzern die Möglichkeit eingeräumt datenschutzfreundliche Voreinstellungen durchzuführen. Auch durch die beiden Prinzipien „Datenminimierung“ und „Speicherbegrenzung“ wird dies gestärkt. Die Daten sollten daher nur zum nötigen Zwecke und auch für dessen Dauer gespeichert und anschließend unverzüglich gelöscht werden. </w:t>
      </w:r>
    </w:p>
    <w:p w14:paraId="7B3A18EE" w14:textId="1E96D44D" w:rsidR="00B072C0" w:rsidRDefault="00421476" w:rsidP="00421476">
      <w:pPr>
        <w:pStyle w:val="Listenabsatz"/>
        <w:spacing w:line="360" w:lineRule="auto"/>
        <w:jc w:val="both"/>
      </w:pPr>
      <w:r>
        <w:rPr>
          <w:noProof/>
        </w:rPr>
        <w:drawing>
          <wp:inline distT="0" distB="0" distL="0" distR="0" wp14:anchorId="5C29F896" wp14:editId="1C6AA54C">
            <wp:extent cx="5800725" cy="1857375"/>
            <wp:effectExtent l="0" t="0" r="9525" b="9525"/>
            <wp:docPr id="3" name="Grafik 3" descr="Aufbewahrungsdauer in Google Analyt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fbewahrungsdauer in Google Analytic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00725" cy="1857375"/>
                    </a:xfrm>
                    <a:prstGeom prst="rect">
                      <a:avLst/>
                    </a:prstGeom>
                    <a:noFill/>
                    <a:ln>
                      <a:noFill/>
                    </a:ln>
                  </pic:spPr>
                </pic:pic>
              </a:graphicData>
            </a:graphic>
          </wp:inline>
        </w:drawing>
      </w:r>
      <w:r w:rsidR="00B108B1">
        <w:rPr>
          <w:rFonts w:ascii="Arial" w:hAnsi="Arial" w:cs="Arial"/>
          <w:lang w:val="de-DE"/>
        </w:rPr>
        <w:t xml:space="preserve"> </w:t>
      </w:r>
      <w:r>
        <w:rPr>
          <w:rFonts w:ascii="Arial" w:hAnsi="Arial" w:cs="Arial"/>
          <w:lang w:val="de-DE"/>
        </w:rPr>
        <w:br/>
        <w:t xml:space="preserve">Abb. </w:t>
      </w:r>
      <w:r w:rsidR="004E00DE">
        <w:rPr>
          <w:rFonts w:ascii="Arial" w:hAnsi="Arial" w:cs="Arial"/>
          <w:lang w:val="de-DE"/>
        </w:rPr>
        <w:t>3</w:t>
      </w:r>
      <w:r>
        <w:rPr>
          <w:rFonts w:ascii="Arial" w:hAnsi="Arial" w:cs="Arial"/>
          <w:lang w:val="de-DE"/>
        </w:rPr>
        <w:t xml:space="preserve">: Speichereinstellungen der Aufbewahrung der Daten mittels Google Analytics </w:t>
      </w:r>
    </w:p>
    <w:p w14:paraId="29304E35" w14:textId="77777777" w:rsidR="00DC4E2C" w:rsidRDefault="00DC4E2C" w:rsidP="00DC4E2C">
      <w:pPr>
        <w:pStyle w:val="Listenabsatz"/>
        <w:spacing w:line="360" w:lineRule="auto"/>
        <w:jc w:val="both"/>
        <w:rPr>
          <w:rFonts w:ascii="Arial" w:hAnsi="Arial" w:cs="Arial"/>
          <w:lang w:val="de-DE"/>
        </w:rPr>
      </w:pPr>
    </w:p>
    <w:p w14:paraId="7D217D3E" w14:textId="77777777" w:rsidR="00A84553" w:rsidRDefault="00FC6D34" w:rsidP="00A84553">
      <w:pPr>
        <w:pStyle w:val="Listenabsatz"/>
        <w:numPr>
          <w:ilvl w:val="0"/>
          <w:numId w:val="9"/>
        </w:numPr>
        <w:spacing w:line="360" w:lineRule="auto"/>
        <w:jc w:val="both"/>
        <w:rPr>
          <w:rFonts w:ascii="Arial" w:hAnsi="Arial" w:cs="Arial"/>
          <w:lang w:val="de-DE"/>
        </w:rPr>
      </w:pPr>
      <w:r>
        <w:rPr>
          <w:rFonts w:ascii="Arial" w:hAnsi="Arial" w:cs="Arial"/>
          <w:lang w:val="de-DE"/>
        </w:rPr>
        <w:t xml:space="preserve">Datenschutzerklärung: </w:t>
      </w:r>
      <w:r w:rsidR="00480735">
        <w:rPr>
          <w:rFonts w:ascii="Arial" w:hAnsi="Arial" w:cs="Arial"/>
          <w:lang w:val="de-DE"/>
        </w:rPr>
        <w:t xml:space="preserve">Die Datenschutzerklärung muss zwingend gewisse Vorgaben gemäß der DSGVO erfüllen. Die Nutzer müssen aufgeklärt werden, dass Google Analytics verwendet wird. Weiters wird verlangt welche Daten erfasst werden, die Erklärung muss ein Widerrufsrecht beinhalten, die Speicherdauer und Kriterien der Daten und Hinweise für das Deaktivieren von Google Analytics. </w:t>
      </w:r>
    </w:p>
    <w:p w14:paraId="000FA0FF" w14:textId="312CFF4E" w:rsidR="00480735" w:rsidRPr="00712CCC" w:rsidRDefault="00480735" w:rsidP="00480735">
      <w:pPr>
        <w:pStyle w:val="Listenabsatz"/>
        <w:spacing w:line="360" w:lineRule="auto"/>
        <w:jc w:val="both"/>
        <w:rPr>
          <w:rFonts w:ascii="Arial" w:hAnsi="Arial" w:cs="Arial"/>
          <w:lang w:val="de-DE"/>
        </w:rPr>
      </w:pPr>
      <w:r>
        <w:rPr>
          <w:noProof/>
        </w:rPr>
        <w:lastRenderedPageBreak/>
        <w:drawing>
          <wp:inline distT="0" distB="0" distL="0" distR="0" wp14:anchorId="772CF86B" wp14:editId="355C2819">
            <wp:extent cx="5760720" cy="4791075"/>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4791075"/>
                    </a:xfrm>
                    <a:prstGeom prst="rect">
                      <a:avLst/>
                    </a:prstGeom>
                  </pic:spPr>
                </pic:pic>
              </a:graphicData>
            </a:graphic>
          </wp:inline>
        </w:drawing>
      </w:r>
      <w:r>
        <w:rPr>
          <w:rFonts w:ascii="Arial" w:hAnsi="Arial" w:cs="Arial"/>
          <w:lang w:val="de-DE"/>
        </w:rPr>
        <w:br/>
        <w:t xml:space="preserve">Abb. 4: Ausschnitt Datenschutzerklärung Google Analytics </w:t>
      </w:r>
    </w:p>
    <w:p w14:paraId="071AB109" w14:textId="5012CCBD" w:rsidR="00463F98" w:rsidRDefault="005B757C" w:rsidP="00463F98">
      <w:pPr>
        <w:pStyle w:val="berschrift3"/>
        <w:rPr>
          <w:rFonts w:ascii="Arial" w:hAnsi="Arial" w:cs="Arial"/>
          <w:lang w:val="de-DE"/>
        </w:rPr>
      </w:pPr>
      <w:bookmarkStart w:id="36" w:name="_Toc42089762"/>
      <w:r>
        <w:rPr>
          <w:rFonts w:ascii="Arial" w:hAnsi="Arial" w:cs="Arial"/>
          <w:lang w:val="de-DE"/>
        </w:rPr>
        <w:t>4</w:t>
      </w:r>
      <w:r w:rsidR="00463F98">
        <w:rPr>
          <w:rFonts w:ascii="Arial" w:hAnsi="Arial" w:cs="Arial"/>
          <w:lang w:val="de-DE"/>
        </w:rPr>
        <w:t>.1.4 Fazit zu Google Analytics</w:t>
      </w:r>
      <w:r w:rsidR="00FA35F9">
        <w:rPr>
          <w:rStyle w:val="Funotenzeichen"/>
          <w:rFonts w:ascii="Arial" w:hAnsi="Arial" w:cs="Arial"/>
          <w:lang w:val="de-DE"/>
        </w:rPr>
        <w:footnoteReference w:id="35"/>
      </w:r>
      <w:bookmarkEnd w:id="36"/>
    </w:p>
    <w:p w14:paraId="5EF90192" w14:textId="77777777" w:rsidR="00463F98" w:rsidRPr="00463F98" w:rsidRDefault="00463F98" w:rsidP="00463F98">
      <w:pPr>
        <w:rPr>
          <w:lang w:val="de-DE"/>
        </w:rPr>
      </w:pPr>
    </w:p>
    <w:p w14:paraId="2D76317A" w14:textId="51BA215D" w:rsidR="009864E8" w:rsidRDefault="00053DD6" w:rsidP="00053DD6">
      <w:pPr>
        <w:spacing w:line="360" w:lineRule="auto"/>
        <w:jc w:val="both"/>
        <w:rPr>
          <w:rFonts w:ascii="Arial" w:hAnsi="Arial" w:cs="Arial"/>
          <w:lang w:val="de-DE"/>
        </w:rPr>
      </w:pPr>
      <w:r>
        <w:rPr>
          <w:rFonts w:ascii="Arial" w:hAnsi="Arial" w:cs="Arial"/>
          <w:lang w:val="de-DE"/>
        </w:rPr>
        <w:t xml:space="preserve">Grundsätzlich ist es für Unternehmen also möglich die Funktionsweise von Google Analytics datenschutzkonform auf der Website einzusetzen. Jedoch bleibt weiterhin ein Restrisiko. Oft wird von Google in deren Erklärung von Google Analytics nicht präzise definiert, wo und welche Daten gesammelt werden. Zusätzlich ist auch die Aufbewahrungsdauer unbekannt. In Zukunft werden zu Google Analytics wahrscheinlich weitere gesetzliche Anpassungen vorgenommen. </w:t>
      </w:r>
      <w:r w:rsidR="000601BC">
        <w:rPr>
          <w:rFonts w:ascii="Arial" w:hAnsi="Arial" w:cs="Arial"/>
          <w:lang w:val="de-DE"/>
        </w:rPr>
        <w:t xml:space="preserve">Seit dem Jahr 2013 bietet Google auch das Tool „Google Universal Analytics“ an. Dieses bietet die Möglichkeit auch auf weiteren Geräten Daten zu sammeln, also es von Smartphones, Tablets und auch Spielekonsolen, die bereits seit mehreren Generationen eine Internetverbindung und folglich auch Browser oder Apps anbietet. Google Universal Analytics benötigt ebenfalls </w:t>
      </w:r>
      <w:r w:rsidR="0079273D">
        <w:rPr>
          <w:rFonts w:ascii="Arial" w:hAnsi="Arial" w:cs="Arial"/>
          <w:lang w:val="de-DE"/>
        </w:rPr>
        <w:t>dieselben</w:t>
      </w:r>
      <w:r w:rsidR="000601BC">
        <w:rPr>
          <w:rFonts w:ascii="Arial" w:hAnsi="Arial" w:cs="Arial"/>
          <w:lang w:val="de-DE"/>
        </w:rPr>
        <w:t xml:space="preserve"> Vorgaben der DSGVO wie Google Analytics.</w:t>
      </w:r>
      <w:r w:rsidR="0079273D">
        <w:rPr>
          <w:rFonts w:ascii="Arial" w:hAnsi="Arial" w:cs="Arial"/>
          <w:lang w:val="de-DE"/>
        </w:rPr>
        <w:t xml:space="preserve"> Daher werden die oben genannten vier Punkte ebenfalls umgesetzt. Die Nutzer lehnen bereits Cookies ab, sodass teilweise kein Sammeln von Daten seitens Websitebetreiber möglich ist. Google </w:t>
      </w:r>
      <w:r w:rsidR="0079273D">
        <w:rPr>
          <w:rFonts w:ascii="Arial" w:hAnsi="Arial" w:cs="Arial"/>
          <w:lang w:val="de-DE"/>
        </w:rPr>
        <w:lastRenderedPageBreak/>
        <w:t>Universal Analytics kann auch ohne Cookies Daten sammeln, daher ist es unabdingbar genau zu definieren, welche Daten gesammelt und gespeichert werden. Durch die genau</w:t>
      </w:r>
      <w:r w:rsidR="006636E9">
        <w:rPr>
          <w:rFonts w:ascii="Arial" w:hAnsi="Arial" w:cs="Arial"/>
          <w:lang w:val="de-DE"/>
        </w:rPr>
        <w:t>e</w:t>
      </w:r>
      <w:r w:rsidR="0079273D">
        <w:rPr>
          <w:rFonts w:ascii="Arial" w:hAnsi="Arial" w:cs="Arial"/>
          <w:lang w:val="de-DE"/>
        </w:rPr>
        <w:t xml:space="preserve"> Identifizierung eines Nutzers </w:t>
      </w:r>
      <w:r w:rsidR="006636E9">
        <w:rPr>
          <w:rFonts w:ascii="Arial" w:hAnsi="Arial" w:cs="Arial"/>
          <w:lang w:val="de-DE"/>
        </w:rPr>
        <w:t>untersagt</w:t>
      </w:r>
      <w:r w:rsidR="0079273D">
        <w:rPr>
          <w:rFonts w:ascii="Arial" w:hAnsi="Arial" w:cs="Arial"/>
          <w:lang w:val="de-DE"/>
        </w:rPr>
        <w:t xml:space="preserve"> Google </w:t>
      </w:r>
      <w:r w:rsidR="006636E9">
        <w:rPr>
          <w:rFonts w:ascii="Arial" w:hAnsi="Arial" w:cs="Arial"/>
          <w:lang w:val="de-DE"/>
        </w:rPr>
        <w:t xml:space="preserve">den Unternehmen </w:t>
      </w:r>
      <w:r w:rsidR="0079273D">
        <w:rPr>
          <w:rFonts w:ascii="Arial" w:hAnsi="Arial" w:cs="Arial"/>
          <w:lang w:val="de-DE"/>
        </w:rPr>
        <w:t>persönliche Nutzerdaten zu verbinden.</w:t>
      </w:r>
      <w:r w:rsidR="006636E9">
        <w:rPr>
          <w:rFonts w:ascii="Arial" w:hAnsi="Arial" w:cs="Arial"/>
          <w:lang w:val="de-DE"/>
        </w:rPr>
        <w:t xml:space="preserve"> </w:t>
      </w:r>
    </w:p>
    <w:p w14:paraId="1DD809C7" w14:textId="0837B0F8" w:rsidR="002E41DD" w:rsidRDefault="005B757C" w:rsidP="002778EE">
      <w:pPr>
        <w:pStyle w:val="berschrift2"/>
        <w:jc w:val="both"/>
        <w:rPr>
          <w:rFonts w:ascii="Arial" w:hAnsi="Arial" w:cs="Arial"/>
          <w:sz w:val="28"/>
          <w:szCs w:val="28"/>
          <w:lang w:val="de-DE"/>
        </w:rPr>
      </w:pPr>
      <w:bookmarkStart w:id="37" w:name="_Toc42089763"/>
      <w:r>
        <w:rPr>
          <w:rFonts w:ascii="Arial" w:hAnsi="Arial" w:cs="Arial"/>
          <w:sz w:val="28"/>
          <w:szCs w:val="28"/>
          <w:lang w:val="de-DE"/>
        </w:rPr>
        <w:t>4</w:t>
      </w:r>
      <w:r w:rsidR="002778EE">
        <w:rPr>
          <w:rFonts w:ascii="Arial" w:hAnsi="Arial" w:cs="Arial"/>
          <w:sz w:val="28"/>
          <w:szCs w:val="28"/>
          <w:lang w:val="de-DE"/>
        </w:rPr>
        <w:t>.2 Big Data</w:t>
      </w:r>
      <w:r w:rsidR="00C270CD">
        <w:rPr>
          <w:rStyle w:val="Funotenzeichen"/>
          <w:rFonts w:ascii="Arial" w:hAnsi="Arial" w:cs="Arial"/>
          <w:lang w:val="de-DE"/>
        </w:rPr>
        <w:footnoteReference w:id="36"/>
      </w:r>
      <w:bookmarkEnd w:id="37"/>
    </w:p>
    <w:p w14:paraId="5D7D1762" w14:textId="6AFB457C" w:rsidR="00694BBB" w:rsidRDefault="00694BBB" w:rsidP="00694BBB">
      <w:pPr>
        <w:rPr>
          <w:lang w:val="de-DE"/>
        </w:rPr>
      </w:pPr>
    </w:p>
    <w:p w14:paraId="44A5A3B4" w14:textId="768CA8A2" w:rsidR="002778EE" w:rsidRDefault="00C012B8" w:rsidP="002778EE">
      <w:pPr>
        <w:spacing w:line="360" w:lineRule="auto"/>
        <w:jc w:val="both"/>
        <w:rPr>
          <w:rFonts w:ascii="Arial" w:hAnsi="Arial" w:cs="Arial"/>
          <w:lang w:val="de-DE"/>
        </w:rPr>
      </w:pPr>
      <w:r>
        <w:rPr>
          <w:rFonts w:ascii="Arial" w:hAnsi="Arial" w:cs="Arial"/>
          <w:lang w:val="de-DE"/>
        </w:rPr>
        <w:t xml:space="preserve">„Big Data“ bezeichnet </w:t>
      </w:r>
      <w:r w:rsidR="00744592">
        <w:rPr>
          <w:rFonts w:ascii="Arial" w:hAnsi="Arial" w:cs="Arial"/>
          <w:lang w:val="de-DE"/>
        </w:rPr>
        <w:t>ein großes Mengen</w:t>
      </w:r>
      <w:r>
        <w:rPr>
          <w:rFonts w:ascii="Arial" w:hAnsi="Arial" w:cs="Arial"/>
          <w:lang w:val="de-DE"/>
        </w:rPr>
        <w:t xml:space="preserve"> an Daten. </w:t>
      </w:r>
      <w:r w:rsidR="00744592">
        <w:rPr>
          <w:rFonts w:ascii="Arial" w:hAnsi="Arial" w:cs="Arial"/>
          <w:lang w:val="de-DE"/>
        </w:rPr>
        <w:t>Diese werden durch Tools strukturiert, analysiert und ausgewertet. Insbesondere Unternehmen aber auch staatliche Institutionen bekommen täglich neue Daten. Auf Basis der Datenauswertung können beispielsweise Prognosen erstellt werden. Diese Prognosen können Unternehmen einen enormen Wettbewerbsvorteil bringen und somit auch langfristige Strategien festgesetzt werden.</w:t>
      </w:r>
      <w:r w:rsidR="00054B41">
        <w:rPr>
          <w:rFonts w:ascii="Arial" w:hAnsi="Arial" w:cs="Arial"/>
          <w:lang w:val="de-DE"/>
        </w:rPr>
        <w:t xml:space="preserve"> Weiters wird Big Data durch das </w:t>
      </w:r>
      <w:r w:rsidR="008A5CA0">
        <w:rPr>
          <w:rFonts w:ascii="Arial" w:hAnsi="Arial" w:cs="Arial"/>
          <w:lang w:val="de-DE"/>
        </w:rPr>
        <w:t>4</w:t>
      </w:r>
      <w:r w:rsidR="00054B41">
        <w:rPr>
          <w:rFonts w:ascii="Arial" w:hAnsi="Arial" w:cs="Arial"/>
          <w:lang w:val="de-DE"/>
        </w:rPr>
        <w:t>-V-Modell genauer definiert:</w:t>
      </w:r>
    </w:p>
    <w:p w14:paraId="33D53445" w14:textId="3EBF589B" w:rsidR="00054B41" w:rsidRDefault="008A5CA0" w:rsidP="00054B41">
      <w:pPr>
        <w:pStyle w:val="Listenabsatz"/>
        <w:numPr>
          <w:ilvl w:val="0"/>
          <w:numId w:val="9"/>
        </w:numPr>
        <w:spacing w:line="360" w:lineRule="auto"/>
        <w:jc w:val="both"/>
        <w:rPr>
          <w:rFonts w:ascii="Arial" w:hAnsi="Arial" w:cs="Arial"/>
          <w:lang w:val="de-DE"/>
        </w:rPr>
      </w:pPr>
      <w:r>
        <w:rPr>
          <w:rFonts w:ascii="Arial" w:hAnsi="Arial" w:cs="Arial"/>
          <w:lang w:val="de-DE"/>
        </w:rPr>
        <w:t xml:space="preserve">Volume: Unternehmen oder Institutionen bekommen täglich ein großes Mengen an Daten an die Server übermittelt. </w:t>
      </w:r>
    </w:p>
    <w:p w14:paraId="74962159" w14:textId="77777777" w:rsidR="00FF1092" w:rsidRDefault="00FF1092" w:rsidP="00FF1092">
      <w:pPr>
        <w:pStyle w:val="Listenabsatz"/>
        <w:spacing w:line="360" w:lineRule="auto"/>
        <w:jc w:val="both"/>
        <w:rPr>
          <w:rFonts w:ascii="Arial" w:hAnsi="Arial" w:cs="Arial"/>
          <w:lang w:val="de-DE"/>
        </w:rPr>
      </w:pPr>
    </w:p>
    <w:p w14:paraId="4DB71AAF" w14:textId="22A37A43" w:rsidR="008A5CA0" w:rsidRDefault="008A5CA0" w:rsidP="00054B41">
      <w:pPr>
        <w:pStyle w:val="Listenabsatz"/>
        <w:numPr>
          <w:ilvl w:val="0"/>
          <w:numId w:val="9"/>
        </w:numPr>
        <w:spacing w:line="360" w:lineRule="auto"/>
        <w:jc w:val="both"/>
        <w:rPr>
          <w:rFonts w:ascii="Arial" w:hAnsi="Arial" w:cs="Arial"/>
          <w:lang w:val="de-DE"/>
        </w:rPr>
      </w:pPr>
      <w:r>
        <w:rPr>
          <w:rFonts w:ascii="Arial" w:hAnsi="Arial" w:cs="Arial"/>
          <w:lang w:val="de-DE"/>
        </w:rPr>
        <w:t xml:space="preserve">Velocity: Um die Daten auszuwerten, sollen diese auch durch einen schnellen Datenfluss sehr zeitnah verarbeitetet werden können. Daher benötigen Unternehmen einige Technologien (Sensoren, RFID) um dies umzusetzen. </w:t>
      </w:r>
    </w:p>
    <w:p w14:paraId="57A00F63" w14:textId="77777777" w:rsidR="00FF1092" w:rsidRDefault="00FF1092" w:rsidP="00FF1092">
      <w:pPr>
        <w:pStyle w:val="Listenabsatz"/>
        <w:spacing w:line="360" w:lineRule="auto"/>
        <w:jc w:val="both"/>
        <w:rPr>
          <w:rFonts w:ascii="Arial" w:hAnsi="Arial" w:cs="Arial"/>
          <w:lang w:val="de-DE"/>
        </w:rPr>
      </w:pPr>
    </w:p>
    <w:p w14:paraId="3C3B8E60" w14:textId="3E8A3856" w:rsidR="008A5CA0" w:rsidRDefault="008A5CA0" w:rsidP="00054B41">
      <w:pPr>
        <w:pStyle w:val="Listenabsatz"/>
        <w:numPr>
          <w:ilvl w:val="0"/>
          <w:numId w:val="9"/>
        </w:numPr>
        <w:spacing w:line="360" w:lineRule="auto"/>
        <w:jc w:val="both"/>
        <w:rPr>
          <w:rFonts w:ascii="Arial" w:hAnsi="Arial" w:cs="Arial"/>
          <w:lang w:val="de-DE"/>
        </w:rPr>
      </w:pPr>
      <w:r>
        <w:rPr>
          <w:rFonts w:ascii="Arial" w:hAnsi="Arial" w:cs="Arial"/>
          <w:lang w:val="de-DE"/>
        </w:rPr>
        <w:t xml:space="preserve">Variety: Die Daten werden über verschiedene Formen an die Server übermittelt, da diese Daten auch aus verschiedenen Quellen stammen. Dazu gehören E-Mails, Videos, Textdateien, aber auch Daten aus der Börse oder Finanztransaktionen. </w:t>
      </w:r>
    </w:p>
    <w:p w14:paraId="38D92BAC" w14:textId="77777777" w:rsidR="00FF1092" w:rsidRDefault="00FF1092" w:rsidP="00FF1092">
      <w:pPr>
        <w:pStyle w:val="Listenabsatz"/>
        <w:spacing w:line="360" w:lineRule="auto"/>
        <w:jc w:val="both"/>
        <w:rPr>
          <w:rFonts w:ascii="Arial" w:hAnsi="Arial" w:cs="Arial"/>
          <w:lang w:val="de-DE"/>
        </w:rPr>
      </w:pPr>
    </w:p>
    <w:p w14:paraId="43009040" w14:textId="327B2221" w:rsidR="008A5CA0" w:rsidRDefault="008A5CA0" w:rsidP="00054B41">
      <w:pPr>
        <w:pStyle w:val="Listenabsatz"/>
        <w:numPr>
          <w:ilvl w:val="0"/>
          <w:numId w:val="9"/>
        </w:numPr>
        <w:spacing w:line="360" w:lineRule="auto"/>
        <w:jc w:val="both"/>
        <w:rPr>
          <w:rFonts w:ascii="Arial" w:hAnsi="Arial" w:cs="Arial"/>
          <w:lang w:val="de-DE"/>
        </w:rPr>
      </w:pPr>
      <w:proofErr w:type="spellStart"/>
      <w:r>
        <w:rPr>
          <w:rFonts w:ascii="Arial" w:hAnsi="Arial" w:cs="Arial"/>
          <w:lang w:val="de-DE"/>
        </w:rPr>
        <w:t>Veracity</w:t>
      </w:r>
      <w:proofErr w:type="spellEnd"/>
      <w:r>
        <w:rPr>
          <w:rFonts w:ascii="Arial" w:hAnsi="Arial" w:cs="Arial"/>
          <w:lang w:val="de-DE"/>
        </w:rPr>
        <w:t xml:space="preserve">: Dieser Punkt fokussiert sich auf die Datenqualität. Durch die verschiedenen Quellen ist es schwierig die wesentlichen Daten zu sammeln. Daher müssen die verschiedenen Daten vorerst strukturiert werden. </w:t>
      </w:r>
    </w:p>
    <w:p w14:paraId="012F1EB5" w14:textId="589CD802" w:rsidR="00AD307E" w:rsidRDefault="00AD307E" w:rsidP="00AD307E">
      <w:pPr>
        <w:spacing w:line="360" w:lineRule="auto"/>
        <w:ind w:left="360"/>
        <w:jc w:val="both"/>
        <w:rPr>
          <w:rFonts w:ascii="Arial" w:hAnsi="Arial" w:cs="Arial"/>
          <w:lang w:val="de-DE"/>
        </w:rPr>
      </w:pPr>
      <w:r>
        <w:rPr>
          <w:rFonts w:ascii="Arial" w:hAnsi="Arial" w:cs="Arial"/>
          <w:lang w:val="de-DE"/>
        </w:rPr>
        <w:t xml:space="preserve">Das Ziel von Big Data ist also durch gezielte Auswertung von Daten Prognosen zu erstellen, um so die Produktion oder Preisstrategien effizient zu optimieren. Weiters können Fehlerquellen durch neue Berechnungen schneller erfasst werden. </w:t>
      </w:r>
      <w:r w:rsidR="00A14C00">
        <w:rPr>
          <w:rFonts w:ascii="Arial" w:hAnsi="Arial" w:cs="Arial"/>
          <w:lang w:val="de-DE"/>
        </w:rPr>
        <w:t xml:space="preserve">Auch auf Basis der Prognosen können Kundenverhalten genau analysiert werden. Folglich kann das Unternehmen optimal auf die Nachfrage reagieren. </w:t>
      </w:r>
    </w:p>
    <w:p w14:paraId="58FDBB2A" w14:textId="77777777" w:rsidR="002D3855" w:rsidRDefault="002D3855">
      <w:pPr>
        <w:rPr>
          <w:rFonts w:ascii="Arial" w:eastAsiaTheme="majorEastAsia" w:hAnsi="Arial" w:cs="Arial"/>
          <w:color w:val="1F3763" w:themeColor="accent1" w:themeShade="7F"/>
          <w:sz w:val="24"/>
          <w:szCs w:val="24"/>
          <w:lang w:val="de-DE"/>
        </w:rPr>
      </w:pPr>
      <w:r>
        <w:rPr>
          <w:rFonts w:ascii="Arial" w:hAnsi="Arial" w:cs="Arial"/>
          <w:lang w:val="de-DE"/>
        </w:rPr>
        <w:br w:type="page"/>
      </w:r>
    </w:p>
    <w:p w14:paraId="4828A697" w14:textId="626BB4A3" w:rsidR="00FA0942" w:rsidRDefault="005B757C" w:rsidP="009C63D1">
      <w:pPr>
        <w:pStyle w:val="berschrift3"/>
        <w:jc w:val="both"/>
        <w:rPr>
          <w:rFonts w:ascii="Arial" w:hAnsi="Arial" w:cs="Arial"/>
          <w:lang w:val="de-DE"/>
        </w:rPr>
      </w:pPr>
      <w:bookmarkStart w:id="38" w:name="_Toc42089764"/>
      <w:r>
        <w:rPr>
          <w:rFonts w:ascii="Arial" w:hAnsi="Arial" w:cs="Arial"/>
          <w:lang w:val="de-DE"/>
        </w:rPr>
        <w:lastRenderedPageBreak/>
        <w:t>4</w:t>
      </w:r>
      <w:r w:rsidR="009C63D1">
        <w:rPr>
          <w:rFonts w:ascii="Arial" w:hAnsi="Arial" w:cs="Arial"/>
          <w:lang w:val="de-DE"/>
        </w:rPr>
        <w:t>.2.1 Anonymisierung</w:t>
      </w:r>
      <w:r w:rsidR="00EA35DD">
        <w:rPr>
          <w:rStyle w:val="Funotenzeichen"/>
          <w:rFonts w:ascii="Arial" w:hAnsi="Arial" w:cs="Arial"/>
          <w:lang w:val="de-DE"/>
        </w:rPr>
        <w:footnoteReference w:id="37"/>
      </w:r>
      <w:bookmarkEnd w:id="38"/>
    </w:p>
    <w:p w14:paraId="5FA6FD83" w14:textId="245873DE" w:rsidR="009C63D1" w:rsidRDefault="009C63D1" w:rsidP="009C63D1">
      <w:pPr>
        <w:rPr>
          <w:lang w:val="de-DE"/>
        </w:rPr>
      </w:pPr>
    </w:p>
    <w:p w14:paraId="516B0FED" w14:textId="77777777" w:rsidR="009531A7" w:rsidRDefault="00285200" w:rsidP="00464E67">
      <w:pPr>
        <w:spacing w:line="360" w:lineRule="auto"/>
        <w:jc w:val="both"/>
        <w:rPr>
          <w:rFonts w:ascii="Arial" w:hAnsi="Arial" w:cs="Arial"/>
          <w:lang w:val="de-DE"/>
        </w:rPr>
      </w:pPr>
      <w:r>
        <w:rPr>
          <w:rFonts w:ascii="Arial" w:hAnsi="Arial" w:cs="Arial"/>
          <w:lang w:val="de-DE"/>
        </w:rPr>
        <w:t>Die Anonymisierung von personenbezogenen Daten ist ein zentraler Aspekt, der in der DSGVO fest verankert ist. Dies stellt die Politik vor einer großen Herausforderung, da es außerordentlich viele Datenquellen gibt. Durch d</w:t>
      </w:r>
      <w:r w:rsidR="00595DC9">
        <w:rPr>
          <w:rFonts w:ascii="Arial" w:hAnsi="Arial" w:cs="Arial"/>
          <w:lang w:val="de-DE"/>
        </w:rPr>
        <w:t>as</w:t>
      </w:r>
      <w:r>
        <w:rPr>
          <w:rFonts w:ascii="Arial" w:hAnsi="Arial" w:cs="Arial"/>
          <w:lang w:val="de-DE"/>
        </w:rPr>
        <w:t xml:space="preserve"> „Privacy-Bridges-Projekt“ im Jahr 2015 beschloss Europa und USA die Anonymisierung der Daten zu einer der wesentlichsten Aspekte des Datenschutzes. Dies wurde somit bereits vor der Einführung der DSGVO definiert. Die genaue Identifizierung eines privaten Nutzers soll nur durch sehr hohe Kosten und unverhältnismäßig hohen Aufwand möglich sein bzw. werden auch sehr moderne Technologien</w:t>
      </w:r>
      <w:r w:rsidR="00EB2957">
        <w:rPr>
          <w:rFonts w:ascii="Arial" w:hAnsi="Arial" w:cs="Arial"/>
          <w:lang w:val="de-DE"/>
        </w:rPr>
        <w:t xml:space="preserve"> dafür</w:t>
      </w:r>
      <w:r>
        <w:rPr>
          <w:rFonts w:ascii="Arial" w:hAnsi="Arial" w:cs="Arial"/>
          <w:lang w:val="de-DE"/>
        </w:rPr>
        <w:t xml:space="preserve"> benötigt. Jedoch gilt weiters das Risiko, da bereits so viele Datenformate gesammelt werden, wird dies für Unternehmen immer attraktiver. Denn es gilt</w:t>
      </w:r>
      <w:r w:rsidR="00566008">
        <w:rPr>
          <w:rFonts w:ascii="Arial" w:hAnsi="Arial" w:cs="Arial"/>
          <w:lang w:val="de-DE"/>
        </w:rPr>
        <w:t xml:space="preserve"> </w:t>
      </w:r>
      <w:r>
        <w:rPr>
          <w:rFonts w:ascii="Arial" w:hAnsi="Arial" w:cs="Arial"/>
          <w:lang w:val="de-DE"/>
        </w:rPr>
        <w:t>je mehr Daten</w:t>
      </w:r>
      <w:r w:rsidR="00566008">
        <w:rPr>
          <w:rFonts w:ascii="Arial" w:hAnsi="Arial" w:cs="Arial"/>
          <w:lang w:val="de-DE"/>
        </w:rPr>
        <w:t>,</w:t>
      </w:r>
      <w:r>
        <w:rPr>
          <w:rFonts w:ascii="Arial" w:hAnsi="Arial" w:cs="Arial"/>
          <w:lang w:val="de-DE"/>
        </w:rPr>
        <w:t xml:space="preserve"> desto höher ist </w:t>
      </w:r>
      <w:r w:rsidR="00566008">
        <w:rPr>
          <w:rFonts w:ascii="Arial" w:hAnsi="Arial" w:cs="Arial"/>
          <w:lang w:val="de-DE"/>
        </w:rPr>
        <w:t>das Risiko der</w:t>
      </w:r>
      <w:r>
        <w:rPr>
          <w:rFonts w:ascii="Arial" w:hAnsi="Arial" w:cs="Arial"/>
          <w:lang w:val="de-DE"/>
        </w:rPr>
        <w:t xml:space="preserve"> Identifizierung eines privaten Nutzers. </w:t>
      </w:r>
    </w:p>
    <w:p w14:paraId="7061C6FD" w14:textId="1463BD8A" w:rsidR="009C63D1" w:rsidRPr="009C63D1" w:rsidRDefault="002E2967" w:rsidP="00464E67">
      <w:pPr>
        <w:spacing w:line="360" w:lineRule="auto"/>
        <w:jc w:val="both"/>
        <w:rPr>
          <w:rFonts w:ascii="Arial" w:hAnsi="Arial" w:cs="Arial"/>
          <w:lang w:val="de-DE"/>
        </w:rPr>
      </w:pPr>
      <w:r>
        <w:rPr>
          <w:rFonts w:ascii="Arial" w:hAnsi="Arial" w:cs="Arial"/>
          <w:lang w:val="de-DE"/>
        </w:rPr>
        <w:t>Der Schutz der Privatsphäre ist für europäische Institutionen, wie Art. 29-Gruppe</w:t>
      </w:r>
      <w:r w:rsidR="00A90DC4">
        <w:rPr>
          <w:rFonts w:ascii="Arial" w:hAnsi="Arial" w:cs="Arial"/>
          <w:lang w:val="de-DE"/>
        </w:rPr>
        <w:t xml:space="preserve"> (Europäische </w:t>
      </w:r>
      <w:proofErr w:type="spellStart"/>
      <w:r w:rsidR="00A90DC4">
        <w:rPr>
          <w:rFonts w:ascii="Arial" w:hAnsi="Arial" w:cs="Arial"/>
          <w:lang w:val="de-DE"/>
        </w:rPr>
        <w:t>Datenschutzsausschuss</w:t>
      </w:r>
      <w:proofErr w:type="spellEnd"/>
      <w:r w:rsidR="00A90DC4">
        <w:rPr>
          <w:rFonts w:ascii="Arial" w:hAnsi="Arial" w:cs="Arial"/>
          <w:lang w:val="de-DE"/>
        </w:rPr>
        <w:t>)</w:t>
      </w:r>
      <w:r>
        <w:rPr>
          <w:rFonts w:ascii="Arial" w:hAnsi="Arial" w:cs="Arial"/>
          <w:lang w:val="de-DE"/>
        </w:rPr>
        <w:t xml:space="preserve">, ein sehr großes Anliegen. Durch verschiedene Techniken, </w:t>
      </w:r>
      <w:proofErr w:type="spellStart"/>
      <w:r>
        <w:rPr>
          <w:rFonts w:ascii="Arial" w:hAnsi="Arial" w:cs="Arial"/>
          <w:lang w:val="de-DE"/>
        </w:rPr>
        <w:t>Hash</w:t>
      </w:r>
      <w:r w:rsidR="00D93133">
        <w:rPr>
          <w:rFonts w:ascii="Arial" w:hAnsi="Arial" w:cs="Arial"/>
          <w:lang w:val="de-DE"/>
        </w:rPr>
        <w:t>en</w:t>
      </w:r>
      <w:proofErr w:type="spellEnd"/>
      <w:r>
        <w:rPr>
          <w:rFonts w:ascii="Arial" w:hAnsi="Arial" w:cs="Arial"/>
          <w:lang w:val="de-DE"/>
        </w:rPr>
        <w:t xml:space="preserve">, </w:t>
      </w:r>
      <w:r w:rsidR="00D93133">
        <w:rPr>
          <w:rFonts w:ascii="Arial" w:hAnsi="Arial" w:cs="Arial"/>
          <w:lang w:val="de-DE"/>
        </w:rPr>
        <w:t>Verschlüsselung</w:t>
      </w:r>
      <w:r w:rsidR="0038082E">
        <w:rPr>
          <w:rFonts w:ascii="Arial" w:hAnsi="Arial" w:cs="Arial"/>
          <w:lang w:val="de-DE"/>
        </w:rPr>
        <w:t xml:space="preserve"> von personenbezogenen Daten, veröffentlichte die europäische Datenschutzbehörde einen Leitfaden für Anonymisierungstechniken. Dieser ist allgemein und für die europäischen Mitgliedsstaaten konzipiert, da Anonymität in jedem Mitgliedsstaat eine unterschiedliche </w:t>
      </w:r>
      <w:r w:rsidR="006711F8">
        <w:rPr>
          <w:rFonts w:ascii="Arial" w:hAnsi="Arial" w:cs="Arial"/>
          <w:lang w:val="de-DE"/>
        </w:rPr>
        <w:t>ausgelegt ist</w:t>
      </w:r>
      <w:r w:rsidR="0038082E">
        <w:rPr>
          <w:rFonts w:ascii="Arial" w:hAnsi="Arial" w:cs="Arial"/>
          <w:lang w:val="de-DE"/>
        </w:rPr>
        <w:t>.</w:t>
      </w:r>
      <w:r w:rsidR="006711F8">
        <w:rPr>
          <w:rFonts w:ascii="Arial" w:hAnsi="Arial" w:cs="Arial"/>
          <w:lang w:val="de-DE"/>
        </w:rPr>
        <w:t xml:space="preserve"> </w:t>
      </w:r>
      <w:r w:rsidR="00C277E8">
        <w:rPr>
          <w:rFonts w:ascii="Arial" w:hAnsi="Arial" w:cs="Arial"/>
          <w:lang w:val="de-DE"/>
        </w:rPr>
        <w:t>Obwohl bereits einige Konzepte und auch technische Möglichkeiten zur Anonymisierung entwickelt wurden, bleibt ein gewissen Restrisiko weiterhin bestehen.</w:t>
      </w:r>
      <w:r w:rsidR="00913D12">
        <w:rPr>
          <w:rFonts w:ascii="Arial" w:hAnsi="Arial" w:cs="Arial"/>
          <w:lang w:val="de-DE"/>
        </w:rPr>
        <w:t xml:space="preserve"> Die Gefahren bzw. Risiken durch das Sammeln und Speichern von Daten können zwar beherrscht werden, aber durch externe Angriffe, Datenlacks oder genauere Analysen von sehr vielen Daten beeinflusst werden. </w:t>
      </w:r>
      <w:r w:rsidR="00C277E8">
        <w:rPr>
          <w:rFonts w:ascii="Arial" w:hAnsi="Arial" w:cs="Arial"/>
          <w:lang w:val="de-DE"/>
        </w:rPr>
        <w:t xml:space="preserve"> </w:t>
      </w:r>
    </w:p>
    <w:p w14:paraId="5624A133" w14:textId="5D2CEE45" w:rsidR="00BF7D4E" w:rsidRDefault="005B757C" w:rsidP="005C4B9D">
      <w:pPr>
        <w:pStyle w:val="berschrift3"/>
        <w:rPr>
          <w:rFonts w:ascii="Arial" w:hAnsi="Arial" w:cs="Arial"/>
          <w:lang w:val="de-DE"/>
        </w:rPr>
      </w:pPr>
      <w:bookmarkStart w:id="39" w:name="_Toc42089765"/>
      <w:r>
        <w:rPr>
          <w:rFonts w:ascii="Arial" w:hAnsi="Arial" w:cs="Arial"/>
          <w:lang w:val="de-DE"/>
        </w:rPr>
        <w:t>4</w:t>
      </w:r>
      <w:r w:rsidR="005C4B9D">
        <w:rPr>
          <w:rFonts w:ascii="Arial" w:hAnsi="Arial" w:cs="Arial"/>
          <w:lang w:val="de-DE"/>
        </w:rPr>
        <w:t>.2.2 Zweckbindung</w:t>
      </w:r>
      <w:bookmarkEnd w:id="39"/>
    </w:p>
    <w:p w14:paraId="64B795D4" w14:textId="71FBD8A7" w:rsidR="005C4B9D" w:rsidRDefault="005C4B9D" w:rsidP="005C4B9D">
      <w:pPr>
        <w:rPr>
          <w:lang w:val="de-DE"/>
        </w:rPr>
      </w:pPr>
    </w:p>
    <w:p w14:paraId="2EC5F669" w14:textId="77777777" w:rsidR="00607F39" w:rsidRDefault="006114FF" w:rsidP="00FF7458">
      <w:pPr>
        <w:spacing w:line="360" w:lineRule="auto"/>
        <w:jc w:val="both"/>
        <w:rPr>
          <w:rFonts w:ascii="Arial" w:hAnsi="Arial" w:cs="Arial"/>
        </w:rPr>
      </w:pPr>
      <w:r>
        <w:rPr>
          <w:rFonts w:ascii="Arial" w:hAnsi="Arial" w:cs="Arial"/>
          <w:lang w:val="de-DE"/>
        </w:rPr>
        <w:t xml:space="preserve">Bereits im Punkt 1.5.2 wurde das Prinzip der Zweckbindung beschrieben. </w:t>
      </w:r>
      <w:r w:rsidRPr="005517C8">
        <w:rPr>
          <w:rFonts w:ascii="Arial" w:hAnsi="Arial" w:cs="Arial"/>
        </w:rPr>
        <w:t>Die Verarbeitung der Daten muss legitime und nachvollziehbare Zwecke verfolgen und dürfen nicht zu einem anderen Zwecke genutzt werden</w:t>
      </w:r>
      <w:r>
        <w:rPr>
          <w:rFonts w:ascii="Arial" w:hAnsi="Arial" w:cs="Arial"/>
        </w:rPr>
        <w:t>. Durch Big Data stellt dies eine große Herausforderung dar. Personenbezogene Daten dürfen nur unter bestimmten Umständen herangezogen werden.</w:t>
      </w:r>
      <w:r w:rsidR="00823102">
        <w:rPr>
          <w:rFonts w:ascii="Arial" w:hAnsi="Arial" w:cs="Arial"/>
        </w:rPr>
        <w:t xml:space="preserve"> Die Daten werden nicht zu einem bestimmten Zweck eingesetzt, sondern gesammelt, gespeichert und zu einem späteren Zeitpunkt für Prognosen ausgewertet. Big Data widerspricht </w:t>
      </w:r>
      <w:r w:rsidR="00453E03">
        <w:rPr>
          <w:rFonts w:ascii="Arial" w:hAnsi="Arial" w:cs="Arial"/>
        </w:rPr>
        <w:t xml:space="preserve">diesem Prinzip. Dennoch bleibt dieses Prinzip ein wesentlicher Schutz </w:t>
      </w:r>
      <w:r w:rsidR="00C43B4C">
        <w:rPr>
          <w:rFonts w:ascii="Arial" w:hAnsi="Arial" w:cs="Arial"/>
        </w:rPr>
        <w:t xml:space="preserve">für </w:t>
      </w:r>
      <w:r w:rsidR="00453E03">
        <w:rPr>
          <w:rFonts w:ascii="Arial" w:hAnsi="Arial" w:cs="Arial"/>
        </w:rPr>
        <w:t>personenbezogenen Daten.</w:t>
      </w:r>
      <w:r w:rsidR="0017761D">
        <w:rPr>
          <w:rFonts w:ascii="Arial" w:hAnsi="Arial" w:cs="Arial"/>
        </w:rPr>
        <w:t xml:space="preserve"> Daher bedarf es nur einem bestimmten Zweck und Einwilligung des betroffenen Nutzers. </w:t>
      </w:r>
      <w:r w:rsidR="0053545E">
        <w:rPr>
          <w:rFonts w:ascii="Arial" w:hAnsi="Arial" w:cs="Arial"/>
        </w:rPr>
        <w:t xml:space="preserve">Dies gilt auch für statistische Analysen oder Forschungen. </w:t>
      </w:r>
      <w:r w:rsidR="00E33DCB">
        <w:rPr>
          <w:rFonts w:ascii="Arial" w:hAnsi="Arial" w:cs="Arial"/>
        </w:rPr>
        <w:t>Art. 6 der DSGVO enthält eine abschließende Auflistung von sehr allgemein definierten Bereich</w:t>
      </w:r>
      <w:r w:rsidR="00B63D83">
        <w:rPr>
          <w:rFonts w:ascii="Arial" w:hAnsi="Arial" w:cs="Arial"/>
        </w:rPr>
        <w:t>en</w:t>
      </w:r>
      <w:r w:rsidR="00E33DCB">
        <w:rPr>
          <w:rFonts w:ascii="Arial" w:hAnsi="Arial" w:cs="Arial"/>
        </w:rPr>
        <w:t xml:space="preserve">, in </w:t>
      </w:r>
      <w:r w:rsidR="00E33DCB">
        <w:rPr>
          <w:rFonts w:ascii="Arial" w:hAnsi="Arial" w:cs="Arial"/>
        </w:rPr>
        <w:lastRenderedPageBreak/>
        <w:t>denen die Datenverarbeitung legitimiert wird</w:t>
      </w:r>
      <w:r w:rsidR="00607F39">
        <w:rPr>
          <w:rFonts w:ascii="Arial" w:hAnsi="Arial" w:cs="Arial"/>
        </w:rPr>
        <w:t>. Die Verarbeitung der Daten muss folgende Punkte, aber davon mindestens nur einen, erfüllen:</w:t>
      </w:r>
    </w:p>
    <w:p w14:paraId="65B37B6C" w14:textId="2624CABB" w:rsidR="005C4B9D" w:rsidRDefault="003F0263" w:rsidP="00607F39">
      <w:pPr>
        <w:pStyle w:val="Listenabsatz"/>
        <w:numPr>
          <w:ilvl w:val="0"/>
          <w:numId w:val="10"/>
        </w:numPr>
        <w:spacing w:line="360" w:lineRule="auto"/>
        <w:jc w:val="both"/>
        <w:rPr>
          <w:rFonts w:ascii="Arial" w:hAnsi="Arial" w:cs="Arial"/>
          <w:lang w:val="de-DE"/>
        </w:rPr>
      </w:pPr>
      <w:r>
        <w:rPr>
          <w:rFonts w:ascii="Arial" w:hAnsi="Arial" w:cs="Arial"/>
          <w:lang w:val="de-DE"/>
        </w:rPr>
        <w:t>Einwilligung der betroffenen Person</w:t>
      </w:r>
    </w:p>
    <w:p w14:paraId="6C823C00" w14:textId="5FDB3E36" w:rsidR="003F0263" w:rsidRDefault="003F0263" w:rsidP="00607F39">
      <w:pPr>
        <w:pStyle w:val="Listenabsatz"/>
        <w:numPr>
          <w:ilvl w:val="0"/>
          <w:numId w:val="10"/>
        </w:numPr>
        <w:spacing w:line="360" w:lineRule="auto"/>
        <w:jc w:val="both"/>
        <w:rPr>
          <w:rFonts w:ascii="Arial" w:hAnsi="Arial" w:cs="Arial"/>
          <w:lang w:val="de-DE"/>
        </w:rPr>
      </w:pPr>
      <w:r>
        <w:rPr>
          <w:rFonts w:ascii="Arial" w:hAnsi="Arial" w:cs="Arial"/>
          <w:lang w:val="de-DE"/>
        </w:rPr>
        <w:t>Erfüllung eines Vertrages</w:t>
      </w:r>
    </w:p>
    <w:p w14:paraId="78EE9846" w14:textId="46E5699F" w:rsidR="003F0263" w:rsidRDefault="003F0263" w:rsidP="00607F39">
      <w:pPr>
        <w:pStyle w:val="Listenabsatz"/>
        <w:numPr>
          <w:ilvl w:val="0"/>
          <w:numId w:val="10"/>
        </w:numPr>
        <w:spacing w:line="360" w:lineRule="auto"/>
        <w:jc w:val="both"/>
        <w:rPr>
          <w:rFonts w:ascii="Arial" w:hAnsi="Arial" w:cs="Arial"/>
          <w:lang w:val="de-DE"/>
        </w:rPr>
      </w:pPr>
      <w:r>
        <w:rPr>
          <w:rFonts w:ascii="Arial" w:hAnsi="Arial" w:cs="Arial"/>
          <w:lang w:val="de-DE"/>
        </w:rPr>
        <w:t>Erfüllung rechtlicher Verpflichtungen</w:t>
      </w:r>
    </w:p>
    <w:p w14:paraId="6A11CACE" w14:textId="39A6209E" w:rsidR="003F0263" w:rsidRDefault="003F0263" w:rsidP="00607F39">
      <w:pPr>
        <w:pStyle w:val="Listenabsatz"/>
        <w:numPr>
          <w:ilvl w:val="0"/>
          <w:numId w:val="10"/>
        </w:numPr>
        <w:spacing w:line="360" w:lineRule="auto"/>
        <w:jc w:val="both"/>
        <w:rPr>
          <w:rFonts w:ascii="Arial" w:hAnsi="Arial" w:cs="Arial"/>
          <w:lang w:val="de-DE"/>
        </w:rPr>
      </w:pPr>
      <w:r>
        <w:rPr>
          <w:rFonts w:ascii="Arial" w:hAnsi="Arial" w:cs="Arial"/>
          <w:lang w:val="de-DE"/>
        </w:rPr>
        <w:t xml:space="preserve">Erfüllung lebenswichtiger Interessen </w:t>
      </w:r>
    </w:p>
    <w:p w14:paraId="353E0EE3" w14:textId="46350F48" w:rsidR="003F0263" w:rsidRDefault="003F0263" w:rsidP="00607F39">
      <w:pPr>
        <w:pStyle w:val="Listenabsatz"/>
        <w:numPr>
          <w:ilvl w:val="0"/>
          <w:numId w:val="10"/>
        </w:numPr>
        <w:spacing w:line="360" w:lineRule="auto"/>
        <w:jc w:val="both"/>
        <w:rPr>
          <w:rFonts w:ascii="Arial" w:hAnsi="Arial" w:cs="Arial"/>
          <w:lang w:val="de-DE"/>
        </w:rPr>
      </w:pPr>
      <w:r>
        <w:rPr>
          <w:rFonts w:ascii="Arial" w:hAnsi="Arial" w:cs="Arial"/>
          <w:lang w:val="de-DE"/>
        </w:rPr>
        <w:t xml:space="preserve">Erfüllung öffentlicher Interessen </w:t>
      </w:r>
    </w:p>
    <w:p w14:paraId="15CD4B99" w14:textId="2D33F32B" w:rsidR="003F0263" w:rsidRDefault="003F0263" w:rsidP="00607F39">
      <w:pPr>
        <w:pStyle w:val="Listenabsatz"/>
        <w:numPr>
          <w:ilvl w:val="0"/>
          <w:numId w:val="10"/>
        </w:numPr>
        <w:spacing w:line="360" w:lineRule="auto"/>
        <w:jc w:val="both"/>
        <w:rPr>
          <w:rFonts w:ascii="Arial" w:hAnsi="Arial" w:cs="Arial"/>
          <w:lang w:val="de-DE"/>
        </w:rPr>
      </w:pPr>
      <w:r>
        <w:rPr>
          <w:rFonts w:ascii="Arial" w:hAnsi="Arial" w:cs="Arial"/>
          <w:lang w:val="de-DE"/>
        </w:rPr>
        <w:t>Erfüllung zur Wahrung der Interessen des Verantwortlichen</w:t>
      </w:r>
    </w:p>
    <w:p w14:paraId="3D0481AD" w14:textId="032C8C9B" w:rsidR="00420943" w:rsidRDefault="00100B1A" w:rsidP="00420943">
      <w:pPr>
        <w:spacing w:line="360" w:lineRule="auto"/>
        <w:jc w:val="both"/>
        <w:rPr>
          <w:rFonts w:ascii="Arial" w:hAnsi="Arial" w:cs="Arial"/>
          <w:lang w:val="de-DE"/>
        </w:rPr>
      </w:pPr>
      <w:r>
        <w:rPr>
          <w:rFonts w:ascii="Arial" w:hAnsi="Arial" w:cs="Arial"/>
          <w:lang w:val="de-DE"/>
        </w:rPr>
        <w:t xml:space="preserve">Da diese Punkte </w:t>
      </w:r>
      <w:r w:rsidR="00DA3EFB">
        <w:rPr>
          <w:rFonts w:ascii="Arial" w:hAnsi="Arial" w:cs="Arial"/>
          <w:lang w:val="de-DE"/>
        </w:rPr>
        <w:t>keine genaue Konkretisierung</w:t>
      </w:r>
      <w:r>
        <w:rPr>
          <w:rFonts w:ascii="Arial" w:hAnsi="Arial" w:cs="Arial"/>
          <w:lang w:val="de-DE"/>
        </w:rPr>
        <w:t xml:space="preserve"> der Zweckbindung bietet, ist es fraglich, wie diese allgemein interpretiert werden.</w:t>
      </w:r>
      <w:r w:rsidR="00DA3EFB">
        <w:rPr>
          <w:rStyle w:val="Funotenzeichen"/>
          <w:rFonts w:ascii="Arial" w:hAnsi="Arial" w:cs="Arial"/>
          <w:lang w:val="de-DE"/>
        </w:rPr>
        <w:footnoteReference w:id="38"/>
      </w:r>
      <w:r>
        <w:rPr>
          <w:rFonts w:ascii="Arial" w:hAnsi="Arial" w:cs="Arial"/>
          <w:lang w:val="de-DE"/>
        </w:rPr>
        <w:t xml:space="preserve"> </w:t>
      </w:r>
      <w:r w:rsidR="007C423C">
        <w:rPr>
          <w:rFonts w:ascii="Arial" w:hAnsi="Arial" w:cs="Arial"/>
          <w:lang w:val="de-DE"/>
        </w:rPr>
        <w:t xml:space="preserve">Es gilt also Big-Data Anwendung effizient nach den Vorgaben der DSGVO zu gestalten. Es ist für Unternehmen sehr herausfordernd auch nicht den Prinzipien „Datenminimierung“ und „Speicherbegrenzung“ zu widersprechen. </w:t>
      </w:r>
      <w:r w:rsidR="00AE4BE9">
        <w:rPr>
          <w:rFonts w:ascii="Arial" w:hAnsi="Arial" w:cs="Arial"/>
          <w:lang w:val="de-DE"/>
        </w:rPr>
        <w:t xml:space="preserve">Es entsteht </w:t>
      </w:r>
      <w:r w:rsidR="008D4348">
        <w:rPr>
          <w:rFonts w:ascii="Arial" w:hAnsi="Arial" w:cs="Arial"/>
          <w:lang w:val="de-DE"/>
        </w:rPr>
        <w:t>zwischen Schutz der Privatsphäre und Big Data ein starker Kontrast. Auf der einen Seite sind private Nutzer durch die Prinzipien gut geschützt, auf der anderen Seite werden Unternehmen durch die Prinzipien benachteiligt und sind verpflichtet wesentliche Daten bereits vor der Auswertung zu löschen bzw. minimieren.</w:t>
      </w:r>
      <w:r w:rsidR="008D4348">
        <w:rPr>
          <w:rStyle w:val="Funotenzeichen"/>
          <w:rFonts w:ascii="Arial" w:hAnsi="Arial" w:cs="Arial"/>
          <w:lang w:val="de-DE"/>
        </w:rPr>
        <w:footnoteReference w:id="39"/>
      </w:r>
      <w:r w:rsidR="008D4348">
        <w:rPr>
          <w:rFonts w:ascii="Arial" w:hAnsi="Arial" w:cs="Arial"/>
          <w:lang w:val="de-DE"/>
        </w:rPr>
        <w:t xml:space="preserve"> </w:t>
      </w:r>
    </w:p>
    <w:p w14:paraId="5F1AB913" w14:textId="11A8C6DB" w:rsidR="009E315D" w:rsidRDefault="009E315D" w:rsidP="009E315D">
      <w:pPr>
        <w:pStyle w:val="berschrift3"/>
        <w:rPr>
          <w:rFonts w:ascii="Arial" w:hAnsi="Arial" w:cs="Arial"/>
          <w:lang w:val="de-DE"/>
        </w:rPr>
      </w:pPr>
      <w:bookmarkStart w:id="40" w:name="_Toc42089766"/>
      <w:r>
        <w:rPr>
          <w:rFonts w:ascii="Arial" w:hAnsi="Arial" w:cs="Arial"/>
          <w:lang w:val="de-DE"/>
        </w:rPr>
        <w:t>4.2 3 Pseudonymisierung</w:t>
      </w:r>
      <w:bookmarkEnd w:id="40"/>
      <w:r>
        <w:rPr>
          <w:rFonts w:ascii="Arial" w:hAnsi="Arial" w:cs="Arial"/>
          <w:lang w:val="de-DE"/>
        </w:rPr>
        <w:t xml:space="preserve"> </w:t>
      </w:r>
    </w:p>
    <w:p w14:paraId="12E1810D" w14:textId="702079C1" w:rsidR="009E315D" w:rsidRDefault="009E315D" w:rsidP="009E315D">
      <w:pPr>
        <w:rPr>
          <w:lang w:val="de-DE"/>
        </w:rPr>
      </w:pPr>
    </w:p>
    <w:p w14:paraId="05A68D2F" w14:textId="7A31C5BB" w:rsidR="00CB4283" w:rsidRDefault="00CB4283" w:rsidP="009E315D">
      <w:pPr>
        <w:spacing w:line="360" w:lineRule="auto"/>
        <w:jc w:val="both"/>
        <w:rPr>
          <w:rFonts w:ascii="Arial" w:hAnsi="Arial" w:cs="Arial"/>
          <w:lang w:val="de-DE"/>
        </w:rPr>
      </w:pPr>
      <w:r>
        <w:rPr>
          <w:rFonts w:ascii="Arial" w:hAnsi="Arial" w:cs="Arial"/>
          <w:lang w:val="de-DE"/>
        </w:rPr>
        <w:t xml:space="preserve">Im Vergleich zur Anonymisierung wird die Pseudonymisierung als Alternative im Art. 4 Abs. 5 DSGVO vorgeschlagen. Dies garantiert dem Verantwortlichen eine gewisse Sicherheit. Einerseits weil personenbezogene Daten zwar auf natürliche Personen basieren, aber auf diese nicht zurückzugreifen ist. Andererseits widerspricht dies auch nicht dem Prinzip der Datenminimierung. Zusätzlich durch das Konzept „Privacy </w:t>
      </w:r>
      <w:proofErr w:type="spellStart"/>
      <w:r>
        <w:rPr>
          <w:rFonts w:ascii="Arial" w:hAnsi="Arial" w:cs="Arial"/>
          <w:lang w:val="de-DE"/>
        </w:rPr>
        <w:t>by</w:t>
      </w:r>
      <w:proofErr w:type="spellEnd"/>
      <w:r>
        <w:rPr>
          <w:rFonts w:ascii="Arial" w:hAnsi="Arial" w:cs="Arial"/>
          <w:lang w:val="de-DE"/>
        </w:rPr>
        <w:t xml:space="preserve"> Design“, welches im Art. 25. Abs.1 verankert ist, wird ebenfalls geeignete technische Maßnahmen - für den Schutz der Daten – empfohlen.</w:t>
      </w:r>
      <w:r w:rsidR="00636106">
        <w:rPr>
          <w:rStyle w:val="Funotenzeichen"/>
          <w:rFonts w:ascii="Arial" w:hAnsi="Arial" w:cs="Arial"/>
          <w:lang w:val="de-DE"/>
        </w:rPr>
        <w:footnoteReference w:id="40"/>
      </w:r>
      <w:r>
        <w:rPr>
          <w:rFonts w:ascii="Arial" w:hAnsi="Arial" w:cs="Arial"/>
          <w:lang w:val="de-DE"/>
        </w:rPr>
        <w:t xml:space="preserve"> </w:t>
      </w:r>
    </w:p>
    <w:p w14:paraId="041CA7B7" w14:textId="66411F48" w:rsidR="00CB4283" w:rsidRPr="009E315D" w:rsidRDefault="00CB4283" w:rsidP="009E315D">
      <w:pPr>
        <w:spacing w:line="360" w:lineRule="auto"/>
        <w:jc w:val="both"/>
        <w:rPr>
          <w:rFonts w:ascii="Arial" w:hAnsi="Arial" w:cs="Arial"/>
          <w:lang w:val="de-DE"/>
        </w:rPr>
      </w:pPr>
      <w:r>
        <w:rPr>
          <w:rFonts w:ascii="Arial" w:hAnsi="Arial" w:cs="Arial"/>
          <w:lang w:val="de-DE"/>
        </w:rPr>
        <w:t xml:space="preserve">Ein weiterer Aspekt </w:t>
      </w:r>
      <w:r w:rsidR="00636106">
        <w:rPr>
          <w:rFonts w:ascii="Arial" w:hAnsi="Arial" w:cs="Arial"/>
          <w:lang w:val="de-DE"/>
        </w:rPr>
        <w:t>ist, dass die Pseudonymisierung bereits vor der Einführung der DSGVO in weiteren Bereichen eingeplant wurde. Im Art. 32. Abs. 1 Buchst. A der DSGVO wird beschrieben die Pseudonymisierung trägt zur Datensicherung, besonders bei personenbezogen Daten bei. Daher unterstützt die Pseudonymisierung die Anwendung von Big Data und senkt gleichzeitig die möglichen Risiken, die durch Datenlacks oder Angriffen auf Datenbanken entstehen können.</w:t>
      </w:r>
      <w:r w:rsidR="00636106">
        <w:rPr>
          <w:rStyle w:val="Funotenzeichen"/>
          <w:rFonts w:ascii="Arial" w:hAnsi="Arial" w:cs="Arial"/>
          <w:lang w:val="de-DE"/>
        </w:rPr>
        <w:footnoteReference w:id="41"/>
      </w:r>
      <w:r w:rsidR="00636106">
        <w:rPr>
          <w:rFonts w:ascii="Arial" w:hAnsi="Arial" w:cs="Arial"/>
          <w:lang w:val="de-DE"/>
        </w:rPr>
        <w:t xml:space="preserve"> </w:t>
      </w:r>
    </w:p>
    <w:p w14:paraId="49FCAA04" w14:textId="05BBD0BF" w:rsidR="00BF7D4E" w:rsidRDefault="005B757C" w:rsidP="00B45223">
      <w:pPr>
        <w:pStyle w:val="berschrift3"/>
        <w:jc w:val="both"/>
        <w:rPr>
          <w:rFonts w:ascii="Arial" w:hAnsi="Arial" w:cs="Arial"/>
          <w:lang w:val="de-DE"/>
        </w:rPr>
      </w:pPr>
      <w:bookmarkStart w:id="41" w:name="_Toc42089767"/>
      <w:r>
        <w:rPr>
          <w:rFonts w:ascii="Arial" w:hAnsi="Arial" w:cs="Arial"/>
          <w:lang w:val="de-DE"/>
        </w:rPr>
        <w:lastRenderedPageBreak/>
        <w:t>4</w:t>
      </w:r>
      <w:r w:rsidR="00B45223">
        <w:rPr>
          <w:rFonts w:ascii="Arial" w:hAnsi="Arial" w:cs="Arial"/>
          <w:lang w:val="de-DE"/>
        </w:rPr>
        <w:t>.2.</w:t>
      </w:r>
      <w:r w:rsidR="000A5CB0">
        <w:rPr>
          <w:rFonts w:ascii="Arial" w:hAnsi="Arial" w:cs="Arial"/>
          <w:lang w:val="de-DE"/>
        </w:rPr>
        <w:t>4</w:t>
      </w:r>
      <w:r w:rsidR="00B45223">
        <w:rPr>
          <w:rFonts w:ascii="Arial" w:hAnsi="Arial" w:cs="Arial"/>
          <w:lang w:val="de-DE"/>
        </w:rPr>
        <w:t xml:space="preserve"> Transparenz</w:t>
      </w:r>
      <w:r w:rsidR="00D8022D">
        <w:rPr>
          <w:rStyle w:val="Funotenzeichen"/>
          <w:rFonts w:ascii="Arial" w:hAnsi="Arial" w:cs="Arial"/>
          <w:lang w:val="de-DE"/>
        </w:rPr>
        <w:footnoteReference w:id="42"/>
      </w:r>
      <w:bookmarkEnd w:id="41"/>
    </w:p>
    <w:p w14:paraId="2028CE67" w14:textId="58831BF5" w:rsidR="00B45223" w:rsidRDefault="00B45223" w:rsidP="00B45223">
      <w:pPr>
        <w:rPr>
          <w:lang w:val="de-DE"/>
        </w:rPr>
      </w:pPr>
    </w:p>
    <w:p w14:paraId="38D47E57" w14:textId="7CD7A5C4" w:rsidR="00B45223" w:rsidRPr="00B45223" w:rsidRDefault="00740DDD" w:rsidP="00B45223">
      <w:pPr>
        <w:spacing w:line="360" w:lineRule="auto"/>
        <w:jc w:val="both"/>
        <w:rPr>
          <w:rFonts w:ascii="Arial" w:hAnsi="Arial" w:cs="Arial"/>
          <w:lang w:val="de-DE"/>
        </w:rPr>
      </w:pPr>
      <w:r>
        <w:rPr>
          <w:rFonts w:ascii="Arial" w:hAnsi="Arial" w:cs="Arial"/>
          <w:lang w:val="de-DE"/>
        </w:rPr>
        <w:t xml:space="preserve">Durch die vielen Mengen an Daten wurden auch entsprechende Tools zur Unterstützung für die Analyse entwickelt. Folglich sind auch, um effizientere Prognosen, komplexe Algorithmen entstanden. </w:t>
      </w:r>
      <w:r w:rsidR="00556EC4">
        <w:rPr>
          <w:rFonts w:ascii="Arial" w:hAnsi="Arial" w:cs="Arial"/>
          <w:lang w:val="de-DE"/>
        </w:rPr>
        <w:t xml:space="preserve">Die neuen Anwendungen sind bereits automatisiert </w:t>
      </w:r>
      <w:r w:rsidR="00A42440">
        <w:rPr>
          <w:rFonts w:ascii="Arial" w:hAnsi="Arial" w:cs="Arial"/>
          <w:lang w:val="de-DE"/>
        </w:rPr>
        <w:t xml:space="preserve">und Unternehmen veröffentlichen nicht deren Datenverarbeitung. Die Unternehmen legen die Zwecke der Daten und der Dauer der Speicherung nicht offen. Dies führt häufig dazu, dass dies für private Nutzer nicht nachvollziehbar, wie deren Daten genutzt werden. Folglich entsteht eine gewisse Intransparenz.  </w:t>
      </w:r>
    </w:p>
    <w:p w14:paraId="66F89882" w14:textId="7703ABB1" w:rsidR="00BF7D4E" w:rsidRDefault="005B757C" w:rsidP="00853193">
      <w:pPr>
        <w:pStyle w:val="berschrift3"/>
        <w:rPr>
          <w:rFonts w:ascii="Arial" w:hAnsi="Arial" w:cs="Arial"/>
          <w:lang w:val="de-DE"/>
        </w:rPr>
      </w:pPr>
      <w:bookmarkStart w:id="42" w:name="_Toc42089768"/>
      <w:r>
        <w:rPr>
          <w:rFonts w:ascii="Arial" w:hAnsi="Arial" w:cs="Arial"/>
          <w:lang w:val="de-DE"/>
        </w:rPr>
        <w:t>4</w:t>
      </w:r>
      <w:r w:rsidR="00853193">
        <w:rPr>
          <w:rFonts w:ascii="Arial" w:hAnsi="Arial" w:cs="Arial"/>
          <w:lang w:val="de-DE"/>
        </w:rPr>
        <w:t>.2.</w:t>
      </w:r>
      <w:r w:rsidR="000A5CB0">
        <w:rPr>
          <w:rFonts w:ascii="Arial" w:hAnsi="Arial" w:cs="Arial"/>
          <w:lang w:val="de-DE"/>
        </w:rPr>
        <w:t>5</w:t>
      </w:r>
      <w:r w:rsidR="00853193">
        <w:rPr>
          <w:rFonts w:ascii="Arial" w:hAnsi="Arial" w:cs="Arial"/>
          <w:lang w:val="de-DE"/>
        </w:rPr>
        <w:t xml:space="preserve"> Ethische Konsequenzen</w:t>
      </w:r>
      <w:r w:rsidR="00AA792A">
        <w:rPr>
          <w:rStyle w:val="Funotenzeichen"/>
          <w:rFonts w:ascii="Arial" w:hAnsi="Arial" w:cs="Arial"/>
          <w:lang w:val="de-DE"/>
        </w:rPr>
        <w:footnoteReference w:id="43"/>
      </w:r>
      <w:bookmarkEnd w:id="42"/>
    </w:p>
    <w:p w14:paraId="0073FDAB" w14:textId="7CD73A7F" w:rsidR="00D079AF" w:rsidRDefault="00D079AF" w:rsidP="00D079AF">
      <w:pPr>
        <w:rPr>
          <w:lang w:val="de-DE"/>
        </w:rPr>
      </w:pPr>
    </w:p>
    <w:p w14:paraId="5ECF1C5A" w14:textId="53709B84" w:rsidR="00853193" w:rsidRDefault="004B254E" w:rsidP="004B254E">
      <w:pPr>
        <w:spacing w:line="360" w:lineRule="auto"/>
        <w:jc w:val="both"/>
        <w:rPr>
          <w:rFonts w:ascii="Arial" w:hAnsi="Arial" w:cs="Arial"/>
          <w:lang w:val="de-DE"/>
        </w:rPr>
      </w:pPr>
      <w:r>
        <w:rPr>
          <w:rFonts w:ascii="Arial" w:hAnsi="Arial" w:cs="Arial"/>
          <w:lang w:val="de-DE"/>
        </w:rPr>
        <w:t xml:space="preserve">Neben den modernen technologischen Möglichkeiten von Big Data, aus denen ein Unternehmen für die Zukunft profitieren kann, gibt es auch gewisse ethische Konsequenzen für die privaten Nutzer. </w:t>
      </w:r>
      <w:r w:rsidR="00046037">
        <w:rPr>
          <w:rFonts w:ascii="Arial" w:hAnsi="Arial" w:cs="Arial"/>
          <w:lang w:val="de-DE"/>
        </w:rPr>
        <w:t xml:space="preserve">Ein wesentlicher Aspekt der DSGVO ist der Schutz der Privatsphäre. Dieser kann aber durch die vielen Datenmengen von privaten Nutzern beeinflusst werden. </w:t>
      </w:r>
    </w:p>
    <w:p w14:paraId="220AEEFF" w14:textId="0E047CAF" w:rsidR="00046037" w:rsidRDefault="000E6D62" w:rsidP="004B254E">
      <w:pPr>
        <w:spacing w:line="360" w:lineRule="auto"/>
        <w:jc w:val="both"/>
        <w:rPr>
          <w:rFonts w:ascii="Arial" w:hAnsi="Arial" w:cs="Arial"/>
          <w:i/>
          <w:iCs/>
          <w:sz w:val="20"/>
          <w:szCs w:val="20"/>
        </w:rPr>
      </w:pPr>
      <w:r w:rsidRPr="000E6D62">
        <w:rPr>
          <w:rFonts w:ascii="Arial" w:hAnsi="Arial" w:cs="Arial"/>
          <w:i/>
          <w:iCs/>
          <w:sz w:val="20"/>
          <w:szCs w:val="20"/>
          <w:lang w:val="de-DE"/>
        </w:rPr>
        <w:t>„</w:t>
      </w:r>
      <w:r w:rsidRPr="000E6D62">
        <w:rPr>
          <w:rFonts w:ascii="Arial" w:hAnsi="Arial" w:cs="Arial"/>
          <w:i/>
          <w:iCs/>
          <w:sz w:val="20"/>
          <w:szCs w:val="20"/>
        </w:rPr>
        <w:t>Das Recht auf informationelle Selbstbestimmung wurde aus dem Menschenwürdegrundsatz begründet, mit der Folge, dass Betroffene nicht zum bloßen Informationsobjekt herabgestuft werden dürfen.“</w:t>
      </w:r>
      <w:r w:rsidR="00AA792A">
        <w:rPr>
          <w:rStyle w:val="Funotenzeichen"/>
          <w:rFonts w:ascii="Arial" w:hAnsi="Arial" w:cs="Arial"/>
          <w:i/>
          <w:iCs/>
          <w:sz w:val="20"/>
          <w:szCs w:val="20"/>
        </w:rPr>
        <w:footnoteReference w:id="44"/>
      </w:r>
    </w:p>
    <w:p w14:paraId="482626D6" w14:textId="525B276E" w:rsidR="000E6D62" w:rsidRPr="000E6D62" w:rsidRDefault="009826E2" w:rsidP="004B254E">
      <w:pPr>
        <w:spacing w:line="360" w:lineRule="auto"/>
        <w:jc w:val="both"/>
        <w:rPr>
          <w:rFonts w:ascii="Arial" w:hAnsi="Arial" w:cs="Arial"/>
          <w:lang w:val="de-DE"/>
        </w:rPr>
      </w:pPr>
      <w:r>
        <w:rPr>
          <w:rFonts w:ascii="Arial" w:hAnsi="Arial" w:cs="Arial"/>
        </w:rPr>
        <w:t xml:space="preserve">Die Verknüpfung von den verschiedenen Datenformen aus den unterschiedlichen Datenquellen wird ein privater Nutzer das Produkt der Unternehmen. Private Nutzer werden lokalisiert, deren Verhalten durch Suchanfragen oder Internetverlauf analysiert und ermöglicht sehr wohl in die Privatsphäre eines Nutzer </w:t>
      </w:r>
      <w:r w:rsidR="00DF4801">
        <w:rPr>
          <w:rFonts w:ascii="Arial" w:hAnsi="Arial" w:cs="Arial"/>
        </w:rPr>
        <w:t>einzusehen</w:t>
      </w:r>
      <w:r>
        <w:rPr>
          <w:rFonts w:ascii="Arial" w:hAnsi="Arial" w:cs="Arial"/>
        </w:rPr>
        <w:t>.</w:t>
      </w:r>
      <w:r w:rsidR="00DF4801">
        <w:rPr>
          <w:rFonts w:ascii="Arial" w:hAnsi="Arial" w:cs="Arial"/>
        </w:rPr>
        <w:t xml:space="preserve"> Durch die verschiedenen Geräte und Technologien Daten von diesen sammeln, werden private Nutzer durch deren Datenströme immer mehr transparenter. Für Unternehmen bieten diese Möglichkeiten großen Chancen detailliertere und effizientere Prognosen aufzustellen. Durch die Übermittlung der vielen Daten sollte es maßgeblich sein für private Nutzer deren Datenströme nachzuvollziehen. Obwohl bereits einige Technologien entwickelt wurden, um dies zu </w:t>
      </w:r>
      <w:r w:rsidR="00813111">
        <w:rPr>
          <w:rFonts w:ascii="Arial" w:hAnsi="Arial" w:cs="Arial"/>
        </w:rPr>
        <w:t>ermöglichen</w:t>
      </w:r>
      <w:r w:rsidR="00DF4801">
        <w:rPr>
          <w:rFonts w:ascii="Arial" w:hAnsi="Arial" w:cs="Arial"/>
        </w:rPr>
        <w:t>, wird</w:t>
      </w:r>
      <w:r w:rsidR="005115EE">
        <w:rPr>
          <w:rFonts w:ascii="Arial" w:hAnsi="Arial" w:cs="Arial"/>
        </w:rPr>
        <w:t xml:space="preserve"> dennoch</w:t>
      </w:r>
      <w:r w:rsidR="00DF4801">
        <w:rPr>
          <w:rFonts w:ascii="Arial" w:hAnsi="Arial" w:cs="Arial"/>
        </w:rPr>
        <w:t xml:space="preserve"> ein Restrisiko weiterhin bestehen und Unternehmen vermehrt Daten </w:t>
      </w:r>
      <w:r w:rsidR="003626D4">
        <w:rPr>
          <w:rFonts w:ascii="Arial" w:hAnsi="Arial" w:cs="Arial"/>
        </w:rPr>
        <w:t>von privaten Nutzern sammeln</w:t>
      </w:r>
      <w:r w:rsidR="00AA792A">
        <w:rPr>
          <w:rFonts w:ascii="Arial" w:hAnsi="Arial" w:cs="Arial"/>
        </w:rPr>
        <w:t xml:space="preserve">. </w:t>
      </w:r>
    </w:p>
    <w:p w14:paraId="1AA83D75" w14:textId="11A5A171" w:rsidR="00853193" w:rsidRPr="008473EF" w:rsidRDefault="005B757C" w:rsidP="008473EF">
      <w:pPr>
        <w:pStyle w:val="berschrift3"/>
        <w:rPr>
          <w:rFonts w:ascii="Arial" w:hAnsi="Arial" w:cs="Arial"/>
          <w:lang w:val="de-DE"/>
        </w:rPr>
      </w:pPr>
      <w:bookmarkStart w:id="43" w:name="_Toc42089769"/>
      <w:r>
        <w:rPr>
          <w:rFonts w:ascii="Arial" w:hAnsi="Arial" w:cs="Arial"/>
          <w:lang w:val="de-DE"/>
        </w:rPr>
        <w:t>4</w:t>
      </w:r>
      <w:r w:rsidR="008473EF">
        <w:rPr>
          <w:rFonts w:ascii="Arial" w:hAnsi="Arial" w:cs="Arial"/>
          <w:lang w:val="de-DE"/>
        </w:rPr>
        <w:t>.2.</w:t>
      </w:r>
      <w:r w:rsidR="000A5CB0">
        <w:rPr>
          <w:rFonts w:ascii="Arial" w:hAnsi="Arial" w:cs="Arial"/>
          <w:lang w:val="de-DE"/>
        </w:rPr>
        <w:t>6</w:t>
      </w:r>
      <w:r w:rsidR="008473EF">
        <w:rPr>
          <w:rFonts w:ascii="Arial" w:hAnsi="Arial" w:cs="Arial"/>
          <w:lang w:val="de-DE"/>
        </w:rPr>
        <w:t xml:space="preserve"> Fazit zu Big Data</w:t>
      </w:r>
      <w:bookmarkEnd w:id="43"/>
    </w:p>
    <w:p w14:paraId="0EF872A4" w14:textId="12AB7CCC" w:rsidR="00BF7D4E" w:rsidRDefault="00BF7D4E" w:rsidP="00694BBB">
      <w:pPr>
        <w:rPr>
          <w:lang w:val="de-DE"/>
        </w:rPr>
      </w:pPr>
    </w:p>
    <w:p w14:paraId="23555965" w14:textId="77777777" w:rsidR="00DA0C26" w:rsidRDefault="00822473" w:rsidP="00E50F39">
      <w:pPr>
        <w:spacing w:line="360" w:lineRule="auto"/>
        <w:jc w:val="both"/>
        <w:rPr>
          <w:rFonts w:ascii="Arial" w:hAnsi="Arial" w:cs="Arial"/>
        </w:rPr>
      </w:pPr>
      <w:r>
        <w:rPr>
          <w:rFonts w:ascii="Arial" w:hAnsi="Arial" w:cs="Arial"/>
        </w:rPr>
        <w:t xml:space="preserve">Daten machen deutlichen welchen wesentlichen Einfluss diese auf die Gesellschaft bewirken bzw. wie Unternehmen und Politik handeln. Es ist nicht nur eine Frage der Wirtschaftlichkeit, </w:t>
      </w:r>
      <w:r>
        <w:rPr>
          <w:rFonts w:ascii="Arial" w:hAnsi="Arial" w:cs="Arial"/>
        </w:rPr>
        <w:lastRenderedPageBreak/>
        <w:t>sondern auch eine Ethische. Durch das Sammeln von Daten tragen Unternehmen eine gewissen Verantwortung. Es handelt sich hierbei um Daten von privaten Nutzern. Für Unternehmen bietet es entscheidende Wettbewerbsvorteile. Zudem können durch die vielen Daten von verschiedenen Nutzergeräten, weitere Daten analysiert werden, folglich können effizientere Prognosen aufgestellt werden.</w:t>
      </w:r>
      <w:r w:rsidR="00B81C52">
        <w:rPr>
          <w:rFonts w:ascii="Arial" w:hAnsi="Arial" w:cs="Arial"/>
        </w:rPr>
        <w:t xml:space="preserve"> Daher werden auch die Preisgestaltungen vom Verhalten der privaten Nutzer erheblich beeinflusst. </w:t>
      </w:r>
    </w:p>
    <w:p w14:paraId="5EE9F217" w14:textId="77777777" w:rsidR="00404C63" w:rsidRDefault="00B81C52" w:rsidP="00E50F39">
      <w:pPr>
        <w:spacing w:line="360" w:lineRule="auto"/>
        <w:jc w:val="both"/>
        <w:rPr>
          <w:rFonts w:ascii="Arial" w:hAnsi="Arial" w:cs="Arial"/>
        </w:rPr>
      </w:pPr>
      <w:r>
        <w:rPr>
          <w:rFonts w:ascii="Arial" w:hAnsi="Arial" w:cs="Arial"/>
        </w:rPr>
        <w:t>Die vielen Datenmengen die täglich gesammelt werden, bringen aber auch eine große Verantwortung bzw. Risiken mit sich.</w:t>
      </w:r>
      <w:r w:rsidR="00FB6995">
        <w:rPr>
          <w:rFonts w:ascii="Arial" w:hAnsi="Arial" w:cs="Arial"/>
        </w:rPr>
        <w:t xml:space="preserve"> Es entstehen Datenschutzprobleme, insofern wie und welche Daten gesammelt werden. Oft sind diese Informationen in den Datenschutzerklärungen verallgemeinert und ist daher für private Nutzer oft nicht nachvollziehbar. Die Sammlung von Daten ist bei vielen Unternehmen intransparent. Ein weiterer wesentlicher Faktor sind Angriffe von außen bzw. Datenlacks. Diese lassen sich nicht verhindern, aber durchaus durch moderne Softwares schützen.</w:t>
      </w:r>
      <w:r w:rsidR="00FB12CF">
        <w:rPr>
          <w:rStyle w:val="Funotenzeichen"/>
          <w:rFonts w:ascii="Arial" w:hAnsi="Arial" w:cs="Arial"/>
        </w:rPr>
        <w:footnoteReference w:id="45"/>
      </w:r>
      <w:r w:rsidR="00924AAF">
        <w:rPr>
          <w:rFonts w:ascii="Arial" w:hAnsi="Arial" w:cs="Arial"/>
        </w:rPr>
        <w:t xml:space="preserve"> </w:t>
      </w:r>
    </w:p>
    <w:p w14:paraId="506C03BD" w14:textId="3A8A18E6" w:rsidR="00E50F39" w:rsidRPr="00E50F39" w:rsidRDefault="0092776E" w:rsidP="00E50F39">
      <w:pPr>
        <w:spacing w:line="360" w:lineRule="auto"/>
        <w:jc w:val="both"/>
        <w:rPr>
          <w:rFonts w:ascii="Arial" w:hAnsi="Arial" w:cs="Arial"/>
        </w:rPr>
      </w:pPr>
      <w:r>
        <w:rPr>
          <w:rFonts w:ascii="Arial" w:hAnsi="Arial" w:cs="Arial"/>
        </w:rPr>
        <w:t xml:space="preserve">Obwohl bereits seitens der Politik einige Leitfäden vorgeschlagen und Gesetze zum Schutz der Privatsphäre beschlossen wurden, fehlt es oft an genaueren Definitionen beim Verarbeiten von Daten. </w:t>
      </w:r>
      <w:r w:rsidR="00B27002">
        <w:rPr>
          <w:rFonts w:ascii="Arial" w:hAnsi="Arial" w:cs="Arial"/>
        </w:rPr>
        <w:t>Big Data wird in Zukunft ein immer größerer Erfolgsfaktor für Unternehmen, dementsprechend gilt es für die Politik zielgerechte Datenschutzgesetze zu beschließen und an die neuen bzw. zukünftigen Bedingungen anzupassen. Um auch die Wirtschaft miteinzubeziehen, wird die Politik Kooperationen mit dieser eingehen. Besonders hervorzuheben sind die ethischen Folgen, die aus dem Sammeln von Daten herangezogen werden können. Dafür werden Branchenkodizes geschrieben, wobei sich Unternehmen an diese Vorgaben halten sollten. Der Nachteil aus diesen Kodizes ist die Durchsetzbarkeit bei Verstößen.</w:t>
      </w:r>
      <w:r w:rsidR="0081405C">
        <w:rPr>
          <w:rFonts w:ascii="Arial" w:hAnsi="Arial" w:cs="Arial"/>
        </w:rPr>
        <w:t xml:space="preserve"> Um die Verarbeitung der Daten transparenter zu machen, haben Unternehmen die Möglichkeit deren AGBs zu standardisieren. Private Nutzer können direkt auf einen nachvollziehbaren Grund für das Verarbeiten von Daten hingewiesen werden.</w:t>
      </w:r>
      <w:r w:rsidR="0081405C">
        <w:rPr>
          <w:rStyle w:val="Funotenzeichen"/>
          <w:rFonts w:ascii="Arial" w:hAnsi="Arial" w:cs="Arial"/>
        </w:rPr>
        <w:footnoteReference w:id="46"/>
      </w:r>
      <w:r w:rsidR="00B27002">
        <w:rPr>
          <w:rFonts w:ascii="Arial" w:hAnsi="Arial" w:cs="Arial"/>
        </w:rPr>
        <w:t xml:space="preserve"> </w:t>
      </w:r>
    </w:p>
    <w:p w14:paraId="379584E9" w14:textId="2055476C" w:rsidR="00740951" w:rsidRPr="0097681D" w:rsidRDefault="005B757C" w:rsidP="005C17A9">
      <w:pPr>
        <w:pStyle w:val="berschrift1"/>
        <w:pBdr>
          <w:bottom w:val="single" w:sz="4" w:space="1" w:color="auto"/>
        </w:pBdr>
        <w:jc w:val="both"/>
        <w:rPr>
          <w:rFonts w:ascii="Arial" w:hAnsi="Arial" w:cs="Arial"/>
          <w:lang w:val="de-DE"/>
        </w:rPr>
      </w:pPr>
      <w:bookmarkStart w:id="44" w:name="_Toc42089770"/>
      <w:r>
        <w:rPr>
          <w:rFonts w:ascii="Arial" w:hAnsi="Arial" w:cs="Arial"/>
          <w:lang w:val="de-DE"/>
        </w:rPr>
        <w:t>5</w:t>
      </w:r>
      <w:r w:rsidR="0097681D">
        <w:rPr>
          <w:rFonts w:ascii="Arial" w:hAnsi="Arial" w:cs="Arial"/>
          <w:lang w:val="de-DE"/>
        </w:rPr>
        <w:t xml:space="preserve"> Sanktionen, Haftung und Rechtsbehelfe</w:t>
      </w:r>
      <w:bookmarkEnd w:id="44"/>
    </w:p>
    <w:p w14:paraId="5435B2FE" w14:textId="0AC01F37" w:rsidR="007C3C95" w:rsidRDefault="007C3C95" w:rsidP="00917F3B"/>
    <w:p w14:paraId="077A3030" w14:textId="54825DAC" w:rsidR="00917F3B" w:rsidRDefault="006C01F8" w:rsidP="00917F3B">
      <w:pPr>
        <w:spacing w:line="360" w:lineRule="auto"/>
        <w:jc w:val="both"/>
        <w:rPr>
          <w:rFonts w:ascii="Arial" w:hAnsi="Arial" w:cs="Arial"/>
        </w:rPr>
      </w:pPr>
      <w:r>
        <w:rPr>
          <w:rFonts w:ascii="Arial" w:hAnsi="Arial" w:cs="Arial"/>
        </w:rPr>
        <w:t>Kapitel 8 der DSGVO beinhaltet die Sanktionen, Rechtsbehelfe und Haftung. Das Kapitel reicht von Art. 77 bis 84 DSGVO. In diesem Kapitel werden die jeweiligen Artikel näher erläutert. Besonders wird darauf eingegangen, welche Möglichkeiten und Rechte ein privater Nutzer bei einer Verletzung des Datenschutzes nach den DSGVO Vorgaben anwenden kann. Zus</w:t>
      </w:r>
      <w:r w:rsidR="00A7289D">
        <w:rPr>
          <w:rFonts w:ascii="Arial" w:hAnsi="Arial" w:cs="Arial"/>
        </w:rPr>
        <w:t>ätzlich werden auch die Sanktionen und Haftung der Verantwortlichen beschrieben.</w:t>
      </w:r>
      <w:r w:rsidR="00141339">
        <w:rPr>
          <w:rFonts w:ascii="Arial" w:hAnsi="Arial" w:cs="Arial"/>
        </w:rPr>
        <w:t xml:space="preserve"> </w:t>
      </w:r>
      <w:r w:rsidR="00EC4AB7">
        <w:rPr>
          <w:rFonts w:ascii="Arial" w:hAnsi="Arial" w:cs="Arial"/>
        </w:rPr>
        <w:t xml:space="preserve">Vorerst werden die jeweiligen Rechtsbehelfe eine natürlicher Person beschrieben. </w:t>
      </w:r>
      <w:r w:rsidR="00EC4AB7">
        <w:rPr>
          <w:rFonts w:ascii="Arial" w:hAnsi="Arial" w:cs="Arial"/>
        </w:rPr>
        <w:lastRenderedPageBreak/>
        <w:t xml:space="preserve">Anschließend wird die Haftung der Verantwortlichen und das Recht auf Schadensersatz bei eintretenden Schaden erwähnt. </w:t>
      </w:r>
      <w:r w:rsidR="00397F66">
        <w:rPr>
          <w:rFonts w:ascii="Arial" w:hAnsi="Arial" w:cs="Arial"/>
        </w:rPr>
        <w:t xml:space="preserve">Im Punkt 5.2 wird der Art. 82 DSGVO analysiert. Im letzten Punkt des Kapitels wird auf die Sanktionen und deren Kategorien eingegangen und wovon die Höhe der Sanktionen abhängt. </w:t>
      </w:r>
    </w:p>
    <w:p w14:paraId="2CBD65D9" w14:textId="102D29CF" w:rsidR="007B7ADD" w:rsidRDefault="005B757C" w:rsidP="007B7ADD">
      <w:pPr>
        <w:pStyle w:val="berschrift2"/>
        <w:jc w:val="both"/>
        <w:rPr>
          <w:rFonts w:ascii="Arial" w:hAnsi="Arial" w:cs="Arial"/>
          <w:sz w:val="28"/>
          <w:szCs w:val="28"/>
        </w:rPr>
      </w:pPr>
      <w:bookmarkStart w:id="45" w:name="_Toc42089771"/>
      <w:r>
        <w:rPr>
          <w:rFonts w:ascii="Arial" w:hAnsi="Arial" w:cs="Arial"/>
          <w:sz w:val="28"/>
          <w:szCs w:val="28"/>
        </w:rPr>
        <w:t>5</w:t>
      </w:r>
      <w:r w:rsidR="007B7ADD">
        <w:rPr>
          <w:rFonts w:ascii="Arial" w:hAnsi="Arial" w:cs="Arial"/>
          <w:sz w:val="28"/>
          <w:szCs w:val="28"/>
        </w:rPr>
        <w:t>.1 Rechtsbehelfe</w:t>
      </w:r>
      <w:bookmarkEnd w:id="45"/>
      <w:r w:rsidR="007B7ADD">
        <w:rPr>
          <w:rFonts w:ascii="Arial" w:hAnsi="Arial" w:cs="Arial"/>
          <w:sz w:val="28"/>
          <w:szCs w:val="28"/>
        </w:rPr>
        <w:t xml:space="preserve"> </w:t>
      </w:r>
    </w:p>
    <w:p w14:paraId="55F9C015" w14:textId="694AD3D9" w:rsidR="004B4071" w:rsidRDefault="004B4071" w:rsidP="004B4071"/>
    <w:p w14:paraId="76AE0D16" w14:textId="428FF3A8" w:rsidR="004B4071" w:rsidRDefault="004B4071" w:rsidP="004B4071">
      <w:pPr>
        <w:spacing w:line="360" w:lineRule="auto"/>
        <w:jc w:val="both"/>
        <w:rPr>
          <w:rFonts w:ascii="Arial" w:hAnsi="Arial" w:cs="Arial"/>
        </w:rPr>
      </w:pPr>
      <w:r>
        <w:rPr>
          <w:rFonts w:ascii="Arial" w:hAnsi="Arial" w:cs="Arial"/>
        </w:rPr>
        <w:t>Auf Grund der Entwicklung im Bereich Digitalisierung wurden vor der Einführung der DSGVO Ziele gesetzt, um beide Seite</w:t>
      </w:r>
      <w:r w:rsidR="002E060D">
        <w:rPr>
          <w:rFonts w:ascii="Arial" w:hAnsi="Arial" w:cs="Arial"/>
        </w:rPr>
        <w:t>n</w:t>
      </w:r>
      <w:r>
        <w:rPr>
          <w:rFonts w:ascii="Arial" w:hAnsi="Arial" w:cs="Arial"/>
        </w:rPr>
        <w:t xml:space="preserve"> sowohl </w:t>
      </w:r>
      <w:r w:rsidR="002E060D">
        <w:rPr>
          <w:rFonts w:ascii="Arial" w:hAnsi="Arial" w:cs="Arial"/>
        </w:rPr>
        <w:t>natürliche Personen</w:t>
      </w:r>
      <w:r>
        <w:rPr>
          <w:rFonts w:ascii="Arial" w:hAnsi="Arial" w:cs="Arial"/>
        </w:rPr>
        <w:t xml:space="preserve"> als auch </w:t>
      </w:r>
      <w:r w:rsidR="002E060D">
        <w:rPr>
          <w:rFonts w:ascii="Arial" w:hAnsi="Arial" w:cs="Arial"/>
        </w:rPr>
        <w:t>die Wirtschaft zu schützen. Die Verarbeitung der Daten wurde transparenter und bei Pflichtverletzungen durchsetzungsstärker.</w:t>
      </w:r>
      <w:r w:rsidR="002E060D">
        <w:rPr>
          <w:rStyle w:val="Funotenzeichen"/>
          <w:rFonts w:ascii="Arial" w:hAnsi="Arial" w:cs="Arial"/>
        </w:rPr>
        <w:footnoteReference w:id="47"/>
      </w:r>
    </w:p>
    <w:p w14:paraId="27833DB0" w14:textId="20EF43A9" w:rsidR="002E060D" w:rsidRDefault="00802FD7" w:rsidP="004B4071">
      <w:pPr>
        <w:spacing w:line="360" w:lineRule="auto"/>
        <w:jc w:val="both"/>
        <w:rPr>
          <w:rFonts w:ascii="Arial" w:hAnsi="Arial" w:cs="Arial"/>
        </w:rPr>
      </w:pPr>
      <w:r>
        <w:rPr>
          <w:rFonts w:ascii="Arial" w:hAnsi="Arial" w:cs="Arial"/>
        </w:rPr>
        <w:t>Art. 77 DSGVO beschreibt bei jede Person hat das Recht auf eine Beschwerde bei der zuständigen Aufsichtsbehörde zu erwägen. Bereits bei Verdacht auf die Verarbeitung von personenbezogenen Daten die nicht rechtmäßig zustande kam, hat eine natürliche Person das Recht dies in Erwägung zu ziehen. Anschließend muss die Datenschutzbehörde dies überprüfen.</w:t>
      </w:r>
      <w:r w:rsidR="008057FD">
        <w:rPr>
          <w:rFonts w:ascii="Arial" w:hAnsi="Arial" w:cs="Arial"/>
        </w:rPr>
        <w:t xml:space="preserve"> Die zuständige Behörde muss dem Beschwerdeführer auf die jeweiligen Rechtsbehelfe hin</w:t>
      </w:r>
      <w:r w:rsidR="0067261D">
        <w:rPr>
          <w:rFonts w:ascii="Arial" w:hAnsi="Arial" w:cs="Arial"/>
        </w:rPr>
        <w:t xml:space="preserve">weisen. Die Verantwortlichen müssen dem </w:t>
      </w:r>
      <w:r w:rsidR="00847F4D">
        <w:rPr>
          <w:rFonts w:ascii="Arial" w:hAnsi="Arial" w:cs="Arial"/>
        </w:rPr>
        <w:t>Betroffenen</w:t>
      </w:r>
      <w:r w:rsidR="0067261D">
        <w:rPr>
          <w:rFonts w:ascii="Arial" w:hAnsi="Arial" w:cs="Arial"/>
        </w:rPr>
        <w:t xml:space="preserve"> sämtliche Informationen zukommen lassen.</w:t>
      </w:r>
      <w:r w:rsidR="00847F4D">
        <w:rPr>
          <w:rFonts w:ascii="Arial" w:hAnsi="Arial" w:cs="Arial"/>
        </w:rPr>
        <w:t xml:space="preserve"> Durch die </w:t>
      </w:r>
      <w:r w:rsidR="00324807">
        <w:rPr>
          <w:rFonts w:ascii="Arial" w:hAnsi="Arial" w:cs="Arial"/>
        </w:rPr>
        <w:t>einen Beschluss der Aufsichtsbehörde kann die betroffene Person anschließend gegen den Verantwortlichen auch gerichtlich vorgehen.</w:t>
      </w:r>
      <w:r w:rsidR="00C76F14">
        <w:rPr>
          <w:rStyle w:val="Funotenzeichen"/>
          <w:rFonts w:ascii="Arial" w:hAnsi="Arial" w:cs="Arial"/>
        </w:rPr>
        <w:footnoteReference w:id="48"/>
      </w:r>
      <w:r w:rsidR="004719BE">
        <w:rPr>
          <w:rFonts w:ascii="Arial" w:hAnsi="Arial" w:cs="Arial"/>
        </w:rPr>
        <w:t xml:space="preserve"> Wenn die Aufsichtsbehörde der Beschwere nicht innerhalb einer dreimonatigen Frist nachgeht oder der Betroffene nicht informiert wird, hat dieser auch die Möglichkeit einen gerichtlichen Rechtsbehelf zu nutzen.</w:t>
      </w:r>
      <w:r w:rsidR="00B138F7">
        <w:rPr>
          <w:rFonts w:ascii="Arial" w:hAnsi="Arial" w:cs="Arial"/>
        </w:rPr>
        <w:t xml:space="preserve"> Sobald die Aufsichtsbehörde der Beschwerde stattgibt, kann sich die betroffene Person an das Landesgericht eine Klage einbringen.</w:t>
      </w:r>
      <w:r w:rsidR="004719BE">
        <w:rPr>
          <w:rStyle w:val="Funotenzeichen"/>
          <w:rFonts w:ascii="Arial" w:hAnsi="Arial" w:cs="Arial"/>
        </w:rPr>
        <w:footnoteReference w:id="49"/>
      </w:r>
      <w:r w:rsidR="004719BE">
        <w:rPr>
          <w:rFonts w:ascii="Arial" w:hAnsi="Arial" w:cs="Arial"/>
        </w:rPr>
        <w:t xml:space="preserve"> </w:t>
      </w:r>
    </w:p>
    <w:p w14:paraId="23634666" w14:textId="68D02001" w:rsidR="0054626D" w:rsidRDefault="005B757C" w:rsidP="0054626D">
      <w:pPr>
        <w:pStyle w:val="berschrift2"/>
        <w:rPr>
          <w:rFonts w:ascii="Arial" w:hAnsi="Arial" w:cs="Arial"/>
          <w:sz w:val="28"/>
          <w:szCs w:val="28"/>
        </w:rPr>
      </w:pPr>
      <w:bookmarkStart w:id="46" w:name="_Toc42089772"/>
      <w:r>
        <w:rPr>
          <w:rFonts w:ascii="Arial" w:hAnsi="Arial" w:cs="Arial"/>
          <w:sz w:val="28"/>
          <w:szCs w:val="28"/>
        </w:rPr>
        <w:t>5</w:t>
      </w:r>
      <w:r w:rsidR="008E7DBB">
        <w:rPr>
          <w:rFonts w:ascii="Arial" w:hAnsi="Arial" w:cs="Arial"/>
          <w:sz w:val="28"/>
          <w:szCs w:val="28"/>
        </w:rPr>
        <w:t>.</w:t>
      </w:r>
      <w:r w:rsidR="00850EA2">
        <w:rPr>
          <w:rFonts w:ascii="Arial" w:hAnsi="Arial" w:cs="Arial"/>
          <w:sz w:val="28"/>
          <w:szCs w:val="28"/>
        </w:rPr>
        <w:t>2</w:t>
      </w:r>
      <w:r w:rsidR="008E7DBB">
        <w:rPr>
          <w:rFonts w:ascii="Arial" w:hAnsi="Arial" w:cs="Arial"/>
          <w:sz w:val="28"/>
          <w:szCs w:val="28"/>
        </w:rPr>
        <w:t xml:space="preserve"> </w:t>
      </w:r>
      <w:r w:rsidR="0054626D">
        <w:rPr>
          <w:rFonts w:ascii="Arial" w:hAnsi="Arial" w:cs="Arial"/>
          <w:sz w:val="28"/>
          <w:szCs w:val="28"/>
        </w:rPr>
        <w:t>Haftung und Recht auf Schadensersatz</w:t>
      </w:r>
      <w:bookmarkEnd w:id="46"/>
    </w:p>
    <w:p w14:paraId="1368C286" w14:textId="34FB4155" w:rsidR="009B6C5C" w:rsidRDefault="009B6C5C" w:rsidP="009B6C5C"/>
    <w:p w14:paraId="425E0D0C" w14:textId="77777777" w:rsidR="005B216E" w:rsidRDefault="002D0FEF" w:rsidP="009B6C5C">
      <w:pPr>
        <w:spacing w:line="360" w:lineRule="auto"/>
        <w:jc w:val="both"/>
        <w:rPr>
          <w:rFonts w:ascii="Arial" w:hAnsi="Arial" w:cs="Arial"/>
        </w:rPr>
      </w:pPr>
      <w:r>
        <w:rPr>
          <w:rFonts w:ascii="Arial" w:hAnsi="Arial" w:cs="Arial"/>
        </w:rPr>
        <w:t>Art. 82</w:t>
      </w:r>
      <w:r w:rsidR="00B65E02">
        <w:rPr>
          <w:rFonts w:ascii="Arial" w:hAnsi="Arial" w:cs="Arial"/>
        </w:rPr>
        <w:t xml:space="preserve"> Abs. 1</w:t>
      </w:r>
      <w:r>
        <w:rPr>
          <w:rFonts w:ascii="Arial" w:hAnsi="Arial" w:cs="Arial"/>
        </w:rPr>
        <w:t xml:space="preserve"> DSGVO bestimmt, jede Person die auf Grund von Vorgaben der DSGVO geschädigt wurde, unabhängig ob materiell oder immateriell, einen Anspruch auf Schadensersatz hat. </w:t>
      </w:r>
      <w:r w:rsidR="008E5127">
        <w:rPr>
          <w:rFonts w:ascii="Arial" w:hAnsi="Arial" w:cs="Arial"/>
        </w:rPr>
        <w:t xml:space="preserve">Der Erwägungsgrund 85 der DSGVO beschreibt näher, welche materielle und immaterielle Schäden umfasst werden, beispielsweise Diskriminierung, finanzielle Verluste, Rufschädigung. </w:t>
      </w:r>
      <w:r>
        <w:rPr>
          <w:rFonts w:ascii="Arial" w:hAnsi="Arial" w:cs="Arial"/>
        </w:rPr>
        <w:t xml:space="preserve">Nicht nur Vorgaben der DSGVO werden in diesem Artikel miteinbezogen, sondern auch Regelungen der Mitgliedsstaaten. </w:t>
      </w:r>
    </w:p>
    <w:p w14:paraId="5A5F3A7E" w14:textId="77777777" w:rsidR="005B216E" w:rsidRDefault="00437DF9" w:rsidP="009B6C5C">
      <w:pPr>
        <w:spacing w:line="360" w:lineRule="auto"/>
        <w:jc w:val="both"/>
        <w:rPr>
          <w:rFonts w:ascii="Arial" w:hAnsi="Arial" w:cs="Arial"/>
        </w:rPr>
      </w:pPr>
      <w:r>
        <w:rPr>
          <w:rFonts w:ascii="Arial" w:hAnsi="Arial" w:cs="Arial"/>
        </w:rPr>
        <w:t xml:space="preserve">Abs.2 beschreibt den Haftungsumfang der Verantwortlichen. </w:t>
      </w:r>
      <w:r w:rsidR="002C144A">
        <w:rPr>
          <w:rFonts w:ascii="Arial" w:hAnsi="Arial" w:cs="Arial"/>
        </w:rPr>
        <w:t xml:space="preserve">Dieser haftet nur dann, wenn dieser nicht den Pflichten der DSGVO nachgekommen ist bzw. diese missachtete. </w:t>
      </w:r>
      <w:r>
        <w:rPr>
          <w:rFonts w:ascii="Arial" w:hAnsi="Arial" w:cs="Arial"/>
        </w:rPr>
        <w:t xml:space="preserve">Bei </w:t>
      </w:r>
      <w:r>
        <w:rPr>
          <w:rFonts w:ascii="Arial" w:hAnsi="Arial" w:cs="Arial"/>
        </w:rPr>
        <w:lastRenderedPageBreak/>
        <w:t xml:space="preserve">Schäden kann jeder Verantwortliche herangezogen werden, der an einem Schaden beteiligt ist. </w:t>
      </w:r>
      <w:r w:rsidR="008B33C4">
        <w:rPr>
          <w:rFonts w:ascii="Arial" w:hAnsi="Arial" w:cs="Arial"/>
        </w:rPr>
        <w:t xml:space="preserve">Verantwortliche sind sowohl Behörden, Unternehmen als auch die öffentliche Verwaltung. </w:t>
      </w:r>
    </w:p>
    <w:p w14:paraId="345FCD92" w14:textId="21FD935A" w:rsidR="005B216E" w:rsidRDefault="00FF2962" w:rsidP="009B6C5C">
      <w:pPr>
        <w:spacing w:line="360" w:lineRule="auto"/>
        <w:jc w:val="both"/>
        <w:rPr>
          <w:rFonts w:ascii="Arial" w:hAnsi="Arial" w:cs="Arial"/>
        </w:rPr>
      </w:pPr>
      <w:r>
        <w:rPr>
          <w:rFonts w:ascii="Arial" w:hAnsi="Arial" w:cs="Arial"/>
        </w:rPr>
        <w:t>Im Abs. 3</w:t>
      </w:r>
      <w:r w:rsidR="00962F74">
        <w:rPr>
          <w:rFonts w:ascii="Arial" w:hAnsi="Arial" w:cs="Arial"/>
        </w:rPr>
        <w:t xml:space="preserve"> </w:t>
      </w:r>
      <w:r w:rsidR="004E1926">
        <w:rPr>
          <w:rFonts w:ascii="Arial" w:hAnsi="Arial" w:cs="Arial"/>
        </w:rPr>
        <w:t xml:space="preserve">gilt </w:t>
      </w:r>
      <w:r>
        <w:rPr>
          <w:rFonts w:ascii="Arial" w:hAnsi="Arial" w:cs="Arial"/>
        </w:rPr>
        <w:t xml:space="preserve">grundsätzlich </w:t>
      </w:r>
      <w:r w:rsidR="004E1926">
        <w:rPr>
          <w:rFonts w:ascii="Arial" w:hAnsi="Arial" w:cs="Arial"/>
        </w:rPr>
        <w:t>aber für die Verantwortlichen eine Beweislastumkehr. In einer gewissen Frist muss der Verantwortliche nachweisen, dass dieser in keiner Weise an den Schäden beteiligt war. Bei erfolgreicher Erbringung der Informationen, kann der Verantwortliche somit aus der Haftung befreit werden.</w:t>
      </w:r>
      <w:r w:rsidR="002C144A">
        <w:rPr>
          <w:rFonts w:ascii="Arial" w:hAnsi="Arial" w:cs="Arial"/>
        </w:rPr>
        <w:t xml:space="preserve"> </w:t>
      </w:r>
      <w:r>
        <w:rPr>
          <w:rFonts w:ascii="Arial" w:hAnsi="Arial" w:cs="Arial"/>
        </w:rPr>
        <w:t xml:space="preserve">Er muss allerdings sämtliche Informationen und Dokumentationen nachweisen können, da die Schuld seitens des Verantwortlichen vermutet wird. </w:t>
      </w:r>
      <w:r w:rsidR="002C144A">
        <w:rPr>
          <w:rFonts w:ascii="Arial" w:hAnsi="Arial" w:cs="Arial"/>
        </w:rPr>
        <w:t xml:space="preserve">Wie bereits im Abs. 2 beschrieben, haftet jeder Verantwortliche der an einem Verstoß beteiligt ist. </w:t>
      </w:r>
    </w:p>
    <w:p w14:paraId="2ECDFE69" w14:textId="1253D003" w:rsidR="00FF2962" w:rsidRDefault="002C144A" w:rsidP="009B6C5C">
      <w:pPr>
        <w:spacing w:line="360" w:lineRule="auto"/>
        <w:jc w:val="both"/>
        <w:rPr>
          <w:rFonts w:ascii="Arial" w:hAnsi="Arial" w:cs="Arial"/>
        </w:rPr>
      </w:pPr>
      <w:r>
        <w:rPr>
          <w:rFonts w:ascii="Arial" w:hAnsi="Arial" w:cs="Arial"/>
        </w:rPr>
        <w:t xml:space="preserve">Im Abs. 4 wird </w:t>
      </w:r>
      <w:r w:rsidR="00C83BC6">
        <w:rPr>
          <w:rFonts w:ascii="Arial" w:hAnsi="Arial" w:cs="Arial"/>
        </w:rPr>
        <w:t xml:space="preserve">die Beteiligung konkretisiert, indem jeder Beteiligte an den </w:t>
      </w:r>
      <w:r w:rsidR="00FF2962">
        <w:rPr>
          <w:rFonts w:ascii="Arial" w:hAnsi="Arial" w:cs="Arial"/>
        </w:rPr>
        <w:t xml:space="preserve">gesamten </w:t>
      </w:r>
      <w:r w:rsidR="00C83BC6">
        <w:rPr>
          <w:rFonts w:ascii="Arial" w:hAnsi="Arial" w:cs="Arial"/>
        </w:rPr>
        <w:t>Schäden haftet.</w:t>
      </w:r>
      <w:r w:rsidR="00FF2962">
        <w:rPr>
          <w:rFonts w:ascii="Arial" w:hAnsi="Arial" w:cs="Arial"/>
        </w:rPr>
        <w:t xml:space="preserve"> Nur so lässt sich eine wirksame Schadenersatzregelung </w:t>
      </w:r>
      <w:r w:rsidR="00D15702">
        <w:rPr>
          <w:rFonts w:ascii="Arial" w:hAnsi="Arial" w:cs="Arial"/>
        </w:rPr>
        <w:t>sicherstellen</w:t>
      </w:r>
      <w:r w:rsidR="00FF2962">
        <w:rPr>
          <w:rFonts w:ascii="Arial" w:hAnsi="Arial" w:cs="Arial"/>
        </w:rPr>
        <w:t>.</w:t>
      </w:r>
      <w:r w:rsidR="006E7CDF">
        <w:rPr>
          <w:rStyle w:val="Funotenzeichen"/>
          <w:rFonts w:ascii="Arial" w:hAnsi="Arial" w:cs="Arial"/>
        </w:rPr>
        <w:footnoteReference w:id="50"/>
      </w:r>
      <w:r w:rsidR="008E5127">
        <w:rPr>
          <w:rFonts w:ascii="Arial" w:hAnsi="Arial" w:cs="Arial"/>
        </w:rPr>
        <w:t xml:space="preserve"> </w:t>
      </w:r>
    </w:p>
    <w:p w14:paraId="1D7FBB75" w14:textId="545287E1" w:rsidR="007C3C95" w:rsidRDefault="005B757C" w:rsidP="006C01F8">
      <w:pPr>
        <w:pStyle w:val="berschrift2"/>
        <w:jc w:val="both"/>
        <w:rPr>
          <w:rFonts w:ascii="Arial" w:hAnsi="Arial" w:cs="Arial"/>
          <w:sz w:val="28"/>
          <w:szCs w:val="28"/>
        </w:rPr>
      </w:pPr>
      <w:bookmarkStart w:id="47" w:name="_Toc42089773"/>
      <w:r>
        <w:rPr>
          <w:rFonts w:ascii="Arial" w:hAnsi="Arial" w:cs="Arial"/>
          <w:sz w:val="28"/>
          <w:szCs w:val="28"/>
        </w:rPr>
        <w:t>5</w:t>
      </w:r>
      <w:r w:rsidR="006C01F8">
        <w:rPr>
          <w:rFonts w:ascii="Arial" w:hAnsi="Arial" w:cs="Arial"/>
          <w:sz w:val="28"/>
          <w:szCs w:val="28"/>
        </w:rPr>
        <w:t>.</w:t>
      </w:r>
      <w:r w:rsidR="00850EA2">
        <w:rPr>
          <w:rFonts w:ascii="Arial" w:hAnsi="Arial" w:cs="Arial"/>
          <w:sz w:val="28"/>
          <w:szCs w:val="28"/>
        </w:rPr>
        <w:t>3</w:t>
      </w:r>
      <w:r w:rsidR="006C01F8">
        <w:rPr>
          <w:rFonts w:ascii="Arial" w:hAnsi="Arial" w:cs="Arial"/>
          <w:sz w:val="28"/>
          <w:szCs w:val="28"/>
        </w:rPr>
        <w:t xml:space="preserve"> Sanktionen</w:t>
      </w:r>
      <w:bookmarkEnd w:id="47"/>
    </w:p>
    <w:p w14:paraId="5056AA32" w14:textId="27CC222C" w:rsidR="006C01F8" w:rsidRDefault="006C01F8" w:rsidP="006C01F8"/>
    <w:p w14:paraId="5D47BBF0" w14:textId="04A73169" w:rsidR="006C01F8" w:rsidRDefault="00141339" w:rsidP="006C01F8">
      <w:pPr>
        <w:spacing w:line="360" w:lineRule="auto"/>
        <w:jc w:val="both"/>
        <w:rPr>
          <w:rFonts w:ascii="Arial" w:hAnsi="Arial" w:cs="Arial"/>
        </w:rPr>
      </w:pPr>
      <w:r>
        <w:rPr>
          <w:rFonts w:ascii="Arial" w:hAnsi="Arial" w:cs="Arial"/>
        </w:rPr>
        <w:t>Grundsätzlich sind Sanktionen ein wesentliches Mittel zur Durchsetzung der DSGVO-Vorgaben. Um diese sicherzustellen, hängen die Sanktionen auch vom Grad der Schwere des Tatbestandes ab. Der zentrale Aspekt der DSGVO ist der Schutz der personenbezogenen Daten</w:t>
      </w:r>
      <w:r w:rsidR="004A2D14">
        <w:rPr>
          <w:rFonts w:ascii="Arial" w:hAnsi="Arial" w:cs="Arial"/>
        </w:rPr>
        <w:t xml:space="preserve">. Dieser Schutz soll daher durch Sanktionen oder Abmahnungen gewährleistet werden. Da die Verletzungen des Datenschutzes </w:t>
      </w:r>
      <w:r w:rsidR="00530456">
        <w:rPr>
          <w:rFonts w:ascii="Arial" w:hAnsi="Arial" w:cs="Arial"/>
        </w:rPr>
        <w:t xml:space="preserve">oft </w:t>
      </w:r>
      <w:r w:rsidR="004A2D14">
        <w:rPr>
          <w:rFonts w:ascii="Arial" w:hAnsi="Arial" w:cs="Arial"/>
        </w:rPr>
        <w:t xml:space="preserve">nicht offensichtlich sind, aber bei Aufdeckung dieser Pflichtverletzungen schwere Konsequenzen nach sich ziehen kann, sind Sanktionen aus diesem Grund eine maßgebliche Durchsetzungskraft </w:t>
      </w:r>
      <w:r w:rsidR="00530456">
        <w:rPr>
          <w:rFonts w:ascii="Arial" w:hAnsi="Arial" w:cs="Arial"/>
        </w:rPr>
        <w:t>zum Schutz der Grundrechte.</w:t>
      </w:r>
      <w:r w:rsidR="0039321A">
        <w:rPr>
          <w:rStyle w:val="Funotenzeichen"/>
          <w:rFonts w:ascii="Arial" w:hAnsi="Arial" w:cs="Arial"/>
        </w:rPr>
        <w:footnoteReference w:id="51"/>
      </w:r>
      <w:r w:rsidR="00530456">
        <w:rPr>
          <w:rFonts w:ascii="Arial" w:hAnsi="Arial" w:cs="Arial"/>
        </w:rPr>
        <w:t xml:space="preserve"> </w:t>
      </w:r>
      <w:r w:rsidR="004A2D14">
        <w:rPr>
          <w:rFonts w:ascii="Arial" w:hAnsi="Arial" w:cs="Arial"/>
        </w:rPr>
        <w:t xml:space="preserve"> </w:t>
      </w:r>
    </w:p>
    <w:p w14:paraId="23DB7D82" w14:textId="77777777" w:rsidR="00F13DB9" w:rsidRDefault="00E12FF8" w:rsidP="006C01F8">
      <w:pPr>
        <w:spacing w:line="360" w:lineRule="auto"/>
        <w:jc w:val="both"/>
        <w:rPr>
          <w:rFonts w:ascii="Arial" w:hAnsi="Arial" w:cs="Arial"/>
        </w:rPr>
      </w:pPr>
      <w:r>
        <w:rPr>
          <w:rFonts w:ascii="Arial" w:hAnsi="Arial" w:cs="Arial"/>
        </w:rPr>
        <w:t xml:space="preserve">Um den Schutz der Grundrechte und informationelle Selbstbestimmung auch zukünftig zu schützen, sollen die Vorgaben der DSGVO sowohl auf europäischer als auch nationaler Ebene gleichbedeutend sein. </w:t>
      </w:r>
      <w:r w:rsidR="00855E6D">
        <w:rPr>
          <w:rFonts w:ascii="Arial" w:hAnsi="Arial" w:cs="Arial"/>
        </w:rPr>
        <w:t>Sanktionsbefugnisse soll</w:t>
      </w:r>
      <w:r w:rsidR="00AA2026">
        <w:rPr>
          <w:rFonts w:ascii="Arial" w:hAnsi="Arial" w:cs="Arial"/>
        </w:rPr>
        <w:t>en</w:t>
      </w:r>
      <w:r w:rsidR="00855E6D">
        <w:rPr>
          <w:rFonts w:ascii="Arial" w:hAnsi="Arial" w:cs="Arial"/>
        </w:rPr>
        <w:t xml:space="preserve"> für die Öffentlichkeit gelten, um eine Rechtssicherheit und Transparenz bei der Verarbeitung</w:t>
      </w:r>
      <w:r w:rsidR="00AA2026">
        <w:rPr>
          <w:rFonts w:ascii="Arial" w:hAnsi="Arial" w:cs="Arial"/>
        </w:rPr>
        <w:t xml:space="preserve"> von Daten</w:t>
      </w:r>
      <w:r w:rsidR="00855E6D">
        <w:rPr>
          <w:rFonts w:ascii="Arial" w:hAnsi="Arial" w:cs="Arial"/>
        </w:rPr>
        <w:t xml:space="preserve"> insbesondere von personenbezogenen Daten zu schaffen. </w:t>
      </w:r>
      <w:r w:rsidR="00E232EF">
        <w:rPr>
          <w:rFonts w:ascii="Arial" w:hAnsi="Arial" w:cs="Arial"/>
        </w:rPr>
        <w:t xml:space="preserve">Um diese Regeln auf ein einheitliches europäisches Niveau durchzusetzen, sieht die EU vor gleichmäßige Kontrollen und Sanktionen in den jeweiligen Mitgliedsstaaten </w:t>
      </w:r>
      <w:r w:rsidR="00E86ABC">
        <w:rPr>
          <w:rFonts w:ascii="Arial" w:hAnsi="Arial" w:cs="Arial"/>
        </w:rPr>
        <w:t>zu erzielen.</w:t>
      </w:r>
      <w:r w:rsidR="001E5ADB">
        <w:rPr>
          <w:rStyle w:val="Funotenzeichen"/>
          <w:rFonts w:ascii="Arial" w:hAnsi="Arial" w:cs="Arial"/>
        </w:rPr>
        <w:footnoteReference w:id="52"/>
      </w:r>
      <w:r w:rsidR="00A70BD5">
        <w:rPr>
          <w:rFonts w:ascii="Arial" w:hAnsi="Arial" w:cs="Arial"/>
        </w:rPr>
        <w:t xml:space="preserve"> </w:t>
      </w:r>
    </w:p>
    <w:p w14:paraId="5986FF60" w14:textId="77777777" w:rsidR="0044222A" w:rsidRDefault="00F13DB9" w:rsidP="006C01F8">
      <w:pPr>
        <w:spacing w:line="360" w:lineRule="auto"/>
        <w:jc w:val="both"/>
        <w:rPr>
          <w:rFonts w:ascii="Arial" w:hAnsi="Arial" w:cs="Arial"/>
        </w:rPr>
      </w:pPr>
      <w:r>
        <w:rPr>
          <w:rFonts w:ascii="Arial" w:hAnsi="Arial" w:cs="Arial"/>
        </w:rPr>
        <w:t xml:space="preserve">Die Verhängung von Geldbußen ist die jeweilige Aufsichtsbehörde zuständig. Diese regelt in welchen Maß die Höhe der Sanktion angemessen ist. Die Bedingungen dafür stehen im Art. 83 DSGVO. Wesentlich ist abzuwägen den Grad des Tatbestandes. Von diesem ist es abhängig in welche Höhe die Geldbußen ausfallen. </w:t>
      </w:r>
      <w:r w:rsidR="00B50EDA">
        <w:rPr>
          <w:rFonts w:ascii="Arial" w:hAnsi="Arial" w:cs="Arial"/>
        </w:rPr>
        <w:t xml:space="preserve">Die Sanktionen müssen auf jeden Fall wirksam, verhältnismäßig und abschreckend wirken. </w:t>
      </w:r>
      <w:r w:rsidR="00965621">
        <w:rPr>
          <w:rFonts w:ascii="Arial" w:hAnsi="Arial" w:cs="Arial"/>
        </w:rPr>
        <w:t xml:space="preserve">Laut Art. 83 DSGVO können einige </w:t>
      </w:r>
      <w:r w:rsidR="00965621">
        <w:rPr>
          <w:rFonts w:ascii="Arial" w:hAnsi="Arial" w:cs="Arial"/>
        </w:rPr>
        <w:lastRenderedPageBreak/>
        <w:t xml:space="preserve">Punkte herangezogen werden, um den Grad der Verletzung abzuschätzen. </w:t>
      </w:r>
      <w:r w:rsidR="00AB443F">
        <w:rPr>
          <w:rFonts w:ascii="Arial" w:hAnsi="Arial" w:cs="Arial"/>
        </w:rPr>
        <w:t xml:space="preserve">Die Höhe hängt unter anderem davon ab, welche Art, Schwere und Dauer des Verstoßes. </w:t>
      </w:r>
      <w:r w:rsidR="00594BF1">
        <w:rPr>
          <w:rFonts w:ascii="Arial" w:hAnsi="Arial" w:cs="Arial"/>
        </w:rPr>
        <w:t>Weiters, ob die Verletzung fahrlässig oder vorsätzlich herbeigeführt wurde. Ein wesentlicher Anlass die Sanktion zu erhöhen, ist welche Kategorie der personenbezogenen Daten</w:t>
      </w:r>
      <w:r w:rsidR="004D51CC">
        <w:rPr>
          <w:rFonts w:ascii="Arial" w:hAnsi="Arial" w:cs="Arial"/>
        </w:rPr>
        <w:t xml:space="preserve"> umfasst ist</w:t>
      </w:r>
      <w:r w:rsidR="00594BF1">
        <w:rPr>
          <w:rFonts w:ascii="Arial" w:hAnsi="Arial" w:cs="Arial"/>
        </w:rPr>
        <w:t xml:space="preserve"> und wie viele Personen betroffen sind. </w:t>
      </w:r>
      <w:r w:rsidR="007C1D5C">
        <w:rPr>
          <w:rFonts w:ascii="Arial" w:hAnsi="Arial" w:cs="Arial"/>
        </w:rPr>
        <w:t>Bei besonders schwerwiegenden Pflichtverletzungen können die Geldbußen bis zu 20</w:t>
      </w:r>
      <w:r w:rsidR="00CB75C3">
        <w:rPr>
          <w:rFonts w:ascii="Arial" w:hAnsi="Arial" w:cs="Arial"/>
        </w:rPr>
        <w:t xml:space="preserve"> </w:t>
      </w:r>
      <w:r w:rsidR="007C1D5C">
        <w:rPr>
          <w:rFonts w:ascii="Arial" w:hAnsi="Arial" w:cs="Arial"/>
        </w:rPr>
        <w:t>Mio. Euro betragen.</w:t>
      </w:r>
      <w:r w:rsidR="00DA738C">
        <w:rPr>
          <w:rFonts w:ascii="Arial" w:hAnsi="Arial" w:cs="Arial"/>
        </w:rPr>
        <w:t xml:space="preserve"> Beispielsweise sind Verstöße gegen die Verarbeitung von personenbezogenen Daten betroffen. </w:t>
      </w:r>
      <w:r w:rsidR="007C1D5C">
        <w:rPr>
          <w:rFonts w:ascii="Arial" w:hAnsi="Arial" w:cs="Arial"/>
        </w:rPr>
        <w:t>Bei Unternehmen sogar 4</w:t>
      </w:r>
      <w:r w:rsidR="009A7B27">
        <w:rPr>
          <w:rFonts w:ascii="Arial" w:hAnsi="Arial" w:cs="Arial"/>
        </w:rPr>
        <w:t xml:space="preserve"> Prozent</w:t>
      </w:r>
      <w:r w:rsidR="007C1D5C">
        <w:rPr>
          <w:rFonts w:ascii="Arial" w:hAnsi="Arial" w:cs="Arial"/>
        </w:rPr>
        <w:t xml:space="preserve"> des weltweiten vergangenen Umsatzes. Bei Verstößen, die den Grad von schwerwiegenden Pflichtverletzungen nicht </w:t>
      </w:r>
      <w:r w:rsidR="00CB75C3">
        <w:rPr>
          <w:rFonts w:ascii="Arial" w:hAnsi="Arial" w:cs="Arial"/>
        </w:rPr>
        <w:t>übersteigt,</w:t>
      </w:r>
      <w:r w:rsidR="007C1D5C">
        <w:rPr>
          <w:rFonts w:ascii="Arial" w:hAnsi="Arial" w:cs="Arial"/>
        </w:rPr>
        <w:t xml:space="preserve"> können Geldbußen in der Höhe von 10</w:t>
      </w:r>
      <w:r w:rsidR="00CB75C3">
        <w:rPr>
          <w:rFonts w:ascii="Arial" w:hAnsi="Arial" w:cs="Arial"/>
        </w:rPr>
        <w:t xml:space="preserve"> </w:t>
      </w:r>
      <w:r w:rsidR="007C1D5C">
        <w:rPr>
          <w:rFonts w:ascii="Arial" w:hAnsi="Arial" w:cs="Arial"/>
        </w:rPr>
        <w:t>Mio. Euro verhängt werden, bei Unternehmen bis zu 2</w:t>
      </w:r>
      <w:r w:rsidR="009A7B27">
        <w:rPr>
          <w:rFonts w:ascii="Arial" w:hAnsi="Arial" w:cs="Arial"/>
        </w:rPr>
        <w:t xml:space="preserve"> Prozent</w:t>
      </w:r>
      <w:r w:rsidR="007C1D5C">
        <w:rPr>
          <w:rFonts w:ascii="Arial" w:hAnsi="Arial" w:cs="Arial"/>
        </w:rPr>
        <w:t xml:space="preserve"> des weltweiten Umsatzes des vergangenen Jahres.</w:t>
      </w:r>
      <w:r w:rsidR="00BF6B60">
        <w:rPr>
          <w:rStyle w:val="Funotenzeichen"/>
          <w:rFonts w:ascii="Arial" w:hAnsi="Arial" w:cs="Arial"/>
        </w:rPr>
        <w:footnoteReference w:id="53"/>
      </w:r>
      <w:r w:rsidR="007C1D5C">
        <w:rPr>
          <w:rFonts w:ascii="Arial" w:hAnsi="Arial" w:cs="Arial"/>
        </w:rPr>
        <w:t xml:space="preserve"> </w:t>
      </w:r>
    </w:p>
    <w:p w14:paraId="1D1F2A0A" w14:textId="76F96AE6" w:rsidR="00E12FF8" w:rsidRDefault="00CF3B21" w:rsidP="006C01F8">
      <w:pPr>
        <w:spacing w:line="360" w:lineRule="auto"/>
        <w:jc w:val="both"/>
        <w:rPr>
          <w:rFonts w:ascii="Arial" w:hAnsi="Arial" w:cs="Arial"/>
        </w:rPr>
      </w:pPr>
      <w:r>
        <w:rPr>
          <w:rFonts w:ascii="Arial" w:hAnsi="Arial" w:cs="Arial"/>
        </w:rPr>
        <w:t xml:space="preserve">Art. 84 DSGVO </w:t>
      </w:r>
      <w:r w:rsidR="000D4228">
        <w:rPr>
          <w:rFonts w:ascii="Arial" w:hAnsi="Arial" w:cs="Arial"/>
        </w:rPr>
        <w:t xml:space="preserve">bewegt die Mitgliedstaaten dazu, in der nationalen Gesetzgebung weitere Sanktionen zu beschließen, die nicht im Art. 83 umfasst werden. Somit steht es den Mitgliedstaaten frei zu, welche nationalen Regelungen und welchen Umfang die Sanktionen umfassen sollen. </w:t>
      </w:r>
      <w:r w:rsidR="00D35104">
        <w:rPr>
          <w:rFonts w:ascii="Arial" w:hAnsi="Arial" w:cs="Arial"/>
        </w:rPr>
        <w:t>Des Weiteren</w:t>
      </w:r>
      <w:r w:rsidR="000D4228">
        <w:rPr>
          <w:rFonts w:ascii="Arial" w:hAnsi="Arial" w:cs="Arial"/>
        </w:rPr>
        <w:t xml:space="preserve"> verfügen die Mitgliedstaaten auch das Recht in welche Höhe diese Sanktionen ausfallen können.</w:t>
      </w:r>
      <w:r w:rsidR="00F3294D">
        <w:rPr>
          <w:rStyle w:val="Funotenzeichen"/>
          <w:rFonts w:ascii="Arial" w:hAnsi="Arial" w:cs="Arial"/>
        </w:rPr>
        <w:footnoteReference w:id="54"/>
      </w:r>
      <w:r w:rsidR="000D4228">
        <w:rPr>
          <w:rFonts w:ascii="Arial" w:hAnsi="Arial" w:cs="Arial"/>
        </w:rPr>
        <w:t xml:space="preserve"> </w:t>
      </w:r>
    </w:p>
    <w:p w14:paraId="35D628B5" w14:textId="4C115A1E" w:rsidR="00112036" w:rsidRDefault="004176BB" w:rsidP="004176BB">
      <w:pPr>
        <w:pStyle w:val="berschrift1"/>
        <w:rPr>
          <w:rFonts w:ascii="Arial" w:hAnsi="Arial" w:cs="Arial"/>
        </w:rPr>
      </w:pPr>
      <w:bookmarkStart w:id="48" w:name="_Toc42089774"/>
      <w:r>
        <w:rPr>
          <w:rFonts w:ascii="Arial" w:hAnsi="Arial" w:cs="Arial"/>
        </w:rPr>
        <w:t>6 Datenschutz – Rechtsvergleich zwischen der EU und USA</w:t>
      </w:r>
      <w:bookmarkEnd w:id="48"/>
    </w:p>
    <w:p w14:paraId="1A8DE044" w14:textId="08C162F0" w:rsidR="007221B6" w:rsidRDefault="007221B6" w:rsidP="007221B6"/>
    <w:p w14:paraId="7DFD55BE" w14:textId="38C76A7B" w:rsidR="007221B6" w:rsidRDefault="007E1D9D" w:rsidP="007221B6">
      <w:pPr>
        <w:spacing w:line="360" w:lineRule="auto"/>
        <w:jc w:val="both"/>
        <w:rPr>
          <w:rFonts w:ascii="Arial" w:hAnsi="Arial" w:cs="Arial"/>
        </w:rPr>
      </w:pPr>
      <w:r>
        <w:rPr>
          <w:rFonts w:ascii="Arial" w:hAnsi="Arial" w:cs="Arial"/>
        </w:rPr>
        <w:t xml:space="preserve">Dieses Kapitel soll dazu dienen dem Leser ein praktisches Beispiel zu übermitteln und wie der Datenschutz in anderen Ländern geregelt wird. Dabei wird ein Rechtsvergleich zwischen EU und USA beschrieben. Es wird darauf eingegangen wie der Datenschutz in den USA aufgebaut und geregelt ist. Das Kapitel dient vor allem einen weiteren praktischen Bezug zur DSGVO zu geben und weiters wie fortgeschritten bereits der Datenschutz in der EU ist. </w:t>
      </w:r>
    </w:p>
    <w:p w14:paraId="554CCE58" w14:textId="16E91214" w:rsidR="007E1D9D" w:rsidRDefault="007E1D9D" w:rsidP="007221B6">
      <w:pPr>
        <w:spacing w:line="360" w:lineRule="auto"/>
        <w:jc w:val="both"/>
        <w:rPr>
          <w:rFonts w:ascii="Arial" w:hAnsi="Arial" w:cs="Arial"/>
        </w:rPr>
      </w:pPr>
      <w:r>
        <w:rPr>
          <w:rFonts w:ascii="Arial" w:hAnsi="Arial" w:cs="Arial"/>
        </w:rPr>
        <w:t>Bereits seit längerer Zeit gibt es Datenschutz-Abkommen, beispielsweise das Safe-Harbor, welches zwischen 2000 und 2015 aktiv war. Um ein gewisses Schutzniveau zu gewährleisten, regelte es die Einhaltung der Datenschutz-Grundprinzipien. Dabei mussten US-Unternehmen diese Prinzipien anerkennen und die Daten entsprechend der Regelungen der EU verarbeiten. Nach 2015 wurde das „Privacy Shield“ eingeführt. Dies regelt personenbezogene Daten DSGVO-konform an amerikanische Unternehmen zu übermitteln. Ein weiterer Aspekt der im „Privacy Shield“ eingeführt wurde, sind die Sanktionen, die erhoben werden können. Europäische Bürger haben zudem dieselben Rechte wie bei den Regelungen der DSGVO. Daher haben sie das Recht auf Information, Löschung Auskunft, etc. Zudem wurde auch die Möglichkeit einer Beschwerde bei Verstößen eingerichtet.</w:t>
      </w:r>
      <w:r w:rsidR="002369A9">
        <w:rPr>
          <w:rFonts w:ascii="Arial" w:hAnsi="Arial" w:cs="Arial"/>
        </w:rPr>
        <w:t xml:space="preserve"> Obwohl beim Abkommen „Privacy </w:t>
      </w:r>
      <w:r w:rsidR="002369A9">
        <w:rPr>
          <w:rFonts w:ascii="Arial" w:hAnsi="Arial" w:cs="Arial"/>
        </w:rPr>
        <w:lastRenderedPageBreak/>
        <w:t>Shield“ einige DSGVO-Aspekte übernommen wurden, gibt es einige Kritikpunkte. Ein sehr großer Kritikpunkt ist, dass US-Behörden auf Daten von europäischen Bürgern zugreifen können. Dafür gibt es auch keinen Schutz, sondern nur vorgeschriebene Regelungen</w:t>
      </w:r>
      <w:r w:rsidR="008F3E1F">
        <w:rPr>
          <w:rFonts w:ascii="Arial" w:hAnsi="Arial" w:cs="Arial"/>
        </w:rPr>
        <w:t>, die willkürliche Zugriffe seitens der US-Behörden verhindern sollen.</w:t>
      </w:r>
      <w:r w:rsidR="00867857">
        <w:rPr>
          <w:rFonts w:ascii="Arial" w:hAnsi="Arial" w:cs="Arial"/>
        </w:rPr>
        <w:t xml:space="preserve"> Es wurden aber bereits seitens der EU-Kommission Beschränkungen und weitere Kontrollen </w:t>
      </w:r>
      <w:r w:rsidR="008B05E2">
        <w:rPr>
          <w:rFonts w:ascii="Arial" w:hAnsi="Arial" w:cs="Arial"/>
        </w:rPr>
        <w:t xml:space="preserve">für den Schutz personenbezogener Daten von EU-Bürgern </w:t>
      </w:r>
      <w:r w:rsidR="00867857">
        <w:rPr>
          <w:rFonts w:ascii="Arial" w:hAnsi="Arial" w:cs="Arial"/>
        </w:rPr>
        <w:t>eingeführt.</w:t>
      </w:r>
      <w:r w:rsidR="00095754">
        <w:rPr>
          <w:rStyle w:val="Funotenzeichen"/>
          <w:rFonts w:ascii="Arial" w:hAnsi="Arial" w:cs="Arial"/>
        </w:rPr>
        <w:footnoteReference w:id="55"/>
      </w:r>
      <w:r w:rsidR="002369A9">
        <w:rPr>
          <w:rFonts w:ascii="Arial" w:hAnsi="Arial" w:cs="Arial"/>
        </w:rPr>
        <w:t xml:space="preserve"> </w:t>
      </w:r>
    </w:p>
    <w:p w14:paraId="57FD9F7C" w14:textId="6DC63777" w:rsidR="002523BF" w:rsidRDefault="00E341F8" w:rsidP="00150D21">
      <w:pPr>
        <w:spacing w:line="360" w:lineRule="auto"/>
        <w:jc w:val="both"/>
        <w:rPr>
          <w:rFonts w:ascii="Arial" w:hAnsi="Arial" w:cs="Arial"/>
        </w:rPr>
      </w:pPr>
      <w:r>
        <w:rPr>
          <w:rFonts w:ascii="Arial" w:hAnsi="Arial" w:cs="Arial"/>
        </w:rPr>
        <w:t>Grundsätzlich gibt es in den USA keine einheitliche</w:t>
      </w:r>
      <w:r w:rsidR="00A73577">
        <w:rPr>
          <w:rFonts w:ascii="Arial" w:hAnsi="Arial" w:cs="Arial"/>
        </w:rPr>
        <w:t>n</w:t>
      </w:r>
      <w:r>
        <w:rPr>
          <w:rFonts w:ascii="Arial" w:hAnsi="Arial" w:cs="Arial"/>
        </w:rPr>
        <w:t xml:space="preserve"> Regelungen für den Datenschutz wie in der EU. Es gibt vereinzelte Regelungen und Gesetze in den verschiedenen Bereichen (Wirtschaft, Finanzen, Gesundheitswesen). </w:t>
      </w:r>
      <w:r w:rsidR="00CE203A">
        <w:rPr>
          <w:rFonts w:ascii="Arial" w:hAnsi="Arial" w:cs="Arial"/>
        </w:rPr>
        <w:t xml:space="preserve">Ein zusätzlicher Aspekt ist Unternehmen können ein eigenes Datenschutzniveau in deren Prozesse integrieren. </w:t>
      </w:r>
      <w:r w:rsidR="005A2311">
        <w:rPr>
          <w:rFonts w:ascii="Arial" w:hAnsi="Arial" w:cs="Arial"/>
        </w:rPr>
        <w:t>In der Verfassung der USA ist lediglich der Schutz der Person definiert, aber nicht der Schutz der Privatsphäre. Somit gibt es in den jeweiligen Bundesstaaten ein zusätzliches Verfassungsgesetz, in dem der Schutz der Privatsphäre verankert wurde. Der Schutz der personenbezogenen Daten unterliegen dem Privacy Act</w:t>
      </w:r>
      <w:r w:rsidR="00D63578">
        <w:rPr>
          <w:rFonts w:ascii="Arial" w:hAnsi="Arial" w:cs="Arial"/>
        </w:rPr>
        <w:t xml:space="preserve">, welcher vom Staat überwacht wird. </w:t>
      </w:r>
      <w:r w:rsidR="00150D21">
        <w:rPr>
          <w:rFonts w:ascii="Arial" w:hAnsi="Arial" w:cs="Arial"/>
        </w:rPr>
        <w:t xml:space="preserve">US-Bürger haben die Möglichkeit bei Verletzungen der Privatsphäre oder Missachtung der Regelungen sich auf dieses Gesetz zu berufen. Dieser Rechtsbehelf muss aber einige Kriterien erfüllen, bevor eine Klage erhoben werden kann. Die Behörde muss vorsätzlich und bewusst einen Nachteil für den US-Bürger herbeigeführt haben. Dies ist teilweise kaum möglich nachzuweisen. </w:t>
      </w:r>
      <w:r w:rsidR="002523BF">
        <w:rPr>
          <w:rFonts w:ascii="Arial" w:hAnsi="Arial" w:cs="Arial"/>
        </w:rPr>
        <w:t xml:space="preserve">Im Vergleich zur DSGVO gibt es in den USA keine </w:t>
      </w:r>
      <w:r w:rsidR="006C152C">
        <w:rPr>
          <w:rFonts w:ascii="Arial" w:hAnsi="Arial" w:cs="Arial"/>
        </w:rPr>
        <w:t>Grundprinzipien, auf denen ein Datenschutz aufgebaut ist.</w:t>
      </w:r>
      <w:r w:rsidR="003C1450">
        <w:rPr>
          <w:rFonts w:ascii="Arial" w:hAnsi="Arial" w:cs="Arial"/>
        </w:rPr>
        <w:t xml:space="preserve"> </w:t>
      </w:r>
      <w:r w:rsidR="006C152C">
        <w:rPr>
          <w:rFonts w:ascii="Arial" w:hAnsi="Arial" w:cs="Arial"/>
        </w:rPr>
        <w:t xml:space="preserve">Folglich können die Daten flexibler verarbeitet werden. </w:t>
      </w:r>
      <w:r w:rsidR="002A75DA">
        <w:rPr>
          <w:rFonts w:ascii="Arial" w:hAnsi="Arial" w:cs="Arial"/>
        </w:rPr>
        <w:t>Zudem wurde bei Privacy Act keine Kontrollbehörde eingerichtet, sondern Aufsichtsbehörden, welche aber teilweise keine Sanktionen oder Kontrollen durchführen können.</w:t>
      </w:r>
      <w:r w:rsidR="002E59E1">
        <w:rPr>
          <w:rFonts w:ascii="Arial" w:hAnsi="Arial" w:cs="Arial"/>
        </w:rPr>
        <w:t xml:space="preserve"> In den USA fehlt es daher an einer unabhängigen Kontrollbehörde und gewisse Grundprinzipien, beispielsweise das Prinzip der Zweckbindung. In den USA können diese Daten auch für weitere Zwecke genutzt werden.</w:t>
      </w:r>
      <w:r w:rsidR="004C0948">
        <w:rPr>
          <w:rStyle w:val="Funotenzeichen"/>
          <w:rFonts w:ascii="Arial" w:hAnsi="Arial" w:cs="Arial"/>
        </w:rPr>
        <w:footnoteReference w:id="56"/>
      </w:r>
      <w:r w:rsidR="002E59E1">
        <w:rPr>
          <w:rFonts w:ascii="Arial" w:hAnsi="Arial" w:cs="Arial"/>
        </w:rPr>
        <w:t xml:space="preserve"> </w:t>
      </w:r>
    </w:p>
    <w:p w14:paraId="248CB623" w14:textId="01FEB5F5" w:rsidR="003A0170" w:rsidRPr="00150D21" w:rsidRDefault="003A0170" w:rsidP="00150D21">
      <w:pPr>
        <w:spacing w:line="360" w:lineRule="auto"/>
        <w:jc w:val="both"/>
        <w:rPr>
          <w:rFonts w:ascii="Arial" w:hAnsi="Arial" w:cs="Arial"/>
        </w:rPr>
      </w:pPr>
      <w:r>
        <w:rPr>
          <w:rFonts w:ascii="Arial" w:hAnsi="Arial" w:cs="Arial"/>
        </w:rPr>
        <w:t>Es ist also erkennbar, in der EU ist die DSGVO an die Grund</w:t>
      </w:r>
      <w:r w:rsidR="0028145D">
        <w:rPr>
          <w:rFonts w:ascii="Arial" w:hAnsi="Arial" w:cs="Arial"/>
        </w:rPr>
        <w:t xml:space="preserve">rechte </w:t>
      </w:r>
      <w:r>
        <w:rPr>
          <w:rFonts w:ascii="Arial" w:hAnsi="Arial" w:cs="Arial"/>
        </w:rPr>
        <w:t xml:space="preserve">verbunden. In den USA wiederum können Behörden ohne richterlichen Beschluss auf die Daten von US-Bürgern zugreifen. In den USA wird zudem der Datenschutz </w:t>
      </w:r>
      <w:r w:rsidR="009C12C6">
        <w:rPr>
          <w:rFonts w:ascii="Arial" w:hAnsi="Arial" w:cs="Arial"/>
        </w:rPr>
        <w:t>für verschiedene Bereiche des Lebens unterschiedlich geregelt</w:t>
      </w:r>
      <w:r w:rsidR="00EF05D0">
        <w:rPr>
          <w:rFonts w:ascii="Arial" w:hAnsi="Arial" w:cs="Arial"/>
        </w:rPr>
        <w:t xml:space="preserve">. </w:t>
      </w:r>
    </w:p>
    <w:p w14:paraId="64E6F5A6" w14:textId="77777777" w:rsidR="00823DB9" w:rsidRDefault="00823DB9">
      <w:pPr>
        <w:rPr>
          <w:rFonts w:ascii="Arial" w:eastAsiaTheme="majorEastAsia" w:hAnsi="Arial" w:cs="Arial"/>
          <w:color w:val="2F5496" w:themeColor="accent1" w:themeShade="BF"/>
          <w:sz w:val="32"/>
          <w:szCs w:val="32"/>
        </w:rPr>
      </w:pPr>
      <w:r>
        <w:rPr>
          <w:rFonts w:ascii="Arial" w:hAnsi="Arial" w:cs="Arial"/>
        </w:rPr>
        <w:br w:type="page"/>
      </w:r>
    </w:p>
    <w:p w14:paraId="198FD46D" w14:textId="105696E1" w:rsidR="00D35104" w:rsidRDefault="004176BB" w:rsidP="00C503B3">
      <w:pPr>
        <w:pStyle w:val="berschrift1"/>
        <w:rPr>
          <w:rFonts w:ascii="Arial" w:hAnsi="Arial" w:cs="Arial"/>
        </w:rPr>
      </w:pPr>
      <w:bookmarkStart w:id="49" w:name="_Toc42089775"/>
      <w:r>
        <w:rPr>
          <w:rFonts w:ascii="Arial" w:hAnsi="Arial" w:cs="Arial"/>
        </w:rPr>
        <w:lastRenderedPageBreak/>
        <w:t>7</w:t>
      </w:r>
      <w:r w:rsidR="00C503B3">
        <w:rPr>
          <w:rFonts w:ascii="Arial" w:hAnsi="Arial" w:cs="Arial"/>
        </w:rPr>
        <w:t xml:space="preserve"> Zusammenfassung und Fazit</w:t>
      </w:r>
      <w:bookmarkEnd w:id="49"/>
    </w:p>
    <w:p w14:paraId="1CE6D288" w14:textId="5E277955" w:rsidR="00C503B3" w:rsidRDefault="00C503B3" w:rsidP="00C503B3"/>
    <w:p w14:paraId="2B66881F" w14:textId="3D530545" w:rsidR="00C503B3" w:rsidRDefault="009C4BEB" w:rsidP="007767F0">
      <w:pPr>
        <w:spacing w:line="360" w:lineRule="auto"/>
        <w:jc w:val="both"/>
        <w:rPr>
          <w:rFonts w:ascii="Arial" w:hAnsi="Arial" w:cs="Arial"/>
        </w:rPr>
      </w:pPr>
      <w:r>
        <w:rPr>
          <w:rFonts w:ascii="Arial" w:hAnsi="Arial" w:cs="Arial"/>
        </w:rPr>
        <w:t xml:space="preserve">Das wesentliche Ziel ist es eine Harmonisierung des Datenschutzes auf europäischer Niveau zu schaffen. Dies wird durch die Bestärkung der privaten Nutzer erfüllt, die Verarbeitung von Daten soll transparenter werden und die betroffenen Personen haben mehr Rechte über deren Verarbeitung der Daten. Dies erfolgt durch datenschutzfreundliche Einstellungen und moderne technische Gestaltung. Durch die neuen Vorgaben der DSGVO gibt es auch für Verantwortliche große Herausforderungen zu meistern, insbesondere für KMUs diese Vorgaben in die internen Prozesse des Unternehmens miteinzubauen. </w:t>
      </w:r>
      <w:r w:rsidR="00492F28">
        <w:rPr>
          <w:rFonts w:ascii="Arial" w:hAnsi="Arial" w:cs="Arial"/>
        </w:rPr>
        <w:t>Obwohl ein einheitliches Datenschutzniveau eingeführt wurde, gibt es in einzelnen Bereichen de</w:t>
      </w:r>
      <w:r w:rsidR="0041499B">
        <w:rPr>
          <w:rFonts w:ascii="Arial" w:hAnsi="Arial" w:cs="Arial"/>
        </w:rPr>
        <w:t>r</w:t>
      </w:r>
      <w:r w:rsidR="00492F28">
        <w:rPr>
          <w:rFonts w:ascii="Arial" w:hAnsi="Arial" w:cs="Arial"/>
        </w:rPr>
        <w:t xml:space="preserve"> DSGVO noch immer nationale Bestimmungen, bei denen der Staat den Umfang der Regelungen bestimmen kann. Durch die Sanktionen wurde aber ein deutliches Zeichen für ein einheitliches Niveau gesetzt. </w:t>
      </w:r>
      <w:r w:rsidR="0041499B">
        <w:rPr>
          <w:rFonts w:ascii="Arial" w:hAnsi="Arial" w:cs="Arial"/>
        </w:rPr>
        <w:t xml:space="preserve">Aber auch die Bereiche abzudecken, wie Online-Marketing oder Big Data, sollte die DSGVO stets weiterentwickelt werden. Nur durch diese Entwicklung, Harmonisierung und Transparenz können die Daten von natürlichen Personen geschützt werden bzw. darüber hinaus von den Nutzern bestimmt werden, welche Daten und wie lange diese gespeichert werden dürfen. </w:t>
      </w:r>
      <w:r w:rsidR="00F33283">
        <w:rPr>
          <w:rFonts w:ascii="Arial" w:hAnsi="Arial" w:cs="Arial"/>
        </w:rPr>
        <w:t xml:space="preserve">Dies wurde aber durch die Einwilligung zur Verarbeitung von Daten bereits grundlegend eingeführt. Es sollte weiterhin genauer konkretisiert werden und dem Nutzer weitere Möglichkeiten geben. </w:t>
      </w:r>
      <w:r w:rsidR="009E2BBF">
        <w:rPr>
          <w:rFonts w:ascii="Arial" w:hAnsi="Arial" w:cs="Arial"/>
        </w:rPr>
        <w:t>Zudem sollten einige Artikel</w:t>
      </w:r>
      <w:r w:rsidR="00BF1CA4">
        <w:rPr>
          <w:rFonts w:ascii="Arial" w:hAnsi="Arial" w:cs="Arial"/>
        </w:rPr>
        <w:t xml:space="preserve"> der DSGVO</w:t>
      </w:r>
      <w:r w:rsidR="009E2BBF">
        <w:rPr>
          <w:rFonts w:ascii="Arial" w:hAnsi="Arial" w:cs="Arial"/>
        </w:rPr>
        <w:t xml:space="preserve"> konkretisiert werden, da diese oft sehr abstrakt formuliert wurden und in den jeweiligen Mitgliedstaaten unterschiedlich interpretiert werden. </w:t>
      </w:r>
    </w:p>
    <w:p w14:paraId="44AF410B" w14:textId="6D2875E7" w:rsidR="0062032B" w:rsidRDefault="00BC34C4" w:rsidP="007767F0">
      <w:pPr>
        <w:spacing w:line="360" w:lineRule="auto"/>
        <w:jc w:val="both"/>
        <w:rPr>
          <w:rFonts w:ascii="Arial" w:hAnsi="Arial" w:cs="Arial"/>
        </w:rPr>
      </w:pPr>
      <w:r>
        <w:rPr>
          <w:rFonts w:ascii="Arial" w:hAnsi="Arial" w:cs="Arial"/>
        </w:rPr>
        <w:t>Natürliche Personen haben somit die Möglichkeit über deren Daten zu verfügen und können nahezu selbstbestimmen, welche Daten gesehen werden dürfe</w:t>
      </w:r>
      <w:r w:rsidR="00694F0D">
        <w:rPr>
          <w:rFonts w:ascii="Arial" w:hAnsi="Arial" w:cs="Arial"/>
        </w:rPr>
        <w:t>n</w:t>
      </w:r>
      <w:r>
        <w:rPr>
          <w:rFonts w:ascii="Arial" w:hAnsi="Arial" w:cs="Arial"/>
        </w:rPr>
        <w:t xml:space="preserve">, ob sie gespeichert werden und wie lange. Die schafft wie bereits oben beschrieben eine Transparenz. Für Verantwortliche birgt dies Herausforderungen diese Vorgaben umzusetzen. Es wird also von Verantwortliche verlangt personenbezogenen Daten nach den Prinzipien der DSGVO zu schützen und verarbeiten. Für Unternehmen, die einige Online-Marketinginstrumente oder Big Data anwenden, dürfen Daten bzw. Informationen nur für gewisse Zwecke genutzt werden, sofern der Nutzer dieser Verarbeitung einwilligt. Dies macht es für Unternehmen umso schwieriger wesentliche Daten zu sammeln. Somit profitieren die privaten Nutzer aus diesen Bestimmungen. </w:t>
      </w:r>
    </w:p>
    <w:p w14:paraId="1B537021" w14:textId="77777777" w:rsidR="00B90915" w:rsidRDefault="003610B0" w:rsidP="007767F0">
      <w:pPr>
        <w:spacing w:line="360" w:lineRule="auto"/>
        <w:jc w:val="both"/>
        <w:rPr>
          <w:rFonts w:ascii="Arial" w:hAnsi="Arial" w:cs="Arial"/>
        </w:rPr>
      </w:pPr>
      <w:r>
        <w:rPr>
          <w:rFonts w:ascii="Arial" w:hAnsi="Arial" w:cs="Arial"/>
        </w:rPr>
        <w:t xml:space="preserve">Besonders im Bereich Big Data werden zukünftig weitere Fragen aufkommen, die es zu regeln gibt, da immer mehr Unternehmen Big Data anwenden. Big Data und die Prinzipien widersprechen sich in vielerlei Hinsichten, beispielsweise die </w:t>
      </w:r>
      <w:r w:rsidR="005A4916">
        <w:rPr>
          <w:rFonts w:ascii="Arial" w:hAnsi="Arial" w:cs="Arial"/>
        </w:rPr>
        <w:t>Datenminimierung. Unternehmen sollten Daten ohne Personenbezug sammeln, dies erfolgt durch die Anonymisierung der Daten. Unternehmen können somit diese Daten analysieren und</w:t>
      </w:r>
      <w:r w:rsidR="00AA5053">
        <w:rPr>
          <w:rFonts w:ascii="Arial" w:hAnsi="Arial" w:cs="Arial"/>
        </w:rPr>
        <w:t xml:space="preserve"> weitere </w:t>
      </w:r>
      <w:r w:rsidR="00AA5053">
        <w:rPr>
          <w:rFonts w:ascii="Arial" w:hAnsi="Arial" w:cs="Arial"/>
        </w:rPr>
        <w:lastRenderedPageBreak/>
        <w:t>Prognosen erstellen, folglich auch die Vorgaben der DSGVO einzuhalten</w:t>
      </w:r>
      <w:r w:rsidR="00473DFF">
        <w:rPr>
          <w:rFonts w:ascii="Arial" w:hAnsi="Arial" w:cs="Arial"/>
        </w:rPr>
        <w:t xml:space="preserve">. </w:t>
      </w:r>
      <w:r w:rsidR="00B90915">
        <w:rPr>
          <w:rFonts w:ascii="Arial" w:hAnsi="Arial" w:cs="Arial"/>
        </w:rPr>
        <w:t>Dasselbe</w:t>
      </w:r>
      <w:r w:rsidR="00291339">
        <w:rPr>
          <w:rFonts w:ascii="Arial" w:hAnsi="Arial" w:cs="Arial"/>
        </w:rPr>
        <w:t xml:space="preserve"> Prinzip gilt für die Anwendung für Google Analytics, obwohl dieses Tool weitere Anpassungen an der Website </w:t>
      </w:r>
      <w:r w:rsidR="00B90915">
        <w:rPr>
          <w:rFonts w:ascii="Arial" w:hAnsi="Arial" w:cs="Arial"/>
        </w:rPr>
        <w:t xml:space="preserve">voraussetzt. </w:t>
      </w:r>
    </w:p>
    <w:p w14:paraId="30D9D270" w14:textId="65A6DE02" w:rsidR="008847BD" w:rsidRDefault="00B90915" w:rsidP="007767F0">
      <w:pPr>
        <w:spacing w:line="360" w:lineRule="auto"/>
        <w:jc w:val="both"/>
        <w:rPr>
          <w:rFonts w:ascii="Arial" w:hAnsi="Arial" w:cs="Arial"/>
        </w:rPr>
      </w:pPr>
      <w:r>
        <w:rPr>
          <w:rFonts w:ascii="Arial" w:hAnsi="Arial" w:cs="Arial"/>
        </w:rPr>
        <w:t>Obwohl einige Aspekte der DSGVO für die zukünftige Entwicklung weiterhin angepasst werden muss und auch in einzelnen Bereichen ein einheitliches Datenschutzniveau verlangt wird, ist der Datenschutz in der EU auf einem sehr viel höheren Niveau als in den USA oder in asiatischen Ländern. Das Ziel der DSGVO wird erfüllt und die geltenden Regeln gewährleisten auch zum größten Teil einen Schutz für europäische Bürger. Unternehmen haben die Möglichkeit durch die Transparenz der Verarbeitung von Daten ein Vertrauen zu ihren Kunden aufzubauen. Kunden wiederum haben somit eine Möglichkeit in die Verarbeitung der Daten teilweise zu bestimmen, welche Daten verarbeitet werden. Es liegt also im Interesse aller Marktteilnehmer, sowohl die Verantwortlichen als auch die Bürger der Mitgliedsstaaten die Vorgaben der DSGVO einzuhalten. Die Grundlagen der DSGVO wurden bereits in die richtige Richtung gelenkt, es fehlt teilweise noch der Feinschliff und die Konkretisierung einiger Vorgaben, insbesondere von personenbezogenen Daten und deren Kategorien. Weiters sollte die DSGVO kontinuierlich weiterentwickelt werden und an den technologischen Fortschritt angepasst werden.</w:t>
      </w:r>
      <w:r w:rsidR="009C1BB9">
        <w:rPr>
          <w:rFonts w:ascii="Arial" w:hAnsi="Arial" w:cs="Arial"/>
        </w:rPr>
        <w:t xml:space="preserve"> </w:t>
      </w:r>
    </w:p>
    <w:p w14:paraId="4D9FD974" w14:textId="77777777" w:rsidR="003A0170" w:rsidRPr="00C503B3" w:rsidRDefault="003A0170" w:rsidP="007767F0">
      <w:pPr>
        <w:spacing w:line="360" w:lineRule="auto"/>
        <w:jc w:val="both"/>
        <w:rPr>
          <w:rFonts w:ascii="Arial" w:hAnsi="Arial" w:cs="Arial"/>
        </w:rPr>
      </w:pPr>
    </w:p>
    <w:p w14:paraId="67AD409A" w14:textId="102BA77C" w:rsidR="00AD1A46" w:rsidRDefault="00AD1A46">
      <w:pPr>
        <w:rPr>
          <w:rFonts w:ascii="Arial" w:eastAsiaTheme="majorEastAsia" w:hAnsi="Arial" w:cs="Arial"/>
          <w:color w:val="2F5496" w:themeColor="accent1" w:themeShade="BF"/>
          <w:sz w:val="32"/>
          <w:szCs w:val="32"/>
        </w:rPr>
      </w:pPr>
      <w:r>
        <w:rPr>
          <w:rFonts w:ascii="Arial" w:hAnsi="Arial" w:cs="Arial"/>
        </w:rPr>
        <w:br w:type="page"/>
      </w:r>
    </w:p>
    <w:p w14:paraId="0CF1378D" w14:textId="2728EA32" w:rsidR="00BF7D4E" w:rsidRPr="00B64117" w:rsidRDefault="00BF7D4E" w:rsidP="00BF7D4E">
      <w:pPr>
        <w:pStyle w:val="berschrift1"/>
        <w:rPr>
          <w:rFonts w:ascii="Arial" w:hAnsi="Arial" w:cs="Arial"/>
        </w:rPr>
      </w:pPr>
      <w:bookmarkStart w:id="50" w:name="_Toc42089776"/>
      <w:r w:rsidRPr="00B64117">
        <w:rPr>
          <w:rFonts w:ascii="Arial" w:hAnsi="Arial" w:cs="Arial"/>
        </w:rPr>
        <w:lastRenderedPageBreak/>
        <w:t>Literaturverzeichnis</w:t>
      </w:r>
      <w:bookmarkEnd w:id="50"/>
    </w:p>
    <w:p w14:paraId="12A35929" w14:textId="1FA028CD" w:rsidR="00BF7D4E" w:rsidRDefault="00BF7D4E" w:rsidP="00BF7D4E"/>
    <w:p w14:paraId="79107CA7" w14:textId="5DDAC1EF" w:rsidR="002477BB" w:rsidRPr="00563B1B" w:rsidRDefault="002477BB" w:rsidP="00BF7D4E">
      <w:pPr>
        <w:rPr>
          <w:rFonts w:ascii="Arial" w:hAnsi="Arial" w:cs="Arial"/>
          <w:b/>
          <w:bCs/>
          <w:sz w:val="24"/>
          <w:szCs w:val="24"/>
          <w:u w:val="single"/>
        </w:rPr>
      </w:pPr>
      <w:proofErr w:type="spellStart"/>
      <w:r w:rsidRPr="00563B1B">
        <w:rPr>
          <w:rFonts w:ascii="Arial" w:hAnsi="Arial" w:cs="Arial"/>
          <w:b/>
          <w:bCs/>
          <w:sz w:val="24"/>
          <w:szCs w:val="24"/>
          <w:u w:val="single"/>
        </w:rPr>
        <w:t>Websiten</w:t>
      </w:r>
      <w:proofErr w:type="spellEnd"/>
    </w:p>
    <w:p w14:paraId="2C4EE8A2" w14:textId="20A1E42E" w:rsidR="00272528" w:rsidRPr="00563B1B" w:rsidRDefault="00272528" w:rsidP="00BF7D4E">
      <w:pPr>
        <w:rPr>
          <w:rFonts w:ascii="Calibri" w:hAnsi="Calibri" w:cs="Calibri"/>
          <w:color w:val="000000"/>
          <w:shd w:val="clear" w:color="auto" w:fill="FFFFFF"/>
        </w:rPr>
      </w:pPr>
      <w:proofErr w:type="spellStart"/>
      <w:r w:rsidRPr="00563B1B">
        <w:rPr>
          <w:rFonts w:ascii="Calibri" w:hAnsi="Calibri" w:cs="Calibri"/>
          <w:color w:val="000000"/>
          <w:shd w:val="clear" w:color="auto" w:fill="FFFFFF"/>
        </w:rPr>
        <w:t>Adorga</w:t>
      </w:r>
      <w:proofErr w:type="spellEnd"/>
      <w:r w:rsidRPr="00563B1B">
        <w:rPr>
          <w:rFonts w:ascii="Calibri" w:hAnsi="Calibri" w:cs="Calibri"/>
          <w:color w:val="000000"/>
          <w:shd w:val="clear" w:color="auto" w:fill="FFFFFF"/>
        </w:rPr>
        <w:t xml:space="preserve"> Solutions. (2019, April 30). Die DSGVO – Struktur und Aufbau. Abgerufen 17. März 2020, von </w:t>
      </w:r>
      <w:hyperlink r:id="rId18" w:history="1">
        <w:r w:rsidRPr="00563B1B">
          <w:rPr>
            <w:rStyle w:val="Hyperlink"/>
            <w:rFonts w:ascii="Calibri" w:hAnsi="Calibri" w:cs="Calibri"/>
            <w:shd w:val="clear" w:color="auto" w:fill="FFFFFF"/>
          </w:rPr>
          <w:t>https://www.adorgasolutions.de/dsgvo-struktur-und-aufbau/</w:t>
        </w:r>
      </w:hyperlink>
      <w:r w:rsidRPr="00563B1B">
        <w:rPr>
          <w:rFonts w:ascii="Calibri" w:hAnsi="Calibri" w:cs="Calibri"/>
          <w:color w:val="000000"/>
          <w:shd w:val="clear" w:color="auto" w:fill="FFFFFF"/>
        </w:rPr>
        <w:t xml:space="preserve"> </w:t>
      </w:r>
    </w:p>
    <w:p w14:paraId="7DBB7014" w14:textId="1F879D50" w:rsidR="006E1106" w:rsidRPr="00563B1B" w:rsidRDefault="006E1106" w:rsidP="00BF7D4E">
      <w:pPr>
        <w:rPr>
          <w:rFonts w:ascii="Calibri" w:hAnsi="Calibri" w:cs="Calibri"/>
          <w:color w:val="000000"/>
          <w:shd w:val="clear" w:color="auto" w:fill="FFFFFF"/>
        </w:rPr>
      </w:pPr>
      <w:r w:rsidRPr="00563B1B">
        <w:rPr>
          <w:rFonts w:ascii="Calibri" w:hAnsi="Calibri" w:cs="Calibri"/>
          <w:color w:val="000000"/>
          <w:shd w:val="clear" w:color="auto" w:fill="FFFFFF"/>
        </w:rPr>
        <w:t xml:space="preserve">Arge </w:t>
      </w:r>
      <w:proofErr w:type="gramStart"/>
      <w:r w:rsidRPr="00563B1B">
        <w:rPr>
          <w:rFonts w:ascii="Calibri" w:hAnsi="Calibri" w:cs="Calibri"/>
          <w:color w:val="000000"/>
          <w:shd w:val="clear" w:color="auto" w:fill="FFFFFF"/>
        </w:rPr>
        <w:t>Daten .</w:t>
      </w:r>
      <w:proofErr w:type="gramEnd"/>
      <w:r w:rsidRPr="00563B1B">
        <w:rPr>
          <w:rFonts w:ascii="Calibri" w:hAnsi="Calibri" w:cs="Calibri"/>
          <w:color w:val="000000"/>
          <w:shd w:val="clear" w:color="auto" w:fill="FFFFFF"/>
        </w:rPr>
        <w:t xml:space="preserve"> (o. J.). Auskunftsrecht gemäß Datenschutz-Grundverordnung (DSGVO). Abgerufen 18. März 2020, von </w:t>
      </w:r>
      <w:hyperlink r:id="rId19" w:history="1">
        <w:r w:rsidRPr="00563B1B">
          <w:rPr>
            <w:rStyle w:val="Hyperlink"/>
            <w:rFonts w:ascii="Calibri" w:hAnsi="Calibri" w:cs="Calibri"/>
            <w:shd w:val="clear" w:color="auto" w:fill="FFFFFF"/>
          </w:rPr>
          <w:t>http://www.argedaten.at/php/cms_monitor.php?q=PUB-TEXT-ARGEDATEN&amp;s=00029jsn</w:t>
        </w:r>
      </w:hyperlink>
      <w:r w:rsidRPr="00563B1B">
        <w:rPr>
          <w:rFonts w:ascii="Calibri" w:hAnsi="Calibri" w:cs="Calibri"/>
          <w:color w:val="000000"/>
          <w:shd w:val="clear" w:color="auto" w:fill="FFFFFF"/>
        </w:rPr>
        <w:t xml:space="preserve"> </w:t>
      </w:r>
    </w:p>
    <w:p w14:paraId="30AAD710" w14:textId="104EB721" w:rsidR="002F34F0" w:rsidRPr="00563B1B" w:rsidRDefault="002F34F0" w:rsidP="00BF7D4E">
      <w:pPr>
        <w:rPr>
          <w:rFonts w:ascii="Arial" w:hAnsi="Arial" w:cs="Arial"/>
          <w:sz w:val="24"/>
          <w:szCs w:val="24"/>
        </w:rPr>
      </w:pPr>
      <w:r w:rsidRPr="00563B1B">
        <w:rPr>
          <w:rFonts w:ascii="Calibri" w:hAnsi="Calibri" w:cs="Calibri"/>
          <w:color w:val="000000"/>
          <w:shd w:val="clear" w:color="auto" w:fill="FFFFFF"/>
        </w:rPr>
        <w:t xml:space="preserve">Was sind Cookies und wie löscht man sie? (o. J.). Abgerufen 20. März 2020, von </w:t>
      </w:r>
      <w:hyperlink r:id="rId20" w:history="1">
        <w:r w:rsidRPr="00563B1B">
          <w:rPr>
            <w:rStyle w:val="Hyperlink"/>
            <w:rFonts w:ascii="Calibri" w:hAnsi="Calibri" w:cs="Calibri"/>
            <w:shd w:val="clear" w:color="auto" w:fill="FFFFFF"/>
          </w:rPr>
          <w:t>https://www.onlinekosten.de/internet/cookies/</w:t>
        </w:r>
      </w:hyperlink>
      <w:r w:rsidRPr="00563B1B">
        <w:rPr>
          <w:rFonts w:ascii="Calibri" w:hAnsi="Calibri" w:cs="Calibri"/>
          <w:color w:val="000000"/>
          <w:shd w:val="clear" w:color="auto" w:fill="FFFFFF"/>
        </w:rPr>
        <w:t xml:space="preserve"> </w:t>
      </w:r>
    </w:p>
    <w:p w14:paraId="5D70B27E" w14:textId="0A4642C7" w:rsidR="005F6864" w:rsidRPr="00563B1B" w:rsidRDefault="005F6864" w:rsidP="002477BB">
      <w:pPr>
        <w:rPr>
          <w:rFonts w:ascii="Arial" w:hAnsi="Arial" w:cs="Arial"/>
          <w:sz w:val="20"/>
          <w:szCs w:val="20"/>
        </w:rPr>
      </w:pPr>
      <w:r w:rsidRPr="00563B1B">
        <w:rPr>
          <w:rFonts w:ascii="Calibri" w:hAnsi="Calibri" w:cs="Calibri"/>
          <w:color w:val="000000"/>
          <w:shd w:val="clear" w:color="auto" w:fill="FFFFFF"/>
        </w:rPr>
        <w:t xml:space="preserve">Deutscher. (2019, Dezember 20). Google Analytics &amp; DSGVO: Das gibt es zu beachten. Abgerufen 25. März 2020, von </w:t>
      </w:r>
      <w:hyperlink r:id="rId21" w:history="1">
        <w:r w:rsidRPr="00563B1B">
          <w:rPr>
            <w:rStyle w:val="Hyperlink"/>
            <w:rFonts w:ascii="Calibri" w:hAnsi="Calibri" w:cs="Calibri"/>
            <w:shd w:val="clear" w:color="auto" w:fill="FFFFFF"/>
          </w:rPr>
          <w:t>https://www.clickeffect.de/google-analytics-dsgvo-konform-einbinden/</w:t>
        </w:r>
      </w:hyperlink>
      <w:r w:rsidRPr="00563B1B">
        <w:rPr>
          <w:rFonts w:ascii="Calibri" w:hAnsi="Calibri" w:cs="Calibri"/>
          <w:color w:val="000000"/>
          <w:shd w:val="clear" w:color="auto" w:fill="FFFFFF"/>
        </w:rPr>
        <w:t xml:space="preserve"> </w:t>
      </w:r>
    </w:p>
    <w:p w14:paraId="4AE398C3" w14:textId="20CD22CC" w:rsidR="002477BB" w:rsidRPr="00563B1B" w:rsidRDefault="002477BB" w:rsidP="002477BB">
      <w:r w:rsidRPr="00563B1B">
        <w:rPr>
          <w:rFonts w:ascii="Arial" w:hAnsi="Arial" w:cs="Arial"/>
          <w:sz w:val="20"/>
          <w:szCs w:val="20"/>
        </w:rPr>
        <w:t>DSGVO – Expertenwissen für die Praxis</w:t>
      </w:r>
      <w:r w:rsidR="00D15E96" w:rsidRPr="00563B1B">
        <w:rPr>
          <w:rFonts w:ascii="Arial" w:hAnsi="Arial" w:cs="Arial"/>
          <w:sz w:val="20"/>
          <w:szCs w:val="20"/>
        </w:rPr>
        <w:t>:</w:t>
      </w:r>
      <w:r w:rsidR="00530510" w:rsidRPr="00563B1B">
        <w:rPr>
          <w:rFonts w:ascii="Arial" w:hAnsi="Arial" w:cs="Arial"/>
          <w:sz w:val="20"/>
          <w:szCs w:val="20"/>
        </w:rPr>
        <w:t xml:space="preserve"> </w:t>
      </w:r>
      <w:r w:rsidR="00EA62A3" w:rsidRPr="00563B1B">
        <w:t>Abgerufen 15.März 2020, von</w:t>
      </w:r>
      <w:r w:rsidRPr="00563B1B">
        <w:rPr>
          <w:rFonts w:ascii="Arial" w:hAnsi="Arial" w:cs="Arial"/>
          <w:sz w:val="20"/>
          <w:szCs w:val="20"/>
        </w:rPr>
        <w:t xml:space="preserve"> </w:t>
      </w:r>
      <w:hyperlink r:id="rId22" w:history="1">
        <w:r w:rsidRPr="00563B1B">
          <w:rPr>
            <w:rStyle w:val="Hyperlink"/>
          </w:rPr>
          <w:t>https://dsgvo.expert/wp/die-datenschutzgrundverordnung/entstehungsgeschichte/</w:t>
        </w:r>
      </w:hyperlink>
      <w:r w:rsidRPr="00563B1B">
        <w:t xml:space="preserve"> </w:t>
      </w:r>
    </w:p>
    <w:p w14:paraId="32D4C21D" w14:textId="413B416D" w:rsidR="006674D0" w:rsidRPr="00563B1B" w:rsidRDefault="006674D0" w:rsidP="002477BB">
      <w:r w:rsidRPr="00563B1B">
        <w:rPr>
          <w:rFonts w:ascii="Arial" w:hAnsi="Arial" w:cs="Arial"/>
          <w:sz w:val="20"/>
          <w:szCs w:val="20"/>
        </w:rPr>
        <w:t xml:space="preserve">Intersoft </w:t>
      </w:r>
      <w:proofErr w:type="spellStart"/>
      <w:r w:rsidRPr="00563B1B">
        <w:rPr>
          <w:rFonts w:ascii="Arial" w:hAnsi="Arial" w:cs="Arial"/>
          <w:sz w:val="20"/>
          <w:szCs w:val="20"/>
        </w:rPr>
        <w:t>consulting</w:t>
      </w:r>
      <w:proofErr w:type="spellEnd"/>
      <w:r w:rsidRPr="00563B1B">
        <w:rPr>
          <w:rFonts w:ascii="Arial" w:hAnsi="Arial" w:cs="Arial"/>
          <w:sz w:val="20"/>
          <w:szCs w:val="20"/>
        </w:rPr>
        <w:t>, DSGVO- Personenbezogene Daten</w:t>
      </w:r>
      <w:r w:rsidR="00EA62A3" w:rsidRPr="00563B1B">
        <w:rPr>
          <w:rFonts w:ascii="Arial" w:hAnsi="Arial" w:cs="Arial"/>
          <w:sz w:val="20"/>
          <w:szCs w:val="20"/>
        </w:rPr>
        <w:t>.</w:t>
      </w:r>
      <w:r w:rsidR="00EA62A3" w:rsidRPr="00563B1B">
        <w:t xml:space="preserve"> Abgerufen 16.März 2020, von</w:t>
      </w:r>
      <w:r w:rsidRPr="00563B1B">
        <w:rPr>
          <w:rFonts w:ascii="Arial" w:hAnsi="Arial" w:cs="Arial"/>
          <w:sz w:val="20"/>
          <w:szCs w:val="20"/>
        </w:rPr>
        <w:t xml:space="preserve"> </w:t>
      </w:r>
      <w:hyperlink r:id="rId23" w:history="1">
        <w:r w:rsidRPr="00563B1B">
          <w:rPr>
            <w:rStyle w:val="Hyperlink"/>
          </w:rPr>
          <w:t>https://dsgvo-gesetz.de/themen/personenbezogene-daten/</w:t>
        </w:r>
      </w:hyperlink>
      <w:r w:rsidRPr="00563B1B">
        <w:t xml:space="preserve"> </w:t>
      </w:r>
    </w:p>
    <w:p w14:paraId="46D9158E" w14:textId="20ACAD87" w:rsidR="00445A76" w:rsidRPr="00563B1B" w:rsidRDefault="00445A76" w:rsidP="002477BB">
      <w:pPr>
        <w:rPr>
          <w:rFonts w:ascii="Calibri" w:hAnsi="Calibri" w:cs="Calibri"/>
          <w:color w:val="000000"/>
          <w:shd w:val="clear" w:color="auto" w:fill="FFFFFF"/>
        </w:rPr>
      </w:pPr>
      <w:r w:rsidRPr="00563B1B">
        <w:rPr>
          <w:rFonts w:ascii="Calibri" w:hAnsi="Calibri" w:cs="Calibri"/>
          <w:color w:val="000000"/>
          <w:shd w:val="clear" w:color="auto" w:fill="FFFFFF"/>
        </w:rPr>
        <w:t>Lienhardt. (201</w:t>
      </w:r>
      <w:r w:rsidR="00845C39">
        <w:rPr>
          <w:rFonts w:ascii="Calibri" w:hAnsi="Calibri" w:cs="Calibri"/>
          <w:color w:val="000000"/>
          <w:shd w:val="clear" w:color="auto" w:fill="FFFFFF"/>
        </w:rPr>
        <w:t>9</w:t>
      </w:r>
      <w:r w:rsidRPr="00563B1B">
        <w:rPr>
          <w:rFonts w:ascii="Calibri" w:hAnsi="Calibri" w:cs="Calibri"/>
          <w:color w:val="000000"/>
          <w:shd w:val="clear" w:color="auto" w:fill="FFFFFF"/>
        </w:rPr>
        <w:t xml:space="preserve">, </w:t>
      </w:r>
      <w:r w:rsidR="00845C39">
        <w:rPr>
          <w:rFonts w:ascii="Calibri" w:hAnsi="Calibri" w:cs="Calibri"/>
          <w:color w:val="000000"/>
          <w:shd w:val="clear" w:color="auto" w:fill="FFFFFF"/>
        </w:rPr>
        <w:t>September</w:t>
      </w:r>
      <w:r w:rsidRPr="00563B1B">
        <w:rPr>
          <w:rFonts w:ascii="Calibri" w:hAnsi="Calibri" w:cs="Calibri"/>
          <w:color w:val="000000"/>
          <w:shd w:val="clear" w:color="auto" w:fill="FFFFFF"/>
        </w:rPr>
        <w:t xml:space="preserve"> </w:t>
      </w:r>
      <w:r w:rsidR="00845C39">
        <w:rPr>
          <w:rFonts w:ascii="Calibri" w:hAnsi="Calibri" w:cs="Calibri"/>
          <w:color w:val="000000"/>
          <w:shd w:val="clear" w:color="auto" w:fill="FFFFFF"/>
        </w:rPr>
        <w:t>23</w:t>
      </w:r>
      <w:r w:rsidRPr="00563B1B">
        <w:rPr>
          <w:rFonts w:ascii="Calibri" w:hAnsi="Calibri" w:cs="Calibri"/>
          <w:color w:val="000000"/>
          <w:shd w:val="clear" w:color="auto" w:fill="FFFFFF"/>
        </w:rPr>
        <w:t xml:space="preserve">). 7 Grundsätze der </w:t>
      </w:r>
      <w:proofErr w:type="gramStart"/>
      <w:r w:rsidRPr="00563B1B">
        <w:rPr>
          <w:rFonts w:ascii="Calibri" w:hAnsi="Calibri" w:cs="Calibri"/>
          <w:color w:val="000000"/>
          <w:shd w:val="clear" w:color="auto" w:fill="FFFFFF"/>
        </w:rPr>
        <w:t>EU Datenschutz</w:t>
      </w:r>
      <w:proofErr w:type="gramEnd"/>
      <w:r w:rsidRPr="00563B1B">
        <w:rPr>
          <w:rFonts w:ascii="Calibri" w:hAnsi="Calibri" w:cs="Calibri"/>
          <w:color w:val="000000"/>
          <w:shd w:val="clear" w:color="auto" w:fill="FFFFFF"/>
        </w:rPr>
        <w:t xml:space="preserve"> Grundverordnung (DSGVO). Abgerufen 16. März 2020, von </w:t>
      </w:r>
      <w:hyperlink r:id="rId24" w:anchor="Grunds%C3%A4tze%20f%C3%BCr%20die%20Verarbeitung%20personenbezogener%20Daten" w:history="1">
        <w:r w:rsidRPr="00563B1B">
          <w:rPr>
            <w:rStyle w:val="Hyperlink"/>
            <w:rFonts w:ascii="Calibri" w:hAnsi="Calibri" w:cs="Calibri"/>
            <w:shd w:val="clear" w:color="auto" w:fill="FFFFFF"/>
          </w:rPr>
          <w:t>https://fokus.genba.org/grundsaetze-der-dsgvo#Grunds%C3%A4tze%20f%C3%BCr%20die%20Verarbeitung%20personenbezogener%20Daten</w:t>
        </w:r>
      </w:hyperlink>
      <w:r w:rsidRPr="00563B1B">
        <w:rPr>
          <w:rFonts w:ascii="Calibri" w:hAnsi="Calibri" w:cs="Calibri"/>
          <w:color w:val="000000"/>
          <w:shd w:val="clear" w:color="auto" w:fill="FFFFFF"/>
        </w:rPr>
        <w:t xml:space="preserve"> </w:t>
      </w:r>
    </w:p>
    <w:p w14:paraId="06F1C3C9" w14:textId="7FC7136C" w:rsidR="002B33F0" w:rsidRPr="00563B1B" w:rsidRDefault="002B33F0" w:rsidP="002B33F0">
      <w:pPr>
        <w:rPr>
          <w:lang w:val="de-DE"/>
        </w:rPr>
      </w:pPr>
      <w:r w:rsidRPr="00563B1B">
        <w:rPr>
          <w:rFonts w:ascii="Arial" w:hAnsi="Arial" w:cs="Arial"/>
          <w:sz w:val="20"/>
          <w:szCs w:val="20"/>
          <w:lang w:val="de-DE"/>
        </w:rPr>
        <w:t xml:space="preserve">Wikipedia – Die </w:t>
      </w:r>
      <w:r w:rsidRPr="00563B1B">
        <w:rPr>
          <w:rFonts w:ascii="Arial" w:hAnsi="Arial" w:cs="Arial"/>
          <w:sz w:val="20"/>
          <w:szCs w:val="20"/>
        </w:rPr>
        <w:t>freie Enzyklopädie</w:t>
      </w:r>
      <w:r w:rsidR="00E205AD" w:rsidRPr="00563B1B">
        <w:rPr>
          <w:rFonts w:ascii="Arial" w:hAnsi="Arial" w:cs="Arial"/>
          <w:sz w:val="20"/>
          <w:szCs w:val="20"/>
          <w:lang w:val="de-DE"/>
        </w:rPr>
        <w:t xml:space="preserve"> (Bearbeitungsstand: 19. Januar 2020) </w:t>
      </w:r>
      <w:r w:rsidRPr="00563B1B">
        <w:rPr>
          <w:rFonts w:ascii="Arial" w:hAnsi="Arial" w:cs="Arial"/>
          <w:sz w:val="20"/>
          <w:szCs w:val="20"/>
          <w:lang w:val="de-DE"/>
        </w:rPr>
        <w:t>Datenschutzgesetz Österreich</w:t>
      </w:r>
      <w:r w:rsidR="005546CE" w:rsidRPr="00563B1B">
        <w:rPr>
          <w:rFonts w:ascii="Arial" w:hAnsi="Arial" w:cs="Arial"/>
          <w:sz w:val="20"/>
          <w:szCs w:val="20"/>
          <w:lang w:val="de-DE"/>
        </w:rPr>
        <w:t xml:space="preserve">, </w:t>
      </w:r>
      <w:r w:rsidR="003D51F7" w:rsidRPr="00563B1B">
        <w:rPr>
          <w:rFonts w:ascii="Calibri" w:hAnsi="Calibri" w:cs="Calibri"/>
          <w:color w:val="000000"/>
          <w:shd w:val="clear" w:color="auto" w:fill="FFFFFF"/>
        </w:rPr>
        <w:t xml:space="preserve">Abgerufen 16. März 2020, von </w:t>
      </w:r>
      <w:hyperlink r:id="rId25" w:anchor="Definitionen_(%C2%A7_4)" w:history="1">
        <w:r w:rsidRPr="00563B1B">
          <w:rPr>
            <w:rStyle w:val="Hyperlink"/>
          </w:rPr>
          <w:t>https://de.wikipedia.org/wiki/Datenschutzgesetz_(%C3%96sterreich)#Definitionen_(%C2%A7_4)</w:t>
        </w:r>
      </w:hyperlink>
      <w:r w:rsidRPr="00563B1B">
        <w:rPr>
          <w:lang w:val="de-DE"/>
        </w:rPr>
        <w:t xml:space="preserve"> </w:t>
      </w:r>
    </w:p>
    <w:p w14:paraId="4C658A04" w14:textId="43056BE6" w:rsidR="003D51F7" w:rsidRPr="00563B1B" w:rsidRDefault="003D51F7" w:rsidP="003D51F7">
      <w:r w:rsidRPr="00563B1B">
        <w:rPr>
          <w:rFonts w:ascii="Arial" w:hAnsi="Arial" w:cs="Arial"/>
          <w:sz w:val="20"/>
          <w:szCs w:val="20"/>
          <w:lang w:val="de-DE"/>
        </w:rPr>
        <w:t xml:space="preserve">Wikipedia – Die </w:t>
      </w:r>
      <w:r w:rsidRPr="00563B1B">
        <w:rPr>
          <w:rFonts w:ascii="Arial" w:hAnsi="Arial" w:cs="Arial"/>
          <w:sz w:val="20"/>
          <w:szCs w:val="20"/>
        </w:rPr>
        <w:t>freie Enzyklopädie</w:t>
      </w:r>
      <w:r w:rsidRPr="00563B1B">
        <w:rPr>
          <w:rFonts w:ascii="Arial" w:hAnsi="Arial" w:cs="Arial"/>
          <w:sz w:val="20"/>
          <w:szCs w:val="20"/>
          <w:lang w:val="de-DE"/>
        </w:rPr>
        <w:t xml:space="preserve"> (Bearbeitungsstand: 17. April 2020) Online-Marketing, </w:t>
      </w:r>
      <w:r w:rsidRPr="00563B1B">
        <w:rPr>
          <w:rFonts w:ascii="Calibri" w:hAnsi="Calibri" w:cs="Calibri"/>
          <w:color w:val="000000"/>
          <w:shd w:val="clear" w:color="auto" w:fill="FFFFFF"/>
        </w:rPr>
        <w:t xml:space="preserve">Abgerufen </w:t>
      </w:r>
      <w:r w:rsidR="00CF14F9">
        <w:rPr>
          <w:rFonts w:ascii="Calibri" w:hAnsi="Calibri" w:cs="Calibri"/>
          <w:color w:val="000000"/>
          <w:shd w:val="clear" w:color="auto" w:fill="FFFFFF"/>
        </w:rPr>
        <w:t>20</w:t>
      </w:r>
      <w:r w:rsidRPr="00563B1B">
        <w:rPr>
          <w:rFonts w:ascii="Calibri" w:hAnsi="Calibri" w:cs="Calibri"/>
          <w:color w:val="000000"/>
          <w:shd w:val="clear" w:color="auto" w:fill="FFFFFF"/>
        </w:rPr>
        <w:t xml:space="preserve">. </w:t>
      </w:r>
      <w:r w:rsidR="00496CC8">
        <w:rPr>
          <w:rFonts w:ascii="Calibri" w:hAnsi="Calibri" w:cs="Calibri"/>
          <w:color w:val="000000"/>
          <w:shd w:val="clear" w:color="auto" w:fill="FFFFFF"/>
        </w:rPr>
        <w:t>April</w:t>
      </w:r>
      <w:r w:rsidRPr="00563B1B">
        <w:rPr>
          <w:rFonts w:ascii="Calibri" w:hAnsi="Calibri" w:cs="Calibri"/>
          <w:color w:val="000000"/>
          <w:shd w:val="clear" w:color="auto" w:fill="FFFFFF"/>
        </w:rPr>
        <w:t xml:space="preserve"> 2020, von </w:t>
      </w:r>
      <w:hyperlink r:id="rId26" w:history="1">
        <w:r w:rsidRPr="00563B1B">
          <w:rPr>
            <w:rStyle w:val="Hyperlink"/>
          </w:rPr>
          <w:t>https://de.wikipedia.org/w/index.php?title=Online-Marketing&amp;oldid=198977412</w:t>
        </w:r>
      </w:hyperlink>
    </w:p>
    <w:p w14:paraId="07F3AA90" w14:textId="65F90A3D" w:rsidR="00CE459D" w:rsidRPr="00563B1B" w:rsidRDefault="00CE459D" w:rsidP="00CE459D">
      <w:pPr>
        <w:rPr>
          <w:lang w:val="de-DE"/>
        </w:rPr>
      </w:pPr>
      <w:r w:rsidRPr="00563B1B">
        <w:rPr>
          <w:rFonts w:ascii="Arial" w:hAnsi="Arial" w:cs="Arial"/>
          <w:sz w:val="20"/>
          <w:szCs w:val="20"/>
          <w:lang w:val="de-DE"/>
        </w:rPr>
        <w:t xml:space="preserve">Wikipedia – Die </w:t>
      </w:r>
      <w:r w:rsidRPr="00563B1B">
        <w:rPr>
          <w:rFonts w:ascii="Arial" w:hAnsi="Arial" w:cs="Arial"/>
          <w:sz w:val="20"/>
          <w:szCs w:val="20"/>
        </w:rPr>
        <w:t>freie Enzyklopädie</w:t>
      </w:r>
      <w:r w:rsidRPr="00563B1B">
        <w:rPr>
          <w:rFonts w:ascii="Arial" w:hAnsi="Arial" w:cs="Arial"/>
          <w:sz w:val="20"/>
          <w:szCs w:val="20"/>
          <w:lang w:val="de-DE"/>
        </w:rPr>
        <w:t xml:space="preserve"> (Bearbeitungsstand: 17. April 2020) Big Data, </w:t>
      </w:r>
      <w:r w:rsidRPr="00563B1B">
        <w:rPr>
          <w:rFonts w:ascii="Calibri" w:hAnsi="Calibri" w:cs="Calibri"/>
          <w:color w:val="000000"/>
          <w:shd w:val="clear" w:color="auto" w:fill="FFFFFF"/>
        </w:rPr>
        <w:t xml:space="preserve">Abgerufen 19. </w:t>
      </w:r>
      <w:r w:rsidR="00496CC8">
        <w:rPr>
          <w:rFonts w:ascii="Calibri" w:hAnsi="Calibri" w:cs="Calibri"/>
          <w:color w:val="000000"/>
          <w:shd w:val="clear" w:color="auto" w:fill="FFFFFF"/>
        </w:rPr>
        <w:t>April</w:t>
      </w:r>
      <w:r w:rsidRPr="00563B1B">
        <w:rPr>
          <w:rFonts w:ascii="Calibri" w:hAnsi="Calibri" w:cs="Calibri"/>
          <w:color w:val="000000"/>
          <w:shd w:val="clear" w:color="auto" w:fill="FFFFFF"/>
        </w:rPr>
        <w:t xml:space="preserve"> 2020, von </w:t>
      </w:r>
      <w:hyperlink r:id="rId27" w:history="1">
        <w:r w:rsidRPr="00563B1B">
          <w:rPr>
            <w:rStyle w:val="Hyperlink"/>
          </w:rPr>
          <w:t>https://de.wikipedia.org/w/index.php?title=Big_Data&amp;oldid=200067282</w:t>
        </w:r>
      </w:hyperlink>
    </w:p>
    <w:p w14:paraId="068638AF" w14:textId="733B5B9C" w:rsidR="00D15E96" w:rsidRPr="00563B1B" w:rsidRDefault="00AC7AE4" w:rsidP="002B33F0">
      <w:pPr>
        <w:rPr>
          <w:rFonts w:ascii="Arial" w:hAnsi="Arial" w:cs="Arial"/>
          <w:b/>
          <w:bCs/>
          <w:sz w:val="24"/>
          <w:szCs w:val="24"/>
          <w:u w:val="single"/>
          <w:lang w:val="de-DE"/>
        </w:rPr>
      </w:pPr>
      <w:r w:rsidRPr="00563B1B">
        <w:rPr>
          <w:rFonts w:ascii="Arial" w:hAnsi="Arial" w:cs="Arial"/>
          <w:b/>
          <w:bCs/>
          <w:sz w:val="24"/>
          <w:szCs w:val="24"/>
          <w:u w:val="single"/>
          <w:lang w:val="de-DE"/>
        </w:rPr>
        <w:t>Präsentationsfolien</w:t>
      </w:r>
    </w:p>
    <w:p w14:paraId="47365EF1" w14:textId="3DF84CF8" w:rsidR="00AC7AE4" w:rsidRPr="00563B1B" w:rsidRDefault="00AC7AE4" w:rsidP="00AC7AE4">
      <w:pPr>
        <w:rPr>
          <w:rFonts w:ascii="Arial" w:hAnsi="Arial" w:cs="Arial"/>
          <w:u w:val="single"/>
          <w:lang w:val="de-DE"/>
        </w:rPr>
      </w:pPr>
      <w:proofErr w:type="spellStart"/>
      <w:r w:rsidRPr="00563B1B">
        <w:rPr>
          <w:rFonts w:ascii="Calibri" w:hAnsi="Calibri" w:cs="Calibri"/>
          <w:color w:val="000000"/>
          <w:shd w:val="clear" w:color="auto" w:fill="FFFFFF"/>
        </w:rPr>
        <w:t>Madlberger</w:t>
      </w:r>
      <w:proofErr w:type="spellEnd"/>
      <w:r w:rsidRPr="00563B1B">
        <w:rPr>
          <w:rFonts w:ascii="Calibri" w:hAnsi="Calibri" w:cs="Calibri"/>
          <w:color w:val="000000"/>
          <w:shd w:val="clear" w:color="auto" w:fill="FFFFFF"/>
        </w:rPr>
        <w:t xml:space="preserve">. (2020, März 10). Customer </w:t>
      </w:r>
      <w:proofErr w:type="spellStart"/>
      <w:r w:rsidRPr="00563B1B">
        <w:rPr>
          <w:rFonts w:ascii="Calibri" w:hAnsi="Calibri" w:cs="Calibri"/>
          <w:color w:val="000000"/>
          <w:shd w:val="clear" w:color="auto" w:fill="FFFFFF"/>
        </w:rPr>
        <w:t>relationship</w:t>
      </w:r>
      <w:proofErr w:type="spellEnd"/>
      <w:r w:rsidRPr="00563B1B">
        <w:rPr>
          <w:rFonts w:ascii="Calibri" w:hAnsi="Calibri" w:cs="Calibri"/>
          <w:color w:val="000000"/>
          <w:shd w:val="clear" w:color="auto" w:fill="FFFFFF"/>
        </w:rPr>
        <w:t xml:space="preserve"> </w:t>
      </w:r>
      <w:proofErr w:type="spellStart"/>
      <w:r w:rsidRPr="00563B1B">
        <w:rPr>
          <w:rFonts w:ascii="Calibri" w:hAnsi="Calibri" w:cs="Calibri"/>
          <w:color w:val="000000"/>
          <w:shd w:val="clear" w:color="auto" w:fill="FFFFFF"/>
        </w:rPr>
        <w:t>management</w:t>
      </w:r>
      <w:proofErr w:type="spellEnd"/>
      <w:r w:rsidRPr="00563B1B">
        <w:rPr>
          <w:rFonts w:ascii="Calibri" w:hAnsi="Calibri" w:cs="Calibri"/>
          <w:color w:val="000000"/>
          <w:shd w:val="clear" w:color="auto" w:fill="FFFFFF"/>
        </w:rPr>
        <w:t xml:space="preserve"> and </w:t>
      </w:r>
      <w:proofErr w:type="spellStart"/>
      <w:r w:rsidRPr="00563B1B">
        <w:rPr>
          <w:rFonts w:ascii="Calibri" w:hAnsi="Calibri" w:cs="Calibri"/>
          <w:color w:val="000000"/>
          <w:shd w:val="clear" w:color="auto" w:fill="FFFFFF"/>
        </w:rPr>
        <w:t>marketing</w:t>
      </w:r>
      <w:proofErr w:type="spellEnd"/>
      <w:r w:rsidRPr="00563B1B">
        <w:rPr>
          <w:rFonts w:ascii="Calibri" w:hAnsi="Calibri" w:cs="Calibri"/>
          <w:color w:val="000000"/>
          <w:shd w:val="clear" w:color="auto" w:fill="FFFFFF"/>
        </w:rPr>
        <w:t xml:space="preserve"> </w:t>
      </w:r>
      <w:proofErr w:type="spellStart"/>
      <w:r w:rsidRPr="00563B1B">
        <w:rPr>
          <w:rFonts w:ascii="Calibri" w:hAnsi="Calibri" w:cs="Calibri"/>
          <w:color w:val="000000"/>
          <w:shd w:val="clear" w:color="auto" w:fill="FFFFFF"/>
        </w:rPr>
        <w:t>research</w:t>
      </w:r>
      <w:r w:rsidR="000A2BDF" w:rsidRPr="00563B1B">
        <w:rPr>
          <w:rFonts w:ascii="Calibri" w:hAnsi="Calibri" w:cs="Calibri"/>
          <w:color w:val="000000"/>
          <w:shd w:val="clear" w:color="auto" w:fill="FFFFFF"/>
        </w:rPr>
        <w:t>e</w:t>
      </w:r>
      <w:proofErr w:type="spellEnd"/>
      <w:r w:rsidRPr="00563B1B">
        <w:rPr>
          <w:rFonts w:ascii="Calibri" w:hAnsi="Calibri" w:cs="Calibri"/>
          <w:color w:val="000000"/>
          <w:shd w:val="clear" w:color="auto" w:fill="FFFFFF"/>
        </w:rPr>
        <w:t xml:space="preserve"> [Vorlesungsfolien]. Abgerufen von </w:t>
      </w:r>
      <w:hyperlink r:id="rId28" w:history="1">
        <w:r w:rsidRPr="00563B1B">
          <w:rPr>
            <w:rStyle w:val="Hyperlink"/>
            <w:rFonts w:ascii="Calibri" w:hAnsi="Calibri" w:cs="Calibri"/>
            <w:shd w:val="clear" w:color="auto" w:fill="FFFFFF"/>
          </w:rPr>
          <w:t>https://learn.wu.ac.at/resources/tlf-lrn/web/viewer.html?file=/dotlrn/classes/pool/5071.20s/tlf-lrn/download/file/Foliensatz_2/de:Teil_2_-_Marktforschung_und_Customer_Relationship_Management/file</w:t>
        </w:r>
      </w:hyperlink>
      <w:r w:rsidRPr="00563B1B">
        <w:rPr>
          <w:rFonts w:ascii="Calibri" w:hAnsi="Calibri" w:cs="Calibri"/>
          <w:color w:val="000000"/>
          <w:shd w:val="clear" w:color="auto" w:fill="FFFFFF"/>
        </w:rPr>
        <w:t xml:space="preserve"> </w:t>
      </w:r>
    </w:p>
    <w:p w14:paraId="0B77DDD8" w14:textId="266A36B2" w:rsidR="002477BB" w:rsidRPr="00563B1B" w:rsidRDefault="002477BB" w:rsidP="00BF7D4E">
      <w:pPr>
        <w:rPr>
          <w:rFonts w:ascii="Arial" w:hAnsi="Arial" w:cs="Arial"/>
          <w:b/>
          <w:bCs/>
          <w:sz w:val="24"/>
          <w:szCs w:val="24"/>
          <w:u w:val="single"/>
        </w:rPr>
      </w:pPr>
      <w:r w:rsidRPr="00563B1B">
        <w:rPr>
          <w:rFonts w:ascii="Arial" w:hAnsi="Arial" w:cs="Arial"/>
          <w:b/>
          <w:bCs/>
          <w:sz w:val="24"/>
          <w:szCs w:val="24"/>
          <w:u w:val="single"/>
        </w:rPr>
        <w:t>Journals</w:t>
      </w:r>
    </w:p>
    <w:p w14:paraId="21C62492" w14:textId="469700DC" w:rsidR="00CF5A9C" w:rsidRDefault="00CF5A9C" w:rsidP="00BF7D4E">
      <w:pPr>
        <w:rPr>
          <w:rFonts w:ascii="Calibri" w:hAnsi="Calibri" w:cs="Calibri"/>
          <w:color w:val="000000"/>
          <w:shd w:val="clear" w:color="auto" w:fill="FFFFFF"/>
        </w:rPr>
      </w:pPr>
      <w:r>
        <w:t xml:space="preserve">Dix, A. (2016). Datenschutz im Zeitalter von Big Data: wie steht es um den Schutz der Privatsphäre? Stadtforschung und </w:t>
      </w:r>
      <w:proofErr w:type="gramStart"/>
      <w:r>
        <w:t>Statistik :</w:t>
      </w:r>
      <w:proofErr w:type="gramEnd"/>
      <w:r>
        <w:t xml:space="preserve"> Zeitschrift des Verbandes Deutscher Städtestatistiker, 29(1), 59-64. https://nbn-resolving.org/ urn:nbn:de:0168-ssoar-46796-9   </w:t>
      </w:r>
    </w:p>
    <w:p w14:paraId="11AB2D9E" w14:textId="385B4DD8" w:rsidR="004B170B" w:rsidRPr="00563B1B" w:rsidRDefault="004B170B" w:rsidP="00BF7D4E">
      <w:pPr>
        <w:rPr>
          <w:rFonts w:ascii="Calibri" w:hAnsi="Calibri" w:cs="Calibri"/>
          <w:color w:val="000000"/>
          <w:shd w:val="clear" w:color="auto" w:fill="FFFFFF"/>
        </w:rPr>
      </w:pPr>
      <w:r w:rsidRPr="00563B1B">
        <w:rPr>
          <w:rFonts w:ascii="Calibri" w:hAnsi="Calibri" w:cs="Calibri"/>
          <w:color w:val="000000"/>
          <w:shd w:val="clear" w:color="auto" w:fill="FFFFFF"/>
        </w:rPr>
        <w:t xml:space="preserve">Hauser, et al. (2017). Ethische Herausforderungen für Unternehmen im Umgang mit Big Data. Abgerufen 28. März 2020, von </w:t>
      </w:r>
      <w:hyperlink r:id="rId29" w:history="1">
        <w:r w:rsidRPr="00563B1B">
          <w:rPr>
            <w:rStyle w:val="Hyperlink"/>
            <w:rFonts w:ascii="Calibri" w:hAnsi="Calibri" w:cs="Calibri"/>
            <w:shd w:val="clear" w:color="auto" w:fill="FFFFFF"/>
          </w:rPr>
          <w:t>https://www.zora.uzh.ch/id/eprint/146097/1/Brosch%C3%BCr_Big%20Data_4_ES_170119.pdf</w:t>
        </w:r>
      </w:hyperlink>
      <w:r w:rsidRPr="00563B1B">
        <w:rPr>
          <w:rFonts w:ascii="Calibri" w:hAnsi="Calibri" w:cs="Calibri"/>
          <w:color w:val="000000"/>
          <w:shd w:val="clear" w:color="auto" w:fill="FFFFFF"/>
        </w:rPr>
        <w:t xml:space="preserve"> </w:t>
      </w:r>
    </w:p>
    <w:p w14:paraId="6C32E781" w14:textId="54737EDA" w:rsidR="009271CE" w:rsidRDefault="009271CE" w:rsidP="00BF7D4E">
      <w:pPr>
        <w:rPr>
          <w:rStyle w:val="Hyperlink"/>
          <w:rFonts w:ascii="Calibri" w:hAnsi="Calibri" w:cs="Calibri"/>
          <w:shd w:val="clear" w:color="auto" w:fill="FFFFFF"/>
        </w:rPr>
      </w:pPr>
      <w:r w:rsidRPr="00563B1B">
        <w:rPr>
          <w:rFonts w:ascii="Calibri" w:hAnsi="Calibri" w:cs="Calibri"/>
          <w:color w:val="000000"/>
          <w:shd w:val="clear" w:color="auto" w:fill="FFFFFF"/>
        </w:rPr>
        <w:lastRenderedPageBreak/>
        <w:t xml:space="preserve">Goldbeck. (2018, Juli 5). Ja, ich will: Permission Marketing, </w:t>
      </w:r>
      <w:proofErr w:type="spellStart"/>
      <w:r w:rsidRPr="00563B1B">
        <w:rPr>
          <w:rFonts w:ascii="Calibri" w:hAnsi="Calibri" w:cs="Calibri"/>
          <w:color w:val="000000"/>
          <w:shd w:val="clear" w:color="auto" w:fill="FFFFFF"/>
        </w:rPr>
        <w:t>Opt</w:t>
      </w:r>
      <w:proofErr w:type="spellEnd"/>
      <w:r w:rsidRPr="00563B1B">
        <w:rPr>
          <w:rFonts w:ascii="Calibri" w:hAnsi="Calibri" w:cs="Calibri"/>
          <w:color w:val="000000"/>
          <w:shd w:val="clear" w:color="auto" w:fill="FFFFFF"/>
        </w:rPr>
        <w:t xml:space="preserve">-In und </w:t>
      </w:r>
      <w:proofErr w:type="spellStart"/>
      <w:r w:rsidRPr="00563B1B">
        <w:rPr>
          <w:rFonts w:ascii="Calibri" w:hAnsi="Calibri" w:cs="Calibri"/>
          <w:color w:val="000000"/>
          <w:shd w:val="clear" w:color="auto" w:fill="FFFFFF"/>
        </w:rPr>
        <w:t>Opt</w:t>
      </w:r>
      <w:proofErr w:type="spellEnd"/>
      <w:r w:rsidRPr="00563B1B">
        <w:rPr>
          <w:rFonts w:ascii="Calibri" w:hAnsi="Calibri" w:cs="Calibri"/>
          <w:color w:val="000000"/>
          <w:shd w:val="clear" w:color="auto" w:fill="FFFFFF"/>
        </w:rPr>
        <w:t xml:space="preserve">-Out. Abgerufen 21. März 2020, von </w:t>
      </w:r>
      <w:hyperlink r:id="rId30" w:history="1">
        <w:r w:rsidRPr="00563B1B">
          <w:rPr>
            <w:rStyle w:val="Hyperlink"/>
            <w:rFonts w:ascii="Calibri" w:hAnsi="Calibri" w:cs="Calibri"/>
            <w:shd w:val="clear" w:color="auto" w:fill="FFFFFF"/>
          </w:rPr>
          <w:t>https://centralstationcrm.de/blog/ja-ich-will-permission-marketing-opt-in-und-opt-out</w:t>
        </w:r>
      </w:hyperlink>
    </w:p>
    <w:p w14:paraId="519C0358" w14:textId="77777777" w:rsidR="00FC14F8" w:rsidRPr="00563B1B" w:rsidRDefault="00FC14F8" w:rsidP="00FC14F8">
      <w:r w:rsidRPr="00563B1B">
        <w:rPr>
          <w:rFonts w:ascii="Arial" w:hAnsi="Arial" w:cs="Arial"/>
          <w:sz w:val="20"/>
          <w:szCs w:val="20"/>
        </w:rPr>
        <w:t xml:space="preserve">Lamprecht (2018): Kurzpapier zu besonderen Kategorien personenbezogener Daten. </w:t>
      </w:r>
      <w:r w:rsidRPr="00563B1B">
        <w:t>Abgerufen 16.März 2020, von</w:t>
      </w:r>
      <w:r w:rsidRPr="00563B1B">
        <w:rPr>
          <w:rFonts w:ascii="Arial" w:hAnsi="Arial" w:cs="Arial"/>
          <w:sz w:val="20"/>
          <w:szCs w:val="20"/>
        </w:rPr>
        <w:t xml:space="preserve"> </w:t>
      </w:r>
      <w:hyperlink r:id="rId31" w:history="1">
        <w:r w:rsidRPr="00563B1B">
          <w:rPr>
            <w:rStyle w:val="Hyperlink"/>
          </w:rPr>
          <w:t>https://www.datenschutz-praxis.de/fachnews/kurzpapier-besondere-kategorien-personenbezogener-daten/</w:t>
        </w:r>
      </w:hyperlink>
      <w:r w:rsidRPr="00563B1B">
        <w:t xml:space="preserve"> </w:t>
      </w:r>
    </w:p>
    <w:p w14:paraId="53C1063B" w14:textId="3215742C" w:rsidR="002736BB" w:rsidRDefault="002736BB" w:rsidP="00BF7D4E">
      <w:pPr>
        <w:rPr>
          <w:rFonts w:ascii="Calibri" w:hAnsi="Calibri" w:cs="Calibri"/>
          <w:color w:val="000000"/>
          <w:shd w:val="clear" w:color="auto" w:fill="FFFFFF"/>
        </w:rPr>
      </w:pPr>
      <w:proofErr w:type="spellStart"/>
      <w:r w:rsidRPr="00563B1B">
        <w:rPr>
          <w:rFonts w:ascii="Calibri" w:hAnsi="Calibri" w:cs="Calibri"/>
          <w:color w:val="000000"/>
          <w:shd w:val="clear" w:color="auto" w:fill="FFFFFF"/>
        </w:rPr>
        <w:t>Maekeler</w:t>
      </w:r>
      <w:proofErr w:type="spellEnd"/>
      <w:r w:rsidRPr="00563B1B">
        <w:rPr>
          <w:rFonts w:ascii="Calibri" w:hAnsi="Calibri" w:cs="Calibri"/>
          <w:color w:val="000000"/>
          <w:shd w:val="clear" w:color="auto" w:fill="FFFFFF"/>
        </w:rPr>
        <w:t xml:space="preserve">. (2019, Mai 28). DSGVO: Rechtsgrundlagen und Funktionsweisen von Cookie-Hinweisen. Abgerufen 20. März 2020, von </w:t>
      </w:r>
      <w:hyperlink r:id="rId32" w:history="1">
        <w:r w:rsidRPr="00563B1B">
          <w:rPr>
            <w:rStyle w:val="Hyperlink"/>
            <w:rFonts w:ascii="Calibri" w:hAnsi="Calibri" w:cs="Calibri"/>
            <w:shd w:val="clear" w:color="auto" w:fill="FFFFFF"/>
          </w:rPr>
          <w:t>https://www.heise.de/newsticker/meldung/DSGVO-Rechtsgrundlagen-und-Funktionsweisen-von-Cookie-Hinweisen-4430026.html?seite=all</w:t>
        </w:r>
      </w:hyperlink>
      <w:r w:rsidRPr="00563B1B">
        <w:rPr>
          <w:rFonts w:ascii="Calibri" w:hAnsi="Calibri" w:cs="Calibri"/>
          <w:color w:val="000000"/>
          <w:shd w:val="clear" w:color="auto" w:fill="FFFFFF"/>
        </w:rPr>
        <w:t xml:space="preserve"> </w:t>
      </w:r>
    </w:p>
    <w:p w14:paraId="7C168D6E" w14:textId="58933644" w:rsidR="005742AD" w:rsidRPr="00563B1B" w:rsidRDefault="005742AD" w:rsidP="00BF7D4E">
      <w:pPr>
        <w:rPr>
          <w:rFonts w:ascii="Calibri" w:hAnsi="Calibri" w:cs="Calibri"/>
          <w:color w:val="000000"/>
          <w:shd w:val="clear" w:color="auto" w:fill="FFFFFF"/>
        </w:rPr>
      </w:pPr>
      <w:proofErr w:type="spellStart"/>
      <w:r>
        <w:rPr>
          <w:rFonts w:ascii="Calibri" w:hAnsi="Calibri" w:cs="Calibri"/>
          <w:color w:val="000000"/>
          <w:shd w:val="clear" w:color="auto" w:fill="FFFFFF"/>
        </w:rPr>
        <w:t>Marnau</w:t>
      </w:r>
      <w:proofErr w:type="spellEnd"/>
      <w:r>
        <w:rPr>
          <w:rFonts w:ascii="Calibri" w:hAnsi="Calibri" w:cs="Calibri"/>
          <w:color w:val="000000"/>
          <w:shd w:val="clear" w:color="auto" w:fill="FFFFFF"/>
        </w:rPr>
        <w:t xml:space="preserve">, N. (o. J.). Anonymisierung, Pseudonymisierung und Transparenz für Big Data. Abgerufen 16. April 2020, von </w:t>
      </w:r>
      <w:hyperlink r:id="rId33" w:history="1">
        <w:r w:rsidRPr="00AB0647">
          <w:rPr>
            <w:rStyle w:val="Hyperlink"/>
            <w:rFonts w:ascii="Calibri" w:hAnsi="Calibri" w:cs="Calibri"/>
            <w:shd w:val="clear" w:color="auto" w:fill="FFFFFF"/>
          </w:rPr>
          <w:t>https://link.springer.com/content/pdf/10.1007/s11623-016-0631-9.pdf</w:t>
        </w:r>
      </w:hyperlink>
      <w:r>
        <w:rPr>
          <w:rFonts w:ascii="Calibri" w:hAnsi="Calibri" w:cs="Calibri"/>
          <w:color w:val="000000"/>
          <w:shd w:val="clear" w:color="auto" w:fill="FFFFFF"/>
        </w:rPr>
        <w:t xml:space="preserve"> </w:t>
      </w:r>
    </w:p>
    <w:p w14:paraId="74408437" w14:textId="340BB204" w:rsidR="002D32EB" w:rsidRPr="00563B1B" w:rsidRDefault="002D32EB" w:rsidP="00BF7D4E">
      <w:pPr>
        <w:rPr>
          <w:rFonts w:ascii="Arial" w:hAnsi="Arial" w:cs="Arial"/>
          <w:sz w:val="24"/>
          <w:szCs w:val="24"/>
        </w:rPr>
      </w:pPr>
      <w:r w:rsidRPr="00563B1B">
        <w:rPr>
          <w:rFonts w:ascii="Calibri" w:hAnsi="Calibri" w:cs="Calibri"/>
          <w:color w:val="000000"/>
          <w:shd w:val="clear" w:color="auto" w:fill="FFFFFF"/>
        </w:rPr>
        <w:t xml:space="preserve">Siebert. (2020, März 5). Datenschutz: Google Analytics rechtssicher nutzen - Was Webseitenbetreiber jetzt tun müssen. Abgerufen 25. März 2020, von </w:t>
      </w:r>
      <w:hyperlink r:id="rId34" w:history="1">
        <w:r w:rsidRPr="00563B1B">
          <w:rPr>
            <w:rStyle w:val="Hyperlink"/>
            <w:rFonts w:ascii="Calibri" w:hAnsi="Calibri" w:cs="Calibri"/>
            <w:shd w:val="clear" w:color="auto" w:fill="FFFFFF"/>
          </w:rPr>
          <w:t>https://www.e-recht24.de/artikel/datenschutz/6843-google-analytics-datenschutz-rechtskonform-nutzen.html</w:t>
        </w:r>
      </w:hyperlink>
      <w:r w:rsidRPr="00563B1B">
        <w:rPr>
          <w:rFonts w:ascii="Calibri" w:hAnsi="Calibri" w:cs="Calibri"/>
          <w:color w:val="000000"/>
          <w:shd w:val="clear" w:color="auto" w:fill="FFFFFF"/>
        </w:rPr>
        <w:t xml:space="preserve"> </w:t>
      </w:r>
    </w:p>
    <w:p w14:paraId="2A72DDC8" w14:textId="6E0A2F68" w:rsidR="006A08B7" w:rsidRPr="00563B1B" w:rsidRDefault="006A08B7" w:rsidP="00BF7D4E">
      <w:pPr>
        <w:rPr>
          <w:rFonts w:ascii="Arial" w:hAnsi="Arial" w:cs="Arial"/>
          <w:b/>
          <w:bCs/>
          <w:sz w:val="24"/>
          <w:szCs w:val="24"/>
          <w:u w:val="single"/>
        </w:rPr>
      </w:pPr>
      <w:r w:rsidRPr="00563B1B">
        <w:rPr>
          <w:rFonts w:ascii="Arial" w:hAnsi="Arial" w:cs="Arial"/>
          <w:b/>
          <w:bCs/>
          <w:sz w:val="24"/>
          <w:szCs w:val="24"/>
          <w:u w:val="single"/>
        </w:rPr>
        <w:t>Bücher</w:t>
      </w:r>
      <w:r w:rsidR="009C0238">
        <w:rPr>
          <w:rFonts w:ascii="Arial" w:hAnsi="Arial" w:cs="Arial"/>
          <w:b/>
          <w:bCs/>
          <w:sz w:val="24"/>
          <w:szCs w:val="24"/>
          <w:u w:val="single"/>
        </w:rPr>
        <w:t xml:space="preserve"> und E-Books</w:t>
      </w:r>
    </w:p>
    <w:p w14:paraId="3F91849A" w14:textId="77777777" w:rsidR="00FF77F4" w:rsidRPr="00563B1B" w:rsidRDefault="00FF77F4" w:rsidP="00FF77F4">
      <w:pPr>
        <w:rPr>
          <w:rFonts w:cstheme="minorHAnsi"/>
          <w:color w:val="000000" w:themeColor="text1"/>
          <w:shd w:val="clear" w:color="auto" w:fill="FCFCFC"/>
        </w:rPr>
      </w:pPr>
      <w:proofErr w:type="spellStart"/>
      <w:r w:rsidRPr="00563B1B">
        <w:rPr>
          <w:rFonts w:cstheme="minorHAnsi"/>
          <w:color w:val="000000" w:themeColor="text1"/>
          <w:shd w:val="clear" w:color="auto" w:fill="FCFCFC"/>
        </w:rPr>
        <w:t>Dewenter</w:t>
      </w:r>
      <w:proofErr w:type="spellEnd"/>
      <w:r w:rsidRPr="00563B1B">
        <w:rPr>
          <w:rFonts w:cstheme="minorHAnsi"/>
          <w:color w:val="000000" w:themeColor="text1"/>
          <w:shd w:val="clear" w:color="auto" w:fill="FCFCFC"/>
        </w:rPr>
        <w:t>, R., Lüth, H. Big Data aus wettbewerblicher Sicht. </w:t>
      </w:r>
      <w:r w:rsidRPr="00563B1B">
        <w:rPr>
          <w:rFonts w:cstheme="minorHAnsi"/>
          <w:i/>
          <w:iCs/>
          <w:color w:val="000000" w:themeColor="text1"/>
          <w:shd w:val="clear" w:color="auto" w:fill="FCFCFC"/>
        </w:rPr>
        <w:t>Wirtschaftsdienst</w:t>
      </w:r>
      <w:r w:rsidRPr="00563B1B">
        <w:rPr>
          <w:rFonts w:cstheme="minorHAnsi"/>
          <w:color w:val="000000" w:themeColor="text1"/>
          <w:shd w:val="clear" w:color="auto" w:fill="FCFCFC"/>
        </w:rPr>
        <w:t xml:space="preserve"> 96, 648–654 (2016). </w:t>
      </w:r>
      <w:hyperlink r:id="rId35" w:history="1">
        <w:r w:rsidRPr="00563B1B">
          <w:rPr>
            <w:rStyle w:val="Hyperlink"/>
            <w:rFonts w:cstheme="minorHAnsi"/>
            <w:shd w:val="clear" w:color="auto" w:fill="FCFCFC"/>
          </w:rPr>
          <w:t>https://doi.org/10.1007/s10273-016-2029-6</w:t>
        </w:r>
      </w:hyperlink>
      <w:r w:rsidRPr="00563B1B">
        <w:rPr>
          <w:rFonts w:cstheme="minorHAnsi"/>
          <w:color w:val="000000" w:themeColor="text1"/>
          <w:shd w:val="clear" w:color="auto" w:fill="FCFCFC"/>
        </w:rPr>
        <w:t xml:space="preserve"> </w:t>
      </w:r>
    </w:p>
    <w:p w14:paraId="28EF9DCA" w14:textId="24FB6C61" w:rsidR="00FF1848" w:rsidRDefault="00FF1848" w:rsidP="00FF1848">
      <w:pPr>
        <w:rPr>
          <w:rFonts w:ascii="Arial" w:hAnsi="Arial" w:cs="Arial"/>
          <w:sz w:val="20"/>
          <w:szCs w:val="20"/>
        </w:rPr>
      </w:pPr>
      <w:r w:rsidRPr="00563B1B">
        <w:rPr>
          <w:rFonts w:ascii="Arial" w:hAnsi="Arial" w:cs="Arial"/>
          <w:sz w:val="20"/>
          <w:szCs w:val="20"/>
        </w:rPr>
        <w:t xml:space="preserve">Doralt, </w:t>
      </w:r>
      <w:proofErr w:type="spellStart"/>
      <w:r w:rsidRPr="00563B1B">
        <w:rPr>
          <w:rFonts w:ascii="Arial" w:hAnsi="Arial" w:cs="Arial"/>
          <w:sz w:val="20"/>
          <w:szCs w:val="20"/>
        </w:rPr>
        <w:t>Pachinger</w:t>
      </w:r>
      <w:proofErr w:type="spellEnd"/>
      <w:r w:rsidRPr="00563B1B">
        <w:rPr>
          <w:rFonts w:ascii="Arial" w:hAnsi="Arial" w:cs="Arial"/>
          <w:sz w:val="20"/>
          <w:szCs w:val="20"/>
        </w:rPr>
        <w:t>, DSGVO (2020) – Datenschutz, 4. Auflage, Band VI, Bearbeitungsstand: 1. Februar 2020, Linde Verlag Wien 2020</w:t>
      </w:r>
    </w:p>
    <w:p w14:paraId="5C7989B9" w14:textId="0126EBD3" w:rsidR="003727C1" w:rsidRPr="003727C1" w:rsidRDefault="003727C1" w:rsidP="00FF1848">
      <w:pPr>
        <w:rPr>
          <w:rFonts w:cstheme="minorHAnsi"/>
          <w:sz w:val="20"/>
          <w:szCs w:val="20"/>
        </w:rPr>
      </w:pPr>
      <w:proofErr w:type="spellStart"/>
      <w:r w:rsidRPr="003727C1">
        <w:rPr>
          <w:rFonts w:cstheme="minorHAnsi"/>
          <w:color w:val="000000" w:themeColor="text1"/>
          <w:shd w:val="clear" w:color="auto" w:fill="FCFCFC"/>
        </w:rPr>
        <w:t>Marnau</w:t>
      </w:r>
      <w:proofErr w:type="spellEnd"/>
      <w:r w:rsidRPr="003727C1">
        <w:rPr>
          <w:rFonts w:cstheme="minorHAnsi"/>
          <w:color w:val="000000" w:themeColor="text1"/>
          <w:shd w:val="clear" w:color="auto" w:fill="FCFCFC"/>
        </w:rPr>
        <w:t>, N. Anonymisierung, Pseudonymisierung und Transparenz für Big Data. </w:t>
      </w:r>
      <w:r w:rsidRPr="003727C1">
        <w:rPr>
          <w:rFonts w:cstheme="minorHAnsi"/>
          <w:i/>
          <w:iCs/>
          <w:color w:val="000000" w:themeColor="text1"/>
          <w:shd w:val="clear" w:color="auto" w:fill="FCFCFC"/>
        </w:rPr>
        <w:t xml:space="preserve">Datenschutz </w:t>
      </w:r>
      <w:proofErr w:type="spellStart"/>
      <w:r w:rsidRPr="003727C1">
        <w:rPr>
          <w:rFonts w:cstheme="minorHAnsi"/>
          <w:i/>
          <w:iCs/>
          <w:color w:val="000000" w:themeColor="text1"/>
          <w:shd w:val="clear" w:color="auto" w:fill="FCFCFC"/>
        </w:rPr>
        <w:t>Datensich</w:t>
      </w:r>
      <w:proofErr w:type="spellEnd"/>
      <w:r w:rsidRPr="003727C1">
        <w:rPr>
          <w:rFonts w:cstheme="minorHAnsi"/>
          <w:color w:val="000000" w:themeColor="text1"/>
          <w:shd w:val="clear" w:color="auto" w:fill="FCFCFC"/>
        </w:rPr>
        <w:t> </w:t>
      </w:r>
      <w:r w:rsidRPr="003727C1">
        <w:rPr>
          <w:rFonts w:cstheme="minorHAnsi"/>
          <w:b/>
          <w:bCs/>
          <w:color w:val="000000" w:themeColor="text1"/>
          <w:shd w:val="clear" w:color="auto" w:fill="FCFCFC"/>
        </w:rPr>
        <w:t>40, </w:t>
      </w:r>
      <w:r w:rsidRPr="003727C1">
        <w:rPr>
          <w:rFonts w:cstheme="minorHAnsi"/>
          <w:color w:val="000000" w:themeColor="text1"/>
          <w:shd w:val="clear" w:color="auto" w:fill="FCFCFC"/>
        </w:rPr>
        <w:t xml:space="preserve">428–433 (2016). </w:t>
      </w:r>
      <w:hyperlink r:id="rId36" w:history="1">
        <w:r w:rsidRPr="003727C1">
          <w:rPr>
            <w:rStyle w:val="Hyperlink"/>
            <w:rFonts w:cstheme="minorHAnsi"/>
            <w:shd w:val="clear" w:color="auto" w:fill="FCFCFC"/>
          </w:rPr>
          <w:t>https://doi.org/10.1007/s11623-016-0631-9</w:t>
        </w:r>
      </w:hyperlink>
      <w:r w:rsidRPr="003727C1">
        <w:rPr>
          <w:rFonts w:cstheme="minorHAnsi"/>
          <w:color w:val="333333"/>
          <w:shd w:val="clear" w:color="auto" w:fill="FCFCFC"/>
        </w:rPr>
        <w:t xml:space="preserve"> </w:t>
      </w:r>
    </w:p>
    <w:p w14:paraId="7D21CDF3" w14:textId="7251FBBE" w:rsidR="00327DA7" w:rsidRPr="00563B1B" w:rsidRDefault="00327DA7" w:rsidP="00327DA7">
      <w:pPr>
        <w:rPr>
          <w:rFonts w:cstheme="minorHAnsi"/>
          <w:color w:val="000000" w:themeColor="text1"/>
          <w:sz w:val="28"/>
          <w:szCs w:val="28"/>
        </w:rPr>
      </w:pPr>
      <w:r w:rsidRPr="00563B1B">
        <w:rPr>
          <w:rFonts w:cstheme="minorHAnsi"/>
          <w:color w:val="000000" w:themeColor="text1"/>
          <w:shd w:val="clear" w:color="auto" w:fill="FCFCFC"/>
        </w:rPr>
        <w:t>Raabe, O., Wagner, M. Verantwortlicher Einsatz von Big Data. </w:t>
      </w:r>
      <w:r w:rsidRPr="00563B1B">
        <w:rPr>
          <w:rFonts w:cstheme="minorHAnsi"/>
          <w:i/>
          <w:iCs/>
          <w:color w:val="000000" w:themeColor="text1"/>
          <w:shd w:val="clear" w:color="auto" w:fill="FCFCFC"/>
        </w:rPr>
        <w:t xml:space="preserve">Datenschutz </w:t>
      </w:r>
      <w:proofErr w:type="spellStart"/>
      <w:r w:rsidRPr="00563B1B">
        <w:rPr>
          <w:rFonts w:cstheme="minorHAnsi"/>
          <w:i/>
          <w:iCs/>
          <w:color w:val="000000" w:themeColor="text1"/>
          <w:shd w:val="clear" w:color="auto" w:fill="FCFCFC"/>
        </w:rPr>
        <w:t>Datensich</w:t>
      </w:r>
      <w:proofErr w:type="spellEnd"/>
      <w:r w:rsidRPr="00563B1B">
        <w:rPr>
          <w:rFonts w:cstheme="minorHAnsi"/>
          <w:color w:val="000000" w:themeColor="text1"/>
          <w:shd w:val="clear" w:color="auto" w:fill="FCFCFC"/>
        </w:rPr>
        <w:t xml:space="preserve"> 40, 434–439 (2016). </w:t>
      </w:r>
      <w:hyperlink r:id="rId37" w:history="1">
        <w:r w:rsidRPr="00563B1B">
          <w:rPr>
            <w:rStyle w:val="Hyperlink"/>
            <w:rFonts w:cstheme="minorHAnsi"/>
            <w:shd w:val="clear" w:color="auto" w:fill="FCFCFC"/>
          </w:rPr>
          <w:t>https://doi.org/10.1007/s11623-016-0632-8</w:t>
        </w:r>
      </w:hyperlink>
      <w:r w:rsidRPr="00563B1B">
        <w:rPr>
          <w:rFonts w:cstheme="minorHAnsi"/>
          <w:color w:val="000000" w:themeColor="text1"/>
          <w:shd w:val="clear" w:color="auto" w:fill="FCFCFC"/>
        </w:rPr>
        <w:t xml:space="preserve"> </w:t>
      </w:r>
    </w:p>
    <w:p w14:paraId="476B682C" w14:textId="36B5C0E6" w:rsidR="004B170B" w:rsidRPr="00563B1B" w:rsidRDefault="004B170B" w:rsidP="00BF7D4E">
      <w:pPr>
        <w:rPr>
          <w:rFonts w:cstheme="minorHAnsi"/>
          <w:color w:val="000000" w:themeColor="text1"/>
          <w:shd w:val="clear" w:color="auto" w:fill="FCFCFC"/>
        </w:rPr>
      </w:pPr>
      <w:r w:rsidRPr="00563B1B">
        <w:rPr>
          <w:rFonts w:cstheme="minorHAnsi"/>
          <w:color w:val="000000" w:themeColor="text1"/>
          <w:shd w:val="clear" w:color="auto" w:fill="FCFCFC"/>
        </w:rPr>
        <w:t>Richter, P. Datenschutz zwecklos? – Das Prinzip der Zweckbindung im Ratsentwurf der DSGVO. </w:t>
      </w:r>
      <w:r w:rsidRPr="00563B1B">
        <w:rPr>
          <w:rFonts w:cstheme="minorHAnsi"/>
          <w:i/>
          <w:iCs/>
          <w:color w:val="000000" w:themeColor="text1"/>
          <w:shd w:val="clear" w:color="auto" w:fill="FCFCFC"/>
        </w:rPr>
        <w:t xml:space="preserve">Datenschutz </w:t>
      </w:r>
      <w:proofErr w:type="spellStart"/>
      <w:r w:rsidRPr="00563B1B">
        <w:rPr>
          <w:rFonts w:cstheme="minorHAnsi"/>
          <w:i/>
          <w:iCs/>
          <w:color w:val="000000" w:themeColor="text1"/>
          <w:shd w:val="clear" w:color="auto" w:fill="FCFCFC"/>
        </w:rPr>
        <w:t>Datensich</w:t>
      </w:r>
      <w:proofErr w:type="spellEnd"/>
      <w:r w:rsidRPr="00563B1B">
        <w:rPr>
          <w:rFonts w:cstheme="minorHAnsi"/>
          <w:color w:val="000000" w:themeColor="text1"/>
          <w:shd w:val="clear" w:color="auto" w:fill="FCFCFC"/>
        </w:rPr>
        <w:t xml:space="preserve"> 39, 735–740 (2015). </w:t>
      </w:r>
      <w:hyperlink r:id="rId38" w:history="1">
        <w:r w:rsidRPr="00563B1B">
          <w:rPr>
            <w:rStyle w:val="Hyperlink"/>
            <w:rFonts w:cstheme="minorHAnsi"/>
            <w:shd w:val="clear" w:color="auto" w:fill="FCFCFC"/>
          </w:rPr>
          <w:t>https://doi.org/10.1007/s11623-015-0510-9</w:t>
        </w:r>
      </w:hyperlink>
      <w:r w:rsidRPr="00563B1B">
        <w:rPr>
          <w:rFonts w:cstheme="minorHAnsi"/>
          <w:color w:val="000000" w:themeColor="text1"/>
          <w:shd w:val="clear" w:color="auto" w:fill="FCFCFC"/>
        </w:rPr>
        <w:t xml:space="preserve"> </w:t>
      </w:r>
    </w:p>
    <w:p w14:paraId="75B60B66" w14:textId="5350430E" w:rsidR="00FF77F4" w:rsidRPr="00563B1B" w:rsidRDefault="00FF77F4" w:rsidP="00BF7D4E">
      <w:pPr>
        <w:rPr>
          <w:rFonts w:cstheme="minorHAnsi"/>
          <w:color w:val="000000" w:themeColor="text1"/>
          <w:shd w:val="clear" w:color="auto" w:fill="FCFCFC"/>
        </w:rPr>
      </w:pPr>
      <w:r w:rsidRPr="00563B1B">
        <w:rPr>
          <w:rFonts w:ascii="Calibri" w:hAnsi="Calibri" w:cs="Calibri"/>
          <w:color w:val="000000"/>
          <w:shd w:val="clear" w:color="auto" w:fill="FFFFFF"/>
        </w:rPr>
        <w:t xml:space="preserve">Verwaltungsarchiv. (2018) (Bd. 109 Heft: 3). Hürth, Deutschland: Wolters Kluwer Deutschland. </w:t>
      </w:r>
      <w:hyperlink r:id="rId39" w:history="1">
        <w:r w:rsidR="00010A5A" w:rsidRPr="00563B1B">
          <w:rPr>
            <w:rStyle w:val="Hyperlink"/>
            <w:rFonts w:ascii="Calibri" w:hAnsi="Calibri" w:cs="Calibri"/>
            <w:shd w:val="clear" w:color="auto" w:fill="FFFFFF"/>
          </w:rPr>
          <w:t>https://doi.org/10.1515/verwarch-2018-1090312</w:t>
        </w:r>
      </w:hyperlink>
      <w:r w:rsidR="00010A5A" w:rsidRPr="00563B1B">
        <w:rPr>
          <w:rFonts w:ascii="Calibri" w:hAnsi="Calibri" w:cs="Calibri"/>
          <w:color w:val="000000"/>
          <w:shd w:val="clear" w:color="auto" w:fill="FFFFFF"/>
        </w:rPr>
        <w:t xml:space="preserve"> </w:t>
      </w:r>
    </w:p>
    <w:p w14:paraId="139A2FC5" w14:textId="36FB628A" w:rsidR="00FF77F4" w:rsidRDefault="00FF77F4" w:rsidP="00FF77F4">
      <w:pPr>
        <w:rPr>
          <w:rFonts w:cstheme="minorHAnsi"/>
          <w:color w:val="000000" w:themeColor="text1"/>
          <w:spacing w:val="4"/>
          <w:shd w:val="clear" w:color="auto" w:fill="FCFCFC"/>
        </w:rPr>
      </w:pPr>
      <w:r w:rsidRPr="00563B1B">
        <w:rPr>
          <w:rFonts w:cstheme="minorHAnsi"/>
          <w:color w:val="000000" w:themeColor="text1"/>
          <w:spacing w:val="4"/>
          <w:shd w:val="clear" w:color="auto" w:fill="FCFCFC"/>
        </w:rPr>
        <w:t xml:space="preserve">Voigt P., von dem </w:t>
      </w:r>
      <w:proofErr w:type="spellStart"/>
      <w:r w:rsidRPr="00563B1B">
        <w:rPr>
          <w:rFonts w:cstheme="minorHAnsi"/>
          <w:color w:val="000000" w:themeColor="text1"/>
          <w:spacing w:val="4"/>
          <w:shd w:val="clear" w:color="auto" w:fill="FCFCFC"/>
        </w:rPr>
        <w:t>Bussche</w:t>
      </w:r>
      <w:proofErr w:type="spellEnd"/>
      <w:r w:rsidRPr="00563B1B">
        <w:rPr>
          <w:rFonts w:cstheme="minorHAnsi"/>
          <w:color w:val="000000" w:themeColor="text1"/>
          <w:spacing w:val="4"/>
          <w:shd w:val="clear" w:color="auto" w:fill="FCFCFC"/>
        </w:rPr>
        <w:t xml:space="preserve"> A. (2018) Praktische Umsetzung der Vorgaben der DSGVO. In: EU-Datenschutz-Grundverordnung (DSGVO). Springer, Berlin, Heidelberg</w:t>
      </w:r>
    </w:p>
    <w:p w14:paraId="650025DE" w14:textId="6437C2BA" w:rsidR="000A65A4" w:rsidRPr="00563B1B" w:rsidRDefault="000A65A4" w:rsidP="00FF77F4">
      <w:pPr>
        <w:rPr>
          <w:rFonts w:cstheme="minorHAnsi"/>
          <w:color w:val="000000" w:themeColor="text1"/>
          <w:spacing w:val="4"/>
          <w:shd w:val="clear" w:color="auto" w:fill="FCFCFC"/>
        </w:rPr>
      </w:pPr>
      <w:r w:rsidRPr="000A65A4">
        <w:rPr>
          <w:rFonts w:cstheme="minorHAnsi"/>
          <w:color w:val="000000" w:themeColor="text1"/>
          <w:shd w:val="clear" w:color="auto" w:fill="FCFCFC"/>
        </w:rPr>
        <w:t xml:space="preserve">Weber, M. Europäische Standards für den weltweiten </w:t>
      </w:r>
      <w:r w:rsidR="00A02BF3" w:rsidRPr="000A65A4">
        <w:rPr>
          <w:rFonts w:cstheme="minorHAnsi"/>
          <w:color w:val="000000" w:themeColor="text1"/>
          <w:shd w:val="clear" w:color="auto" w:fill="FCFCFC"/>
        </w:rPr>
        <w:t>Datenschutz.</w:t>
      </w:r>
      <w:r w:rsidRPr="000A65A4">
        <w:rPr>
          <w:rFonts w:cstheme="minorHAnsi"/>
          <w:color w:val="000000" w:themeColor="text1"/>
          <w:shd w:val="clear" w:color="auto" w:fill="FCFCFC"/>
        </w:rPr>
        <w:t> </w:t>
      </w:r>
      <w:r w:rsidRPr="000A65A4">
        <w:rPr>
          <w:rFonts w:cstheme="minorHAnsi"/>
          <w:i/>
          <w:iCs/>
          <w:color w:val="000000" w:themeColor="text1"/>
          <w:shd w:val="clear" w:color="auto" w:fill="FCFCFC"/>
        </w:rPr>
        <w:t xml:space="preserve">ZS </w:t>
      </w:r>
      <w:proofErr w:type="spellStart"/>
      <w:r w:rsidRPr="000A65A4">
        <w:rPr>
          <w:rFonts w:cstheme="minorHAnsi"/>
          <w:i/>
          <w:iCs/>
          <w:color w:val="000000" w:themeColor="text1"/>
          <w:shd w:val="clear" w:color="auto" w:fill="FCFCFC"/>
        </w:rPr>
        <w:t>Aussen</w:t>
      </w:r>
      <w:proofErr w:type="spellEnd"/>
      <w:r w:rsidRPr="000A65A4">
        <w:rPr>
          <w:rFonts w:cstheme="minorHAnsi"/>
          <w:i/>
          <w:iCs/>
          <w:color w:val="000000" w:themeColor="text1"/>
          <w:shd w:val="clear" w:color="auto" w:fill="FCFCFC"/>
        </w:rPr>
        <w:t xml:space="preserve"> </w:t>
      </w:r>
      <w:proofErr w:type="spellStart"/>
      <w:r w:rsidRPr="000A65A4">
        <w:rPr>
          <w:rFonts w:cstheme="minorHAnsi"/>
          <w:i/>
          <w:iCs/>
          <w:color w:val="000000" w:themeColor="text1"/>
          <w:shd w:val="clear" w:color="auto" w:fill="FCFCFC"/>
        </w:rPr>
        <w:t>Sicherh</w:t>
      </w:r>
      <w:proofErr w:type="spellEnd"/>
      <w:r w:rsidRPr="000A65A4">
        <w:rPr>
          <w:rFonts w:cstheme="minorHAnsi"/>
          <w:i/>
          <w:iCs/>
          <w:color w:val="000000" w:themeColor="text1"/>
          <w:shd w:val="clear" w:color="auto" w:fill="FCFCFC"/>
        </w:rPr>
        <w:t xml:space="preserve">. </w:t>
      </w:r>
      <w:proofErr w:type="spellStart"/>
      <w:r w:rsidRPr="000A65A4">
        <w:rPr>
          <w:rFonts w:cstheme="minorHAnsi"/>
          <w:i/>
          <w:iCs/>
          <w:color w:val="000000" w:themeColor="text1"/>
          <w:shd w:val="clear" w:color="auto" w:fill="FCFCFC"/>
        </w:rPr>
        <w:t>Polit</w:t>
      </w:r>
      <w:proofErr w:type="spellEnd"/>
      <w:r w:rsidRPr="000A65A4">
        <w:rPr>
          <w:rFonts w:cstheme="minorHAnsi"/>
          <w:i/>
          <w:iCs/>
          <w:color w:val="000000" w:themeColor="text1"/>
          <w:shd w:val="clear" w:color="auto" w:fill="FCFCFC"/>
        </w:rPr>
        <w:t>.</w:t>
      </w:r>
      <w:r w:rsidRPr="000A65A4">
        <w:rPr>
          <w:rFonts w:cstheme="minorHAnsi"/>
          <w:color w:val="000000" w:themeColor="text1"/>
          <w:shd w:val="clear" w:color="auto" w:fill="FCFCFC"/>
        </w:rPr>
        <w:t> </w:t>
      </w:r>
      <w:r w:rsidRPr="000A65A4">
        <w:rPr>
          <w:rFonts w:cstheme="minorHAnsi"/>
          <w:b/>
          <w:bCs/>
          <w:color w:val="000000" w:themeColor="text1"/>
          <w:shd w:val="clear" w:color="auto" w:fill="FCFCFC"/>
        </w:rPr>
        <w:t>2, </w:t>
      </w:r>
      <w:r w:rsidRPr="000A65A4">
        <w:rPr>
          <w:rFonts w:cstheme="minorHAnsi"/>
          <w:color w:val="000000" w:themeColor="text1"/>
          <w:shd w:val="clear" w:color="auto" w:fill="FCFCFC"/>
        </w:rPr>
        <w:t>182–192 (2009).</w:t>
      </w:r>
      <w:r w:rsidRPr="000A65A4">
        <w:rPr>
          <w:rFonts w:ascii="Segoe UI" w:hAnsi="Segoe UI" w:cs="Segoe UI"/>
          <w:color w:val="000000" w:themeColor="text1"/>
          <w:shd w:val="clear" w:color="auto" w:fill="FCFCFC"/>
        </w:rPr>
        <w:t xml:space="preserve"> </w:t>
      </w:r>
      <w:hyperlink r:id="rId40" w:history="1">
        <w:r w:rsidRPr="000A65A4">
          <w:rPr>
            <w:rStyle w:val="Hyperlink"/>
            <w:rFonts w:cstheme="minorHAnsi"/>
            <w:shd w:val="clear" w:color="auto" w:fill="FCFCFC"/>
          </w:rPr>
          <w:t>https://doi.org/10.1007/s12399-009-0030-5</w:t>
        </w:r>
      </w:hyperlink>
      <w:r w:rsidRPr="000A65A4">
        <w:rPr>
          <w:rFonts w:cstheme="minorHAnsi"/>
          <w:color w:val="333333"/>
          <w:shd w:val="clear" w:color="auto" w:fill="FCFCFC"/>
        </w:rPr>
        <w:t xml:space="preserve"> </w:t>
      </w:r>
    </w:p>
    <w:p w14:paraId="372D307B" w14:textId="6D907D28" w:rsidR="002477BB" w:rsidRPr="001172FA" w:rsidRDefault="002477BB" w:rsidP="00BF7D4E">
      <w:pPr>
        <w:rPr>
          <w:rFonts w:ascii="Arial" w:hAnsi="Arial" w:cs="Arial"/>
          <w:b/>
          <w:bCs/>
          <w:sz w:val="24"/>
          <w:szCs w:val="24"/>
          <w:u w:val="single"/>
        </w:rPr>
      </w:pPr>
      <w:r w:rsidRPr="001172FA">
        <w:rPr>
          <w:rFonts w:ascii="Arial" w:hAnsi="Arial" w:cs="Arial"/>
          <w:b/>
          <w:bCs/>
          <w:sz w:val="24"/>
          <w:szCs w:val="24"/>
          <w:u w:val="single"/>
        </w:rPr>
        <w:t>Rechtsquellen</w:t>
      </w:r>
    </w:p>
    <w:p w14:paraId="20858E39" w14:textId="33591533" w:rsidR="00273F91" w:rsidRDefault="00273F91" w:rsidP="00EA62A3">
      <w:pPr>
        <w:rPr>
          <w:rFonts w:ascii="Calibri" w:hAnsi="Calibri" w:cs="Calibri"/>
          <w:color w:val="000000"/>
          <w:shd w:val="clear" w:color="auto" w:fill="FFFFFF"/>
        </w:rPr>
      </w:pPr>
      <w:r w:rsidRPr="00563B1B">
        <w:rPr>
          <w:rFonts w:ascii="Calibri" w:hAnsi="Calibri" w:cs="Calibri"/>
          <w:color w:val="000000"/>
          <w:shd w:val="clear" w:color="auto" w:fill="FFFFFF"/>
        </w:rPr>
        <w:t xml:space="preserve">Datenschutz.org. (2018, Juli 11). </w:t>
      </w:r>
      <w:proofErr w:type="spellStart"/>
      <w:r w:rsidRPr="00563B1B">
        <w:rPr>
          <w:rFonts w:ascii="Calibri" w:hAnsi="Calibri" w:cs="Calibri"/>
          <w:color w:val="000000"/>
          <w:shd w:val="clear" w:color="auto" w:fill="FFFFFF"/>
        </w:rPr>
        <w:t>Opt</w:t>
      </w:r>
      <w:proofErr w:type="spellEnd"/>
      <w:r w:rsidRPr="00563B1B">
        <w:rPr>
          <w:rFonts w:ascii="Calibri" w:hAnsi="Calibri" w:cs="Calibri"/>
          <w:color w:val="000000"/>
          <w:shd w:val="clear" w:color="auto" w:fill="FFFFFF"/>
        </w:rPr>
        <w:t xml:space="preserve">-Out: Ein Einwilligungsverfahren. Abgerufen 21. März 2020, von </w:t>
      </w:r>
      <w:hyperlink r:id="rId41" w:history="1">
        <w:r w:rsidRPr="00563B1B">
          <w:rPr>
            <w:rStyle w:val="Hyperlink"/>
            <w:rFonts w:ascii="Calibri" w:hAnsi="Calibri" w:cs="Calibri"/>
            <w:shd w:val="clear" w:color="auto" w:fill="FFFFFF"/>
          </w:rPr>
          <w:t>https://www.datenschutz.org/opt-out/</w:t>
        </w:r>
      </w:hyperlink>
      <w:r w:rsidRPr="00563B1B">
        <w:rPr>
          <w:rFonts w:ascii="Calibri" w:hAnsi="Calibri" w:cs="Calibri"/>
          <w:color w:val="000000"/>
          <w:shd w:val="clear" w:color="auto" w:fill="FFFFFF"/>
        </w:rPr>
        <w:t xml:space="preserve"> </w:t>
      </w:r>
    </w:p>
    <w:p w14:paraId="392C936E" w14:textId="0CFEE659" w:rsidR="00145B19" w:rsidRDefault="00145B19" w:rsidP="00145B19">
      <w:r w:rsidRPr="00563B1B">
        <w:rPr>
          <w:rFonts w:ascii="Arial" w:hAnsi="Arial" w:cs="Arial"/>
          <w:sz w:val="20"/>
          <w:szCs w:val="20"/>
        </w:rPr>
        <w:t xml:space="preserve">Datenschutz.org (2019):  </w:t>
      </w:r>
      <w:proofErr w:type="gramStart"/>
      <w:r w:rsidRPr="00563B1B">
        <w:rPr>
          <w:rFonts w:ascii="Arial" w:hAnsi="Arial" w:cs="Arial"/>
          <w:sz w:val="20"/>
          <w:szCs w:val="20"/>
        </w:rPr>
        <w:t>EU Datenschutzgrundverordnung</w:t>
      </w:r>
      <w:proofErr w:type="gramEnd"/>
      <w:r w:rsidRPr="00563B1B">
        <w:rPr>
          <w:rFonts w:ascii="Arial" w:hAnsi="Arial" w:cs="Arial"/>
          <w:sz w:val="20"/>
          <w:szCs w:val="20"/>
        </w:rPr>
        <w:t xml:space="preserve"> (DSGVO): Verbindliches Datenschutzrecht für alle!</w:t>
      </w:r>
      <w:r>
        <w:rPr>
          <w:rFonts w:ascii="Arial" w:hAnsi="Arial" w:cs="Arial"/>
          <w:sz w:val="20"/>
          <w:szCs w:val="20"/>
        </w:rPr>
        <w:t xml:space="preserve"> </w:t>
      </w:r>
      <w:r w:rsidRPr="00563B1B">
        <w:rPr>
          <w:rFonts w:ascii="Calibri" w:hAnsi="Calibri" w:cs="Calibri"/>
          <w:color w:val="000000"/>
          <w:shd w:val="clear" w:color="auto" w:fill="FFFFFF"/>
        </w:rPr>
        <w:t xml:space="preserve">Abgerufen </w:t>
      </w:r>
      <w:r>
        <w:rPr>
          <w:rFonts w:ascii="Calibri" w:hAnsi="Calibri" w:cs="Calibri"/>
          <w:color w:val="000000"/>
          <w:shd w:val="clear" w:color="auto" w:fill="FFFFFF"/>
        </w:rPr>
        <w:t>16</w:t>
      </w:r>
      <w:r w:rsidRPr="00563B1B">
        <w:rPr>
          <w:rFonts w:ascii="Calibri" w:hAnsi="Calibri" w:cs="Calibri"/>
          <w:color w:val="000000"/>
          <w:shd w:val="clear" w:color="auto" w:fill="FFFFFF"/>
        </w:rPr>
        <w:t>. März 2020</w:t>
      </w:r>
      <w:r w:rsidRPr="00563B1B">
        <w:rPr>
          <w:rFonts w:ascii="Arial" w:hAnsi="Arial" w:cs="Arial"/>
          <w:sz w:val="20"/>
          <w:szCs w:val="20"/>
        </w:rPr>
        <w:t xml:space="preserve"> </w:t>
      </w:r>
      <w:hyperlink r:id="rId42" w:history="1">
        <w:r w:rsidRPr="00563B1B">
          <w:rPr>
            <w:rStyle w:val="Hyperlink"/>
          </w:rPr>
          <w:t>https://www.datenschutz.org/eu-datenschutzgrundverordnung/</w:t>
        </w:r>
      </w:hyperlink>
      <w:r w:rsidRPr="00563B1B">
        <w:t xml:space="preserve"> </w:t>
      </w:r>
    </w:p>
    <w:p w14:paraId="29D78C0C" w14:textId="2CC689E0" w:rsidR="003D5A7F" w:rsidRDefault="003D5A7F" w:rsidP="00145B19">
      <w:r>
        <w:rPr>
          <w:rFonts w:ascii="Calibri" w:hAnsi="Calibri" w:cs="Calibri"/>
          <w:color w:val="000000"/>
          <w:shd w:val="clear" w:color="auto" w:fill="FFFFFF"/>
        </w:rPr>
        <w:t xml:space="preserve">EU-US Privacy Shield: Schutzschild für europäische Daten? (2018, Oktober 19). Abgerufen 27. Mai 2020, von </w:t>
      </w:r>
      <w:hyperlink r:id="rId43" w:history="1">
        <w:r w:rsidRPr="00D21A12">
          <w:rPr>
            <w:rStyle w:val="Hyperlink"/>
            <w:rFonts w:ascii="Calibri" w:hAnsi="Calibri" w:cs="Calibri"/>
            <w:shd w:val="clear" w:color="auto" w:fill="FFFFFF"/>
          </w:rPr>
          <w:t>https://www.datenschutz.org/privacy-shield/</w:t>
        </w:r>
      </w:hyperlink>
      <w:r>
        <w:rPr>
          <w:rFonts w:ascii="Calibri" w:hAnsi="Calibri" w:cs="Calibri"/>
          <w:color w:val="000000"/>
          <w:shd w:val="clear" w:color="auto" w:fill="FFFFFF"/>
        </w:rPr>
        <w:t xml:space="preserve"> </w:t>
      </w:r>
    </w:p>
    <w:p w14:paraId="69B2AC4E" w14:textId="04C5585B" w:rsidR="00FC14F8" w:rsidRDefault="00FC14F8" w:rsidP="00FC14F8">
      <w:pPr>
        <w:rPr>
          <w:rFonts w:ascii="Calibri" w:hAnsi="Calibri" w:cs="Calibri"/>
          <w:color w:val="000000"/>
          <w:shd w:val="clear" w:color="auto" w:fill="FFFFFF"/>
        </w:rPr>
      </w:pPr>
      <w:r w:rsidRPr="00563B1B">
        <w:rPr>
          <w:rFonts w:ascii="Calibri" w:hAnsi="Calibri" w:cs="Calibri"/>
          <w:color w:val="000000"/>
          <w:shd w:val="clear" w:color="auto" w:fill="FFFFFF"/>
        </w:rPr>
        <w:lastRenderedPageBreak/>
        <w:t xml:space="preserve">Datenschutzbeauftragter.info: Was bedeutet Privacy </w:t>
      </w:r>
      <w:proofErr w:type="spellStart"/>
      <w:r w:rsidRPr="00563B1B">
        <w:rPr>
          <w:rFonts w:ascii="Calibri" w:hAnsi="Calibri" w:cs="Calibri"/>
          <w:color w:val="000000"/>
          <w:shd w:val="clear" w:color="auto" w:fill="FFFFFF"/>
        </w:rPr>
        <w:t>by</w:t>
      </w:r>
      <w:proofErr w:type="spellEnd"/>
      <w:r w:rsidRPr="00563B1B">
        <w:rPr>
          <w:rFonts w:ascii="Calibri" w:hAnsi="Calibri" w:cs="Calibri"/>
          <w:color w:val="000000"/>
          <w:shd w:val="clear" w:color="auto" w:fill="FFFFFF"/>
        </w:rPr>
        <w:t xml:space="preserve"> Design / Privacy </w:t>
      </w:r>
      <w:proofErr w:type="spellStart"/>
      <w:r w:rsidRPr="00563B1B">
        <w:rPr>
          <w:rFonts w:ascii="Calibri" w:hAnsi="Calibri" w:cs="Calibri"/>
          <w:color w:val="000000"/>
          <w:shd w:val="clear" w:color="auto" w:fill="FFFFFF"/>
        </w:rPr>
        <w:t>by</w:t>
      </w:r>
      <w:proofErr w:type="spellEnd"/>
      <w:r w:rsidRPr="00563B1B">
        <w:rPr>
          <w:rFonts w:ascii="Calibri" w:hAnsi="Calibri" w:cs="Calibri"/>
          <w:color w:val="000000"/>
          <w:shd w:val="clear" w:color="auto" w:fill="FFFFFF"/>
        </w:rPr>
        <w:t xml:space="preserve"> Default wirklich? (2017, Oktober 17). Abgerufen 17. März 2020, von </w:t>
      </w:r>
      <w:hyperlink r:id="rId44" w:history="1">
        <w:r w:rsidRPr="00563B1B">
          <w:rPr>
            <w:rStyle w:val="Hyperlink"/>
            <w:rFonts w:ascii="Calibri" w:hAnsi="Calibri" w:cs="Calibri"/>
            <w:shd w:val="clear" w:color="auto" w:fill="FFFFFF"/>
          </w:rPr>
          <w:t>https://www.datenschutzbeauftragter-info.de/was-bedeutet-privacy-by-design-privacy-by-default-wirklich/</w:t>
        </w:r>
      </w:hyperlink>
      <w:r w:rsidRPr="00563B1B">
        <w:rPr>
          <w:rFonts w:ascii="Calibri" w:hAnsi="Calibri" w:cs="Calibri"/>
          <w:color w:val="000000"/>
          <w:shd w:val="clear" w:color="auto" w:fill="FFFFFF"/>
        </w:rPr>
        <w:t xml:space="preserve"> </w:t>
      </w:r>
    </w:p>
    <w:p w14:paraId="2F405FC8" w14:textId="77777777" w:rsidR="007B2A85" w:rsidRPr="00563B1B" w:rsidRDefault="007B2A85" w:rsidP="007B2A85">
      <w:r w:rsidRPr="00563B1B">
        <w:rPr>
          <w:rFonts w:ascii="Arial" w:hAnsi="Arial" w:cs="Arial"/>
          <w:sz w:val="20"/>
          <w:szCs w:val="20"/>
        </w:rPr>
        <w:t>Der Europäische Datenschutzbeauftragte: Entwicklungsgeschichte der Datenschutz-Grundverordnung</w:t>
      </w:r>
      <w:r w:rsidRPr="00563B1B">
        <w:t>. Abgerufen 15.März 2020, von</w:t>
      </w:r>
      <w:r w:rsidRPr="00563B1B">
        <w:rPr>
          <w:rFonts w:ascii="Arial" w:hAnsi="Arial" w:cs="Arial"/>
          <w:sz w:val="20"/>
          <w:szCs w:val="20"/>
        </w:rPr>
        <w:t xml:space="preserve">, </w:t>
      </w:r>
      <w:hyperlink r:id="rId45" w:history="1">
        <w:r w:rsidRPr="00563B1B">
          <w:rPr>
            <w:rStyle w:val="Hyperlink"/>
          </w:rPr>
          <w:t>https://edps.europa.eu/data-protection/data-protection/legislation/history-general-data-protection-regulation_de</w:t>
        </w:r>
      </w:hyperlink>
      <w:r w:rsidRPr="00563B1B">
        <w:t xml:space="preserve">  </w:t>
      </w:r>
    </w:p>
    <w:p w14:paraId="6DCEBEC2" w14:textId="5FF0F5A9" w:rsidR="000F0926" w:rsidRPr="00563B1B" w:rsidRDefault="000F0926" w:rsidP="00BF7D4E">
      <w:pPr>
        <w:rPr>
          <w:rFonts w:ascii="Calibri" w:hAnsi="Calibri" w:cs="Calibri"/>
          <w:color w:val="000000"/>
          <w:shd w:val="clear" w:color="auto" w:fill="FFFFFF"/>
        </w:rPr>
      </w:pPr>
      <w:r w:rsidRPr="00563B1B">
        <w:rPr>
          <w:rFonts w:ascii="Calibri" w:hAnsi="Calibri" w:cs="Calibri"/>
          <w:color w:val="000000"/>
          <w:shd w:val="clear" w:color="auto" w:fill="FFFFFF"/>
        </w:rPr>
        <w:t xml:space="preserve">Erwägungsgrund 13 EU DS-GVO. (o. J.). Abgerufen 1. April 2020, von </w:t>
      </w:r>
      <w:hyperlink r:id="rId46" w:history="1">
        <w:r w:rsidRPr="00563B1B">
          <w:rPr>
            <w:rStyle w:val="Hyperlink"/>
            <w:rFonts w:ascii="Calibri" w:hAnsi="Calibri" w:cs="Calibri"/>
            <w:shd w:val="clear" w:color="auto" w:fill="FFFFFF"/>
          </w:rPr>
          <w:t>https://www.privacy-regulation.eu/de/erwaegungsgrund-13-DS-GVO.htm</w:t>
        </w:r>
      </w:hyperlink>
      <w:r w:rsidRPr="00563B1B">
        <w:rPr>
          <w:rFonts w:ascii="Calibri" w:hAnsi="Calibri" w:cs="Calibri"/>
          <w:color w:val="000000"/>
          <w:shd w:val="clear" w:color="auto" w:fill="FFFFFF"/>
        </w:rPr>
        <w:t xml:space="preserve"> </w:t>
      </w:r>
    </w:p>
    <w:p w14:paraId="3F7CFBF9" w14:textId="03A89DF1" w:rsidR="00C03AEF" w:rsidRDefault="00C03AEF" w:rsidP="00BF7D4E">
      <w:pPr>
        <w:rPr>
          <w:rFonts w:ascii="Calibri" w:hAnsi="Calibri" w:cs="Calibri"/>
          <w:color w:val="000000"/>
          <w:shd w:val="clear" w:color="auto" w:fill="FFFFFF"/>
        </w:rPr>
      </w:pPr>
      <w:r w:rsidRPr="00563B1B">
        <w:rPr>
          <w:rFonts w:ascii="Calibri" w:hAnsi="Calibri" w:cs="Calibri"/>
          <w:color w:val="000000"/>
          <w:shd w:val="clear" w:color="auto" w:fill="FFFFFF"/>
        </w:rPr>
        <w:t xml:space="preserve">Erwägungsgrund 006. (2016, April 27). Abgerufen 2. April 2020, von </w:t>
      </w:r>
      <w:hyperlink r:id="rId47" w:history="1">
        <w:r w:rsidRPr="00563B1B">
          <w:rPr>
            <w:rStyle w:val="Hyperlink"/>
            <w:rFonts w:ascii="Calibri" w:hAnsi="Calibri" w:cs="Calibri"/>
            <w:shd w:val="clear" w:color="auto" w:fill="FFFFFF"/>
          </w:rPr>
          <w:t>https://www.datenschutz-grundverordnung.eu/grundverordnung/erwagungsgrund-006/</w:t>
        </w:r>
      </w:hyperlink>
      <w:r w:rsidRPr="00563B1B">
        <w:rPr>
          <w:rFonts w:ascii="Calibri" w:hAnsi="Calibri" w:cs="Calibri"/>
          <w:color w:val="000000"/>
          <w:shd w:val="clear" w:color="auto" w:fill="FFFFFF"/>
        </w:rPr>
        <w:t xml:space="preserve"> </w:t>
      </w:r>
    </w:p>
    <w:p w14:paraId="3B60B617" w14:textId="5911D3CA" w:rsidR="00FC14F8" w:rsidRDefault="00FC14F8" w:rsidP="00FC14F8">
      <w:pPr>
        <w:rPr>
          <w:rFonts w:ascii="Calibri" w:hAnsi="Calibri" w:cs="Calibri"/>
          <w:color w:val="000000"/>
          <w:shd w:val="clear" w:color="auto" w:fill="FFFFFF"/>
        </w:rPr>
      </w:pPr>
      <w:r w:rsidRPr="00563B1B">
        <w:rPr>
          <w:rFonts w:ascii="Calibri" w:hAnsi="Calibri" w:cs="Calibri"/>
          <w:color w:val="000000"/>
          <w:shd w:val="clear" w:color="auto" w:fill="FFFFFF"/>
        </w:rPr>
        <w:t xml:space="preserve">Schweiger. (2018, Januar 1). Was sind „TOMs“ (technische und organisatorische Maßnahmen) </w:t>
      </w:r>
      <w:proofErr w:type="spellStart"/>
      <w:r w:rsidRPr="00563B1B">
        <w:rPr>
          <w:rFonts w:ascii="Calibri" w:hAnsi="Calibri" w:cs="Calibri"/>
          <w:color w:val="000000"/>
          <w:shd w:val="clear" w:color="auto" w:fill="FFFFFF"/>
        </w:rPr>
        <w:t>iSd</w:t>
      </w:r>
      <w:proofErr w:type="spellEnd"/>
      <w:r w:rsidRPr="00563B1B">
        <w:rPr>
          <w:rFonts w:ascii="Calibri" w:hAnsi="Calibri" w:cs="Calibri"/>
          <w:color w:val="000000"/>
          <w:shd w:val="clear" w:color="auto" w:fill="FFFFFF"/>
        </w:rPr>
        <w:t xml:space="preserve"> DSGVO? Abgerufen 16. März 2020, von </w:t>
      </w:r>
      <w:hyperlink r:id="rId48" w:history="1">
        <w:r w:rsidRPr="00563B1B">
          <w:rPr>
            <w:rStyle w:val="Hyperlink"/>
            <w:rFonts w:ascii="Calibri" w:hAnsi="Calibri" w:cs="Calibri"/>
            <w:shd w:val="clear" w:color="auto" w:fill="FFFFFF"/>
          </w:rPr>
          <w:t>https://www.wko.at/branchen/information-consulting/finanzdienstleister/toms-muster.pdf</w:t>
        </w:r>
      </w:hyperlink>
      <w:r w:rsidRPr="00563B1B">
        <w:rPr>
          <w:rFonts w:ascii="Calibri" w:hAnsi="Calibri" w:cs="Calibri"/>
          <w:color w:val="000000"/>
          <w:shd w:val="clear" w:color="auto" w:fill="FFFFFF"/>
        </w:rPr>
        <w:t xml:space="preserve"> </w:t>
      </w:r>
    </w:p>
    <w:p w14:paraId="698337CF" w14:textId="77777777" w:rsidR="00FC14F8" w:rsidRPr="00563B1B" w:rsidRDefault="00FC14F8" w:rsidP="00FC14F8">
      <w:pPr>
        <w:rPr>
          <w:rFonts w:ascii="Calibri" w:hAnsi="Calibri" w:cs="Calibri"/>
          <w:color w:val="000000"/>
          <w:shd w:val="clear" w:color="auto" w:fill="FFFFFF"/>
        </w:rPr>
      </w:pPr>
      <w:r w:rsidRPr="00563B1B">
        <w:rPr>
          <w:rFonts w:ascii="Calibri" w:hAnsi="Calibri" w:cs="Calibri"/>
          <w:color w:val="000000"/>
          <w:shd w:val="clear" w:color="auto" w:fill="FFFFFF"/>
        </w:rPr>
        <w:t xml:space="preserve">WKO. (2019, März 25). EU-Datenschutz-Grundverordnung (DSGVO): Sachlicher und räumlicher Anwendungsbereich. Abgerufen 17. März 2020, von </w:t>
      </w:r>
      <w:hyperlink r:id="rId49" w:history="1">
        <w:r w:rsidRPr="00563B1B">
          <w:rPr>
            <w:rStyle w:val="Hyperlink"/>
            <w:rFonts w:ascii="Calibri" w:hAnsi="Calibri" w:cs="Calibri"/>
            <w:shd w:val="clear" w:color="auto" w:fill="FFFFFF"/>
          </w:rPr>
          <w:t>https://www.wko.at/service/wirtschaftsrecht-gewerberecht/EU-Datenschutz-Grundverordnung:-Sachlicher-und-raeumliche.html</w:t>
        </w:r>
      </w:hyperlink>
      <w:r w:rsidRPr="00563B1B">
        <w:rPr>
          <w:rFonts w:ascii="Calibri" w:hAnsi="Calibri" w:cs="Calibri"/>
          <w:color w:val="000000"/>
          <w:shd w:val="clear" w:color="auto" w:fill="FFFFFF"/>
        </w:rPr>
        <w:t xml:space="preserve"> </w:t>
      </w:r>
    </w:p>
    <w:p w14:paraId="6A00FFE0" w14:textId="77777777" w:rsidR="00FC14F8" w:rsidRPr="00563B1B" w:rsidRDefault="00FC14F8" w:rsidP="00FC14F8">
      <w:pPr>
        <w:rPr>
          <w:rFonts w:ascii="Calibri" w:hAnsi="Calibri" w:cs="Calibri"/>
          <w:color w:val="000000"/>
          <w:shd w:val="clear" w:color="auto" w:fill="FFFFFF"/>
        </w:rPr>
      </w:pPr>
      <w:r w:rsidRPr="00563B1B">
        <w:rPr>
          <w:rFonts w:ascii="Calibri" w:hAnsi="Calibri" w:cs="Calibri"/>
          <w:color w:val="000000"/>
          <w:shd w:val="clear" w:color="auto" w:fill="FFFFFF"/>
        </w:rPr>
        <w:t xml:space="preserve">WKO. (2020, April 2). EU-Datenschutz-Grundverordnung (DSGVO): Dokumentationspflicht - Verzeichnis von Verarbeitungstätigkeiten. Abgerufen 16. März 2020, von </w:t>
      </w:r>
      <w:hyperlink r:id="rId50" w:history="1">
        <w:r w:rsidRPr="00563B1B">
          <w:rPr>
            <w:rStyle w:val="Hyperlink"/>
            <w:rFonts w:ascii="Calibri" w:hAnsi="Calibri" w:cs="Calibri"/>
            <w:shd w:val="clear" w:color="auto" w:fill="FFFFFF"/>
          </w:rPr>
          <w:t>https://www.wko.at/service/wirtschaftsrecht-gewerberecht/EU-Datenschutz-Grundverordnung:-Dokumentationspflicht.html</w:t>
        </w:r>
      </w:hyperlink>
      <w:r w:rsidRPr="00563B1B">
        <w:rPr>
          <w:rFonts w:ascii="Calibri" w:hAnsi="Calibri" w:cs="Calibri"/>
          <w:color w:val="000000"/>
          <w:shd w:val="clear" w:color="auto" w:fill="FFFFFF"/>
        </w:rPr>
        <w:t xml:space="preserve"> </w:t>
      </w:r>
    </w:p>
    <w:p w14:paraId="436521FF" w14:textId="77777777" w:rsidR="00FC14F8" w:rsidRPr="00563B1B" w:rsidRDefault="00FC14F8" w:rsidP="00FC14F8">
      <w:pPr>
        <w:rPr>
          <w:rFonts w:ascii="Calibri" w:hAnsi="Calibri" w:cs="Calibri"/>
          <w:color w:val="000000"/>
          <w:shd w:val="clear" w:color="auto" w:fill="FFFFFF"/>
        </w:rPr>
      </w:pPr>
      <w:r w:rsidRPr="00563B1B">
        <w:rPr>
          <w:rFonts w:ascii="Calibri" w:hAnsi="Calibri" w:cs="Calibri"/>
          <w:color w:val="000000"/>
          <w:shd w:val="clear" w:color="auto" w:fill="FFFFFF"/>
        </w:rPr>
        <w:t xml:space="preserve">WKO. (2020, April 15). EU-Datenschutz-Grundverordnung (DSGVO): Auskunftspflicht des Verantwortlichen. Abgerufen 18. März 2020, von </w:t>
      </w:r>
      <w:hyperlink r:id="rId51" w:history="1">
        <w:r w:rsidRPr="00563B1B">
          <w:rPr>
            <w:rStyle w:val="Hyperlink"/>
            <w:rFonts w:ascii="Calibri" w:hAnsi="Calibri" w:cs="Calibri"/>
            <w:shd w:val="clear" w:color="auto" w:fill="FFFFFF"/>
          </w:rPr>
          <w:t>https://www.wko.at/service/wirtschaftsrecht-gewerberecht/EU-Datenschutz-Grundverordnung:-Auskunftspflicht-des-Vera.html</w:t>
        </w:r>
      </w:hyperlink>
      <w:r w:rsidRPr="00563B1B">
        <w:rPr>
          <w:rFonts w:ascii="Calibri" w:hAnsi="Calibri" w:cs="Calibri"/>
          <w:color w:val="000000"/>
          <w:shd w:val="clear" w:color="auto" w:fill="FFFFFF"/>
        </w:rPr>
        <w:t xml:space="preserve"> </w:t>
      </w:r>
    </w:p>
    <w:p w14:paraId="1BF6E385" w14:textId="19D60383" w:rsidR="00FC14F8" w:rsidRPr="00563B1B" w:rsidRDefault="00FC14F8" w:rsidP="00FC14F8">
      <w:pPr>
        <w:rPr>
          <w:rFonts w:ascii="Calibri" w:hAnsi="Calibri" w:cs="Calibri"/>
          <w:color w:val="000000"/>
          <w:shd w:val="clear" w:color="auto" w:fill="FFFFFF"/>
        </w:rPr>
      </w:pPr>
      <w:r w:rsidRPr="00563B1B">
        <w:rPr>
          <w:rFonts w:ascii="Calibri" w:hAnsi="Calibri" w:cs="Calibri"/>
          <w:color w:val="000000"/>
          <w:shd w:val="clear" w:color="auto" w:fill="FFFFFF"/>
        </w:rPr>
        <w:t xml:space="preserve">WKO. (2020, April 2). EU-Datenschutz-Grundverordnung (DSGVO): Rechtsdurchsetzung und Strafen. Abgerufen 5. April 2020, von </w:t>
      </w:r>
      <w:hyperlink r:id="rId52" w:history="1">
        <w:r w:rsidRPr="00563B1B">
          <w:rPr>
            <w:rStyle w:val="Hyperlink"/>
            <w:rFonts w:ascii="Calibri" w:hAnsi="Calibri" w:cs="Calibri"/>
            <w:shd w:val="clear" w:color="auto" w:fill="FFFFFF"/>
          </w:rPr>
          <w:t>https://www.wko.at/service/wirtschaftsrecht-gewerberecht/EU-Datenschutz-Grundverordnung:-Rechtsdurchsetzung-und-St.html</w:t>
        </w:r>
      </w:hyperlink>
    </w:p>
    <w:p w14:paraId="0CCEC554" w14:textId="40C8EAC2" w:rsidR="00480735" w:rsidRDefault="00480735" w:rsidP="00634D94"/>
    <w:p w14:paraId="76E2E878" w14:textId="32812018" w:rsidR="00A22DE2" w:rsidRDefault="00A22DE2" w:rsidP="00634D94"/>
    <w:p w14:paraId="1EB8F796" w14:textId="77777777" w:rsidR="00A22DE2" w:rsidRPr="00634D94" w:rsidRDefault="00A22DE2" w:rsidP="00634D94"/>
    <w:sectPr w:rsidR="00A22DE2" w:rsidRPr="00634D94" w:rsidSect="00081177">
      <w:footerReference w:type="default" r:id="rId53"/>
      <w:headerReference w:type="first" r:id="rId54"/>
      <w:pgSz w:w="11906" w:h="16838"/>
      <w:pgMar w:top="1417" w:right="1417" w:bottom="1134"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552A8" w14:textId="77777777" w:rsidR="003C51F5" w:rsidRDefault="003C51F5" w:rsidP="00081177">
      <w:pPr>
        <w:spacing w:after="0" w:line="240" w:lineRule="auto"/>
      </w:pPr>
      <w:r>
        <w:separator/>
      </w:r>
    </w:p>
  </w:endnote>
  <w:endnote w:type="continuationSeparator" w:id="0">
    <w:p w14:paraId="46C86E41" w14:textId="77777777" w:rsidR="003C51F5" w:rsidRDefault="003C51F5" w:rsidP="00081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22706"/>
      <w:docPartObj>
        <w:docPartGallery w:val="Page Numbers (Bottom of Page)"/>
        <w:docPartUnique/>
      </w:docPartObj>
    </w:sdtPr>
    <w:sdtEndPr/>
    <w:sdtContent>
      <w:p w14:paraId="4B54D0AC" w14:textId="2819C58A" w:rsidR="007F06A1" w:rsidRDefault="007F06A1">
        <w:pPr>
          <w:pStyle w:val="Fuzeile"/>
          <w:jc w:val="right"/>
        </w:pPr>
        <w:r>
          <w:fldChar w:fldCharType="begin"/>
        </w:r>
        <w:r>
          <w:instrText>PAGE   \* MERGEFORMAT</w:instrText>
        </w:r>
        <w:r>
          <w:fldChar w:fldCharType="separate"/>
        </w:r>
        <w:r>
          <w:rPr>
            <w:lang w:val="de-DE"/>
          </w:rPr>
          <w:t>2</w:t>
        </w:r>
        <w:r>
          <w:fldChar w:fldCharType="end"/>
        </w:r>
      </w:p>
    </w:sdtContent>
  </w:sdt>
  <w:p w14:paraId="6B17034B" w14:textId="77777777" w:rsidR="007F06A1" w:rsidRDefault="007F06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E30D4" w14:textId="77777777" w:rsidR="003C51F5" w:rsidRDefault="003C51F5" w:rsidP="00081177">
      <w:pPr>
        <w:spacing w:after="0" w:line="240" w:lineRule="auto"/>
      </w:pPr>
      <w:r>
        <w:separator/>
      </w:r>
    </w:p>
  </w:footnote>
  <w:footnote w:type="continuationSeparator" w:id="0">
    <w:p w14:paraId="56AF58F4" w14:textId="77777777" w:rsidR="003C51F5" w:rsidRDefault="003C51F5" w:rsidP="00081177">
      <w:pPr>
        <w:spacing w:after="0" w:line="240" w:lineRule="auto"/>
      </w:pPr>
      <w:r>
        <w:continuationSeparator/>
      </w:r>
    </w:p>
  </w:footnote>
  <w:footnote w:id="1">
    <w:p w14:paraId="68A3A66F" w14:textId="152DAE9C" w:rsidR="007F06A1" w:rsidRPr="00BF7D4E" w:rsidRDefault="007F06A1">
      <w:pPr>
        <w:pStyle w:val="Funotentext"/>
        <w:rPr>
          <w:lang w:val="de-DE"/>
        </w:rPr>
      </w:pPr>
      <w:r>
        <w:rPr>
          <w:rStyle w:val="Funotenzeichen"/>
        </w:rPr>
        <w:footnoteRef/>
      </w:r>
      <w:r>
        <w:t xml:space="preserve"> </w:t>
      </w:r>
      <w:r>
        <w:rPr>
          <w:lang w:val="de-DE"/>
        </w:rPr>
        <w:t xml:space="preserve">Vgl. </w:t>
      </w:r>
      <w:r>
        <w:t>DSGVO – Expertenwissen für die Praxis, dsgvo.expert.de</w:t>
      </w:r>
    </w:p>
  </w:footnote>
  <w:footnote w:id="2">
    <w:p w14:paraId="78750B9C" w14:textId="44E86CC1" w:rsidR="007F06A1" w:rsidRPr="004B4D58" w:rsidRDefault="007F06A1">
      <w:pPr>
        <w:pStyle w:val="Funotentext"/>
        <w:rPr>
          <w:lang w:val="de-DE"/>
        </w:rPr>
      </w:pPr>
      <w:r>
        <w:rPr>
          <w:rStyle w:val="Funotenzeichen"/>
        </w:rPr>
        <w:footnoteRef/>
      </w:r>
      <w:r>
        <w:t xml:space="preserve"> Der europäische Datenschutzbeauftragte, </w:t>
      </w:r>
      <w:r w:rsidRPr="00530510">
        <w:t>edps.europa.eu</w:t>
      </w:r>
    </w:p>
  </w:footnote>
  <w:footnote w:id="3">
    <w:p w14:paraId="157283EE" w14:textId="200D9A62" w:rsidR="007F06A1" w:rsidRPr="0090052D" w:rsidRDefault="007F06A1">
      <w:pPr>
        <w:pStyle w:val="Funotentext"/>
        <w:rPr>
          <w:lang w:val="de-DE"/>
        </w:rPr>
      </w:pPr>
      <w:r>
        <w:rPr>
          <w:rStyle w:val="Funotenzeichen"/>
        </w:rPr>
        <w:footnoteRef/>
      </w:r>
      <w:r>
        <w:t xml:space="preserve"> Der europäische Datenschutzbeauftragte, </w:t>
      </w:r>
      <w:r w:rsidRPr="00530510">
        <w:t>edps.europa.eu</w:t>
      </w:r>
    </w:p>
  </w:footnote>
  <w:footnote w:id="4">
    <w:p w14:paraId="381AFA7F" w14:textId="7F594DE1" w:rsidR="007F06A1" w:rsidRPr="0090052D" w:rsidRDefault="007F06A1" w:rsidP="0090052D">
      <w:pPr>
        <w:pStyle w:val="Funotentext"/>
        <w:rPr>
          <w:lang w:val="de-DE"/>
        </w:rPr>
      </w:pPr>
      <w:r>
        <w:rPr>
          <w:rStyle w:val="Funotenzeichen"/>
        </w:rPr>
        <w:footnoteRef/>
      </w:r>
      <w:r>
        <w:t xml:space="preserve"> Der europäische Datenschutzbeauftragte, </w:t>
      </w:r>
      <w:r w:rsidRPr="00530510">
        <w:t>edps.europa.eu</w:t>
      </w:r>
    </w:p>
  </w:footnote>
  <w:footnote w:id="5">
    <w:p w14:paraId="40BC65DF" w14:textId="0142EBB6" w:rsidR="007F06A1" w:rsidRPr="0065743D" w:rsidRDefault="007F06A1">
      <w:pPr>
        <w:pStyle w:val="Funotentext"/>
        <w:rPr>
          <w:lang w:val="de-DE"/>
        </w:rPr>
      </w:pPr>
      <w:r>
        <w:rPr>
          <w:rStyle w:val="Funotenzeichen"/>
        </w:rPr>
        <w:footnoteRef/>
      </w:r>
      <w:r>
        <w:t xml:space="preserve"> Der europäische Datenschutzbeauftragte, </w:t>
      </w:r>
      <w:r w:rsidRPr="00530510">
        <w:t>edps.europa.eu</w:t>
      </w:r>
    </w:p>
  </w:footnote>
  <w:footnote w:id="6">
    <w:p w14:paraId="728F1776" w14:textId="3BAD1F9E" w:rsidR="007F06A1" w:rsidRPr="00490FA6" w:rsidRDefault="007F06A1">
      <w:pPr>
        <w:pStyle w:val="Funotentext"/>
        <w:rPr>
          <w:lang w:val="de-DE"/>
        </w:rPr>
      </w:pPr>
      <w:r>
        <w:rPr>
          <w:rStyle w:val="Funotenzeichen"/>
        </w:rPr>
        <w:footnoteRef/>
      </w:r>
      <w:r>
        <w:t xml:space="preserve"> Vgl. </w:t>
      </w:r>
      <w:r w:rsidRPr="00E16E2B">
        <w:t>W</w:t>
      </w:r>
      <w:r>
        <w:t xml:space="preserve">ikipedia (Stand: 19.1.2020), </w:t>
      </w:r>
      <w:r w:rsidRPr="00E16E2B">
        <w:t>de.wikipedia.org</w:t>
      </w:r>
    </w:p>
  </w:footnote>
  <w:footnote w:id="7">
    <w:p w14:paraId="4A581B57" w14:textId="149C83CC" w:rsidR="007F06A1" w:rsidRPr="00CC247A" w:rsidRDefault="007F06A1">
      <w:pPr>
        <w:pStyle w:val="Funotentext"/>
        <w:rPr>
          <w:lang w:val="de-DE"/>
        </w:rPr>
      </w:pPr>
      <w:r>
        <w:rPr>
          <w:rStyle w:val="Funotenzeichen"/>
        </w:rPr>
        <w:footnoteRef/>
      </w:r>
      <w:r>
        <w:t xml:space="preserve"> Vgl. Datenschutz.org (2019), </w:t>
      </w:r>
      <w:r w:rsidRPr="004B0FA6">
        <w:t>www.datenschutz.org</w:t>
      </w:r>
    </w:p>
  </w:footnote>
  <w:footnote w:id="8">
    <w:p w14:paraId="6D1954B4" w14:textId="42113DC3" w:rsidR="007F06A1" w:rsidRPr="00377AAC" w:rsidRDefault="007F06A1">
      <w:pPr>
        <w:pStyle w:val="Funotentext"/>
        <w:rPr>
          <w:lang w:val="en-US"/>
        </w:rPr>
      </w:pPr>
      <w:r>
        <w:rPr>
          <w:rStyle w:val="Funotenzeichen"/>
        </w:rPr>
        <w:footnoteRef/>
      </w:r>
      <w:r w:rsidRPr="00377AAC">
        <w:rPr>
          <w:lang w:val="en-US"/>
        </w:rPr>
        <w:t xml:space="preserve"> </w:t>
      </w:r>
      <w:proofErr w:type="spellStart"/>
      <w:r w:rsidRPr="00377AAC">
        <w:rPr>
          <w:lang w:val="en-US"/>
        </w:rPr>
        <w:t>Vgl</w:t>
      </w:r>
      <w:proofErr w:type="spellEnd"/>
      <w:r w:rsidRPr="00377AAC">
        <w:rPr>
          <w:lang w:val="en-US"/>
        </w:rPr>
        <w:t>. § 4 Abs. 1 DSGVO</w:t>
      </w:r>
    </w:p>
  </w:footnote>
  <w:footnote w:id="9">
    <w:p w14:paraId="3551B741" w14:textId="1446222B" w:rsidR="007F06A1" w:rsidRPr="00377AAC" w:rsidRDefault="007F06A1">
      <w:pPr>
        <w:pStyle w:val="Funotentext"/>
        <w:rPr>
          <w:lang w:val="en-US"/>
        </w:rPr>
      </w:pPr>
      <w:r>
        <w:rPr>
          <w:rStyle w:val="Funotenzeichen"/>
        </w:rPr>
        <w:footnoteRef/>
      </w:r>
      <w:r w:rsidRPr="00377AAC">
        <w:rPr>
          <w:lang w:val="en-US"/>
        </w:rPr>
        <w:t xml:space="preserve"> </w:t>
      </w:r>
      <w:proofErr w:type="spellStart"/>
      <w:r w:rsidRPr="00377AAC">
        <w:rPr>
          <w:lang w:val="en-US"/>
        </w:rPr>
        <w:t>Vgl</w:t>
      </w:r>
      <w:proofErr w:type="spellEnd"/>
      <w:r w:rsidRPr="00377AAC">
        <w:rPr>
          <w:lang w:val="en-US"/>
        </w:rPr>
        <w:t xml:space="preserve">. </w:t>
      </w:r>
      <w:proofErr w:type="spellStart"/>
      <w:r>
        <w:rPr>
          <w:lang w:val="en-US"/>
        </w:rPr>
        <w:t>Intersoft</w:t>
      </w:r>
      <w:proofErr w:type="spellEnd"/>
      <w:r>
        <w:rPr>
          <w:lang w:val="en-US"/>
        </w:rPr>
        <w:t xml:space="preserve"> Consulting, </w:t>
      </w:r>
      <w:r w:rsidRPr="00377AAC">
        <w:rPr>
          <w:lang w:val="en-US"/>
        </w:rPr>
        <w:t>dsgvo-gesetz.de</w:t>
      </w:r>
    </w:p>
  </w:footnote>
  <w:footnote w:id="10">
    <w:p w14:paraId="6CAA07AA" w14:textId="6B1029B9" w:rsidR="007F06A1" w:rsidRPr="00D15E96" w:rsidRDefault="007F06A1">
      <w:pPr>
        <w:pStyle w:val="Funotentext"/>
        <w:rPr>
          <w:lang w:val="de-DE"/>
        </w:rPr>
      </w:pPr>
      <w:r>
        <w:rPr>
          <w:rStyle w:val="Funotenzeichen"/>
        </w:rPr>
        <w:footnoteRef/>
      </w:r>
      <w:r w:rsidRPr="00D15E96">
        <w:rPr>
          <w:lang w:val="de-DE"/>
        </w:rPr>
        <w:t xml:space="preserve"> Vgl. Lamprecht (2018), www.datenschutz-praxis.de</w:t>
      </w:r>
    </w:p>
  </w:footnote>
  <w:footnote w:id="11">
    <w:p w14:paraId="52B0E082" w14:textId="2EC548FE" w:rsidR="007F06A1" w:rsidRPr="002C32A2" w:rsidRDefault="007F06A1" w:rsidP="000B2012">
      <w:pPr>
        <w:pStyle w:val="Funotentext"/>
        <w:rPr>
          <w:lang w:val="de-DE"/>
        </w:rPr>
      </w:pPr>
      <w:r>
        <w:rPr>
          <w:rStyle w:val="Funotenzeichen"/>
        </w:rPr>
        <w:footnoteRef/>
      </w:r>
      <w:r>
        <w:t xml:space="preserve"> Vgl. Lienhard, C. (2019), www.fokus.genba.org</w:t>
      </w:r>
    </w:p>
  </w:footnote>
  <w:footnote w:id="12">
    <w:p w14:paraId="2C7668BD" w14:textId="301D1BC4" w:rsidR="007F06A1" w:rsidRPr="0005199A" w:rsidRDefault="007F06A1">
      <w:pPr>
        <w:pStyle w:val="Funotentext"/>
        <w:rPr>
          <w:lang w:val="de-DE"/>
        </w:rPr>
      </w:pPr>
      <w:r>
        <w:rPr>
          <w:rStyle w:val="Funotenzeichen"/>
        </w:rPr>
        <w:footnoteRef/>
      </w:r>
      <w:r>
        <w:t xml:space="preserve"> </w:t>
      </w:r>
      <w:r>
        <w:rPr>
          <w:lang w:val="de-DE"/>
        </w:rPr>
        <w:t>Vgl. Art. 5 DSGVO</w:t>
      </w:r>
    </w:p>
  </w:footnote>
  <w:footnote w:id="13">
    <w:p w14:paraId="344E0DBB" w14:textId="3884016B" w:rsidR="007F06A1" w:rsidRPr="004E7779" w:rsidRDefault="007F06A1">
      <w:pPr>
        <w:pStyle w:val="Funotentext"/>
        <w:rPr>
          <w:lang w:val="de-DE"/>
        </w:rPr>
      </w:pPr>
      <w:r>
        <w:rPr>
          <w:rStyle w:val="Funotenzeichen"/>
        </w:rPr>
        <w:footnoteRef/>
      </w:r>
      <w:r>
        <w:t xml:space="preserve"> </w:t>
      </w:r>
      <w:r>
        <w:rPr>
          <w:lang w:val="de-DE"/>
        </w:rPr>
        <w:t xml:space="preserve">Vgl. </w:t>
      </w:r>
      <w:r>
        <w:t xml:space="preserve">WKO (Stand: 25.03.2019), </w:t>
      </w:r>
      <w:hyperlink r:id="rId1" w:history="1">
        <w:r w:rsidRPr="00D21A12">
          <w:rPr>
            <w:rStyle w:val="Hyperlink"/>
          </w:rPr>
          <w:t>www.wko.at</w:t>
        </w:r>
      </w:hyperlink>
      <w:r>
        <w:t xml:space="preserve"> </w:t>
      </w:r>
    </w:p>
  </w:footnote>
  <w:footnote w:id="14">
    <w:p w14:paraId="7C692CDD" w14:textId="3B372D5A" w:rsidR="007F06A1" w:rsidRPr="003E1B61" w:rsidRDefault="007F06A1" w:rsidP="00110335">
      <w:pPr>
        <w:pStyle w:val="Funotentext"/>
        <w:rPr>
          <w:lang w:val="de-DE"/>
        </w:rPr>
      </w:pPr>
      <w:r>
        <w:rPr>
          <w:rStyle w:val="Funotenzeichen"/>
        </w:rPr>
        <w:footnoteRef/>
      </w:r>
      <w:r>
        <w:t xml:space="preserve"> Vgl. </w:t>
      </w:r>
      <w:proofErr w:type="spellStart"/>
      <w:r>
        <w:t>Adorga</w:t>
      </w:r>
      <w:proofErr w:type="spellEnd"/>
      <w:r>
        <w:t xml:space="preserve"> Solutions (2019), </w:t>
      </w:r>
      <w:hyperlink r:id="rId2" w:history="1">
        <w:r w:rsidRPr="00D21A12">
          <w:rPr>
            <w:rStyle w:val="Hyperlink"/>
          </w:rPr>
          <w:t>www.adorgasolutions.de</w:t>
        </w:r>
      </w:hyperlink>
      <w:r>
        <w:t xml:space="preserve">   </w:t>
      </w:r>
    </w:p>
  </w:footnote>
  <w:footnote w:id="15">
    <w:p w14:paraId="74718941" w14:textId="4A34FF07" w:rsidR="007F06A1" w:rsidRPr="00BA7018" w:rsidRDefault="007F06A1" w:rsidP="003110CD">
      <w:pPr>
        <w:pStyle w:val="Funotentext"/>
        <w:rPr>
          <w:lang w:val="de-DE"/>
        </w:rPr>
      </w:pPr>
      <w:r>
        <w:rPr>
          <w:rStyle w:val="Funotenzeichen"/>
        </w:rPr>
        <w:footnoteRef/>
      </w:r>
      <w:r>
        <w:t xml:space="preserve">Vgl. WKO (Stand: 2.4.2019), </w:t>
      </w:r>
      <w:hyperlink r:id="rId3" w:history="1">
        <w:r w:rsidRPr="00D21A12">
          <w:rPr>
            <w:rStyle w:val="Hyperlink"/>
          </w:rPr>
          <w:t>www.wko.at</w:t>
        </w:r>
      </w:hyperlink>
      <w:r>
        <w:t xml:space="preserve"> </w:t>
      </w:r>
    </w:p>
  </w:footnote>
  <w:footnote w:id="16">
    <w:p w14:paraId="5AF9B28D" w14:textId="74A28679" w:rsidR="007F06A1" w:rsidRPr="00680AA2" w:rsidRDefault="007F06A1" w:rsidP="006944DD">
      <w:pPr>
        <w:pStyle w:val="Funotentext"/>
        <w:rPr>
          <w:lang w:val="de-DE"/>
        </w:rPr>
      </w:pPr>
      <w:r>
        <w:rPr>
          <w:rStyle w:val="Funotenzeichen"/>
        </w:rPr>
        <w:footnoteRef/>
      </w:r>
      <w:r>
        <w:t xml:space="preserve"> </w:t>
      </w:r>
      <w:r>
        <w:rPr>
          <w:lang w:val="de-DE"/>
        </w:rPr>
        <w:t xml:space="preserve">Vgl. </w:t>
      </w:r>
      <w:r>
        <w:t>Datenschutzbeauftragter (2017), www.datenschutzbeauftragter-info.de</w:t>
      </w:r>
    </w:p>
  </w:footnote>
  <w:footnote w:id="17">
    <w:p w14:paraId="43825D0D" w14:textId="7C982A7A" w:rsidR="007F06A1" w:rsidRPr="00791415" w:rsidRDefault="007F06A1" w:rsidP="006944DD">
      <w:pPr>
        <w:pStyle w:val="Funotentext"/>
        <w:rPr>
          <w:lang w:val="de-DE"/>
        </w:rPr>
      </w:pPr>
      <w:r>
        <w:rPr>
          <w:rStyle w:val="Funotenzeichen"/>
        </w:rPr>
        <w:footnoteRef/>
      </w:r>
      <w:r>
        <w:t xml:space="preserve"> Vgl. Datenschutzbeauftragter (2017), www.datenschutzbeauftragter-info.de</w:t>
      </w:r>
    </w:p>
  </w:footnote>
  <w:footnote w:id="18">
    <w:p w14:paraId="238C89CA" w14:textId="19D9E8C1" w:rsidR="007F06A1" w:rsidRPr="003E2661" w:rsidRDefault="007F06A1">
      <w:pPr>
        <w:pStyle w:val="Funotentext"/>
        <w:rPr>
          <w:lang w:val="de-DE"/>
        </w:rPr>
      </w:pPr>
      <w:r>
        <w:rPr>
          <w:rStyle w:val="Funotenzeichen"/>
        </w:rPr>
        <w:footnoteRef/>
      </w:r>
      <w:r>
        <w:t xml:space="preserve"> Vgl. Schweiger, T. (2018), www.wko.at</w:t>
      </w:r>
    </w:p>
  </w:footnote>
  <w:footnote w:id="19">
    <w:p w14:paraId="2B3BB33D" w14:textId="6EB3A39A" w:rsidR="007F06A1" w:rsidRPr="00E04910" w:rsidRDefault="007F06A1" w:rsidP="00E04910">
      <w:pPr>
        <w:pStyle w:val="Funotentext"/>
        <w:jc w:val="both"/>
        <w:rPr>
          <w:lang w:val="de-DE"/>
        </w:rPr>
      </w:pPr>
      <w:r>
        <w:rPr>
          <w:rStyle w:val="Funotenzeichen"/>
        </w:rPr>
        <w:footnoteRef/>
      </w:r>
      <w:r>
        <w:t xml:space="preserve">Vgl. WKO (Stand:2.4.2020), </w:t>
      </w:r>
      <w:r>
        <w:rPr>
          <w:lang w:val="de-DE"/>
        </w:rPr>
        <w:t>www.wko.at</w:t>
      </w:r>
    </w:p>
  </w:footnote>
  <w:footnote w:id="20">
    <w:p w14:paraId="41B7436C" w14:textId="18708193" w:rsidR="007F06A1" w:rsidRPr="00BA22CD" w:rsidRDefault="007F06A1">
      <w:pPr>
        <w:pStyle w:val="Funotentext"/>
        <w:rPr>
          <w:lang w:val="de-DE"/>
        </w:rPr>
      </w:pPr>
      <w:r>
        <w:rPr>
          <w:rStyle w:val="Funotenzeichen"/>
        </w:rPr>
        <w:footnoteRef/>
      </w:r>
      <w:r>
        <w:t xml:space="preserve"> Vgl. Art. 33 DSGVO</w:t>
      </w:r>
    </w:p>
  </w:footnote>
  <w:footnote w:id="21">
    <w:p w14:paraId="20564B94" w14:textId="504172ED" w:rsidR="007F06A1" w:rsidRPr="00BA22CD" w:rsidRDefault="007F06A1" w:rsidP="00D00A5B">
      <w:pPr>
        <w:pStyle w:val="Funotentext"/>
        <w:rPr>
          <w:lang w:val="de-DE"/>
        </w:rPr>
      </w:pPr>
      <w:r>
        <w:rPr>
          <w:rStyle w:val="Funotenzeichen"/>
        </w:rPr>
        <w:footnoteRef/>
      </w:r>
      <w:r>
        <w:t xml:space="preserve"> </w:t>
      </w:r>
      <w:r>
        <w:rPr>
          <w:lang w:val="de-DE"/>
        </w:rPr>
        <w:t xml:space="preserve">Vgl. </w:t>
      </w:r>
      <w:r>
        <w:t>WKO (Stand: 27.4.2020), www.wko.at</w:t>
      </w:r>
    </w:p>
  </w:footnote>
  <w:footnote w:id="22">
    <w:p w14:paraId="0EAE70E7" w14:textId="0F941336" w:rsidR="007F06A1" w:rsidRPr="00D0387B" w:rsidRDefault="007F06A1">
      <w:pPr>
        <w:pStyle w:val="Funotentext"/>
        <w:rPr>
          <w:lang w:val="de-DE"/>
        </w:rPr>
      </w:pPr>
      <w:r>
        <w:rPr>
          <w:rStyle w:val="Funotenzeichen"/>
        </w:rPr>
        <w:footnoteRef/>
      </w:r>
      <w:r>
        <w:t xml:space="preserve"> Vgl. Art. 15 DSGVO</w:t>
      </w:r>
    </w:p>
  </w:footnote>
  <w:footnote w:id="23">
    <w:p w14:paraId="00672DAD" w14:textId="33AD8AC3" w:rsidR="007F06A1" w:rsidRPr="004F5ED9" w:rsidRDefault="007F06A1">
      <w:pPr>
        <w:pStyle w:val="Funotentext"/>
        <w:rPr>
          <w:lang w:val="de-DE"/>
        </w:rPr>
      </w:pPr>
      <w:r>
        <w:rPr>
          <w:rStyle w:val="Funotenzeichen"/>
        </w:rPr>
        <w:footnoteRef/>
      </w:r>
      <w:r>
        <w:t xml:space="preserve"> </w:t>
      </w:r>
      <w:r>
        <w:rPr>
          <w:lang w:val="de-DE"/>
        </w:rPr>
        <w:t xml:space="preserve">Vgl. </w:t>
      </w:r>
      <w:r>
        <w:t xml:space="preserve">WKO (Stand: 15.4.2020), </w:t>
      </w:r>
      <w:hyperlink r:id="rId4" w:history="1">
        <w:r w:rsidRPr="00D21A12">
          <w:rPr>
            <w:rStyle w:val="Hyperlink"/>
          </w:rPr>
          <w:t>www.wko.at</w:t>
        </w:r>
      </w:hyperlink>
      <w:r>
        <w:t xml:space="preserve"> </w:t>
      </w:r>
    </w:p>
  </w:footnote>
  <w:footnote w:id="24">
    <w:p w14:paraId="16B8C50B" w14:textId="49629D37" w:rsidR="007F06A1" w:rsidRPr="002014B7" w:rsidRDefault="007F06A1">
      <w:pPr>
        <w:pStyle w:val="Funotentext"/>
        <w:rPr>
          <w:lang w:val="de-DE"/>
        </w:rPr>
      </w:pPr>
      <w:r>
        <w:rPr>
          <w:rStyle w:val="Funotenzeichen"/>
        </w:rPr>
        <w:footnoteRef/>
      </w:r>
      <w:r>
        <w:t xml:space="preserve"> </w:t>
      </w:r>
      <w:r>
        <w:rPr>
          <w:lang w:val="de-DE"/>
        </w:rPr>
        <w:t xml:space="preserve">Vgl. </w:t>
      </w:r>
      <w:r>
        <w:t>Arge Daten (o. J), www.argedaten.at</w:t>
      </w:r>
    </w:p>
  </w:footnote>
  <w:footnote w:id="25">
    <w:p w14:paraId="1021D755" w14:textId="6A35366E" w:rsidR="007F06A1" w:rsidRPr="00244541" w:rsidRDefault="007F06A1">
      <w:pPr>
        <w:pStyle w:val="Funotentext"/>
        <w:rPr>
          <w:lang w:val="de-DE"/>
        </w:rPr>
      </w:pPr>
      <w:r>
        <w:rPr>
          <w:rStyle w:val="Funotenzeichen"/>
        </w:rPr>
        <w:footnoteRef/>
      </w:r>
      <w:r>
        <w:t xml:space="preserve"> </w:t>
      </w:r>
      <w:r>
        <w:rPr>
          <w:lang w:val="de-DE"/>
        </w:rPr>
        <w:t xml:space="preserve">Vgl. </w:t>
      </w:r>
      <w:r>
        <w:t xml:space="preserve">Voigt/ von dem </w:t>
      </w:r>
      <w:proofErr w:type="spellStart"/>
      <w:r>
        <w:t>Bussche</w:t>
      </w:r>
      <w:proofErr w:type="spellEnd"/>
      <w:r>
        <w:t xml:space="preserve"> (2018)</w:t>
      </w:r>
    </w:p>
  </w:footnote>
  <w:footnote w:id="26">
    <w:p w14:paraId="6072707A" w14:textId="174EE6CE" w:rsidR="007F06A1" w:rsidRPr="008F0534" w:rsidRDefault="007F06A1">
      <w:pPr>
        <w:pStyle w:val="Funotentext"/>
        <w:rPr>
          <w:lang w:val="de-DE"/>
        </w:rPr>
      </w:pPr>
      <w:r>
        <w:rPr>
          <w:rStyle w:val="Funotenzeichen"/>
        </w:rPr>
        <w:footnoteRef/>
      </w:r>
      <w:r>
        <w:t xml:space="preserve"> Vgl. Wikipedia (Stand: 17.04.2020), www.de.wikipedia.org</w:t>
      </w:r>
    </w:p>
  </w:footnote>
  <w:footnote w:id="27">
    <w:p w14:paraId="48CD31CF" w14:textId="25F7C3E3" w:rsidR="007F06A1" w:rsidRPr="00860178" w:rsidRDefault="007F06A1">
      <w:pPr>
        <w:pStyle w:val="Funotentext"/>
        <w:rPr>
          <w:lang w:val="de-DE"/>
        </w:rPr>
      </w:pPr>
      <w:r>
        <w:rPr>
          <w:rStyle w:val="Funotenzeichen"/>
        </w:rPr>
        <w:footnoteRef/>
      </w:r>
      <w:r>
        <w:t xml:space="preserve"> Vgl. </w:t>
      </w:r>
      <w:r w:rsidRPr="00D035A7">
        <w:t>W</w:t>
      </w:r>
      <w:r>
        <w:t>ikipedia (Stand: 17.04.2020), www.de.wikipedia.org</w:t>
      </w:r>
    </w:p>
  </w:footnote>
  <w:footnote w:id="28">
    <w:p w14:paraId="3926B17C" w14:textId="077177AB" w:rsidR="007F06A1" w:rsidRPr="00B00E26" w:rsidRDefault="007F06A1">
      <w:pPr>
        <w:pStyle w:val="Funotentext"/>
        <w:rPr>
          <w:lang w:val="de-DE"/>
        </w:rPr>
      </w:pPr>
      <w:r>
        <w:rPr>
          <w:rStyle w:val="Funotenzeichen"/>
        </w:rPr>
        <w:footnoteRef/>
      </w:r>
      <w:r>
        <w:t xml:space="preserve"> Vgl. Onlinekosten.de (o.J.), www.onlinekosten.de</w:t>
      </w:r>
    </w:p>
  </w:footnote>
  <w:footnote w:id="29">
    <w:p w14:paraId="343AAAE4" w14:textId="407B1FCE" w:rsidR="007F06A1" w:rsidRPr="00ED7EA7" w:rsidRDefault="007F06A1">
      <w:pPr>
        <w:pStyle w:val="Funotentext"/>
        <w:rPr>
          <w:lang w:val="de-DE"/>
        </w:rPr>
      </w:pPr>
      <w:r>
        <w:rPr>
          <w:rStyle w:val="Funotenzeichen"/>
        </w:rPr>
        <w:footnoteRef/>
      </w:r>
      <w:r>
        <w:t xml:space="preserve"> </w:t>
      </w:r>
      <w:r>
        <w:rPr>
          <w:lang w:val="de-DE"/>
        </w:rPr>
        <w:t xml:space="preserve">Vgl. </w:t>
      </w:r>
      <w:r>
        <w:t>Kloiber (o.J.), www.start.norbert-kloiber.at</w:t>
      </w:r>
    </w:p>
  </w:footnote>
  <w:footnote w:id="30">
    <w:p w14:paraId="1A3C7FD5" w14:textId="49E4FC18" w:rsidR="007F06A1" w:rsidRPr="00B06AA8" w:rsidRDefault="007F06A1">
      <w:pPr>
        <w:pStyle w:val="Funotentext"/>
        <w:rPr>
          <w:lang w:val="de-DE"/>
        </w:rPr>
      </w:pPr>
      <w:r>
        <w:rPr>
          <w:rStyle w:val="Funotenzeichen"/>
        </w:rPr>
        <w:footnoteRef/>
      </w:r>
      <w:r>
        <w:t xml:space="preserve"> </w:t>
      </w:r>
      <w:r>
        <w:rPr>
          <w:lang w:val="de-DE"/>
        </w:rPr>
        <w:t xml:space="preserve">Vgl. </w:t>
      </w:r>
      <w:r>
        <w:t>Art. 4 DSGVO</w:t>
      </w:r>
    </w:p>
  </w:footnote>
  <w:footnote w:id="31">
    <w:p w14:paraId="415F4EF6" w14:textId="5A9F9D75" w:rsidR="007F06A1" w:rsidRPr="00EB6937" w:rsidRDefault="007F06A1" w:rsidP="000C2854">
      <w:pPr>
        <w:pStyle w:val="Funotentext"/>
        <w:rPr>
          <w:lang w:val="de-DE"/>
        </w:rPr>
      </w:pPr>
      <w:r>
        <w:rPr>
          <w:rStyle w:val="Funotenzeichen"/>
        </w:rPr>
        <w:footnoteRef/>
      </w:r>
      <w:r>
        <w:t xml:space="preserve"> </w:t>
      </w:r>
      <w:r>
        <w:rPr>
          <w:lang w:val="de-DE"/>
        </w:rPr>
        <w:t xml:space="preserve">Vgl. </w:t>
      </w:r>
      <w:proofErr w:type="spellStart"/>
      <w:r>
        <w:rPr>
          <w:lang w:val="de-DE"/>
        </w:rPr>
        <w:t>Maekeler</w:t>
      </w:r>
      <w:proofErr w:type="spellEnd"/>
      <w:r>
        <w:rPr>
          <w:lang w:val="de-DE"/>
        </w:rPr>
        <w:t xml:space="preserve"> (2019), www.heise.de</w:t>
      </w:r>
    </w:p>
  </w:footnote>
  <w:footnote w:id="32">
    <w:p w14:paraId="350BD2A3" w14:textId="3E43B7B8" w:rsidR="007F06A1" w:rsidRPr="004570CA" w:rsidRDefault="007F06A1">
      <w:pPr>
        <w:pStyle w:val="Funotentext"/>
        <w:rPr>
          <w:lang w:val="de-DE"/>
        </w:rPr>
      </w:pPr>
      <w:r>
        <w:rPr>
          <w:rStyle w:val="Funotenzeichen"/>
        </w:rPr>
        <w:footnoteRef/>
      </w:r>
      <w:r>
        <w:t xml:space="preserve"> </w:t>
      </w:r>
      <w:r>
        <w:rPr>
          <w:lang w:val="de-DE"/>
        </w:rPr>
        <w:t xml:space="preserve">Vgl. </w:t>
      </w:r>
      <w:r>
        <w:t>Datenschutz.org (2018), www.datenschutz.org</w:t>
      </w:r>
    </w:p>
  </w:footnote>
  <w:footnote w:id="33">
    <w:p w14:paraId="68ED2909" w14:textId="616FA928" w:rsidR="007F06A1" w:rsidRPr="007C3C95" w:rsidRDefault="007F06A1">
      <w:pPr>
        <w:pStyle w:val="Funotentext"/>
        <w:rPr>
          <w:lang w:val="de-DE"/>
        </w:rPr>
      </w:pPr>
      <w:r>
        <w:rPr>
          <w:rStyle w:val="Funotenzeichen"/>
        </w:rPr>
        <w:footnoteRef/>
      </w:r>
      <w:r>
        <w:t xml:space="preserve"> </w:t>
      </w:r>
      <w:r>
        <w:rPr>
          <w:lang w:val="de-DE"/>
        </w:rPr>
        <w:t xml:space="preserve">Vgl. </w:t>
      </w:r>
      <w:r>
        <w:t>Goldbeck (2018), www.centralstationcrm.de</w:t>
      </w:r>
    </w:p>
  </w:footnote>
  <w:footnote w:id="34">
    <w:p w14:paraId="11FA49B6" w14:textId="5AF7BDFC" w:rsidR="007F06A1" w:rsidRPr="00B072C0" w:rsidRDefault="007F06A1">
      <w:pPr>
        <w:pStyle w:val="Funotentext"/>
        <w:rPr>
          <w:lang w:val="de-DE"/>
        </w:rPr>
      </w:pPr>
      <w:r>
        <w:rPr>
          <w:rStyle w:val="Funotenzeichen"/>
        </w:rPr>
        <w:footnoteRef/>
      </w:r>
      <w:r>
        <w:t xml:space="preserve"> </w:t>
      </w:r>
      <w:r>
        <w:rPr>
          <w:lang w:val="de-DE"/>
        </w:rPr>
        <w:t xml:space="preserve">Vgl. </w:t>
      </w:r>
      <w:r>
        <w:t>Deutscher (2019), www.clickeffect.de</w:t>
      </w:r>
    </w:p>
  </w:footnote>
  <w:footnote w:id="35">
    <w:p w14:paraId="4BEB3F11" w14:textId="6F54F37F" w:rsidR="007F06A1" w:rsidRPr="00FA35F9" w:rsidRDefault="007F06A1">
      <w:pPr>
        <w:pStyle w:val="Funotentext"/>
        <w:rPr>
          <w:lang w:val="de-DE"/>
        </w:rPr>
      </w:pPr>
      <w:r>
        <w:rPr>
          <w:rStyle w:val="Funotenzeichen"/>
        </w:rPr>
        <w:footnoteRef/>
      </w:r>
      <w:r>
        <w:t xml:space="preserve"> </w:t>
      </w:r>
      <w:r>
        <w:rPr>
          <w:lang w:val="de-DE"/>
        </w:rPr>
        <w:t xml:space="preserve">Vgl. </w:t>
      </w:r>
      <w:r>
        <w:t>Siebert (Stand. 5.3.2020), www.e-recht24.de</w:t>
      </w:r>
    </w:p>
  </w:footnote>
  <w:footnote w:id="36">
    <w:p w14:paraId="6C780C53" w14:textId="59820633" w:rsidR="007F06A1" w:rsidRPr="00A14C00" w:rsidRDefault="007F06A1" w:rsidP="00C270CD">
      <w:pPr>
        <w:pStyle w:val="Funotentext"/>
        <w:rPr>
          <w:lang w:val="de-DE"/>
        </w:rPr>
      </w:pPr>
      <w:r>
        <w:rPr>
          <w:rStyle w:val="Funotenzeichen"/>
        </w:rPr>
        <w:footnoteRef/>
      </w:r>
      <w:r>
        <w:t xml:space="preserve"> Vgl. </w:t>
      </w:r>
      <w:proofErr w:type="spellStart"/>
      <w:r>
        <w:t>Madlberger</w:t>
      </w:r>
      <w:proofErr w:type="spellEnd"/>
      <w:r>
        <w:t xml:space="preserve"> (2020), </w:t>
      </w:r>
      <w:hyperlink r:id="rId5" w:history="1">
        <w:r w:rsidRPr="0041385D">
          <w:rPr>
            <w:rStyle w:val="Hyperlink"/>
          </w:rPr>
          <w:t>www.learn.wu.ac.at</w:t>
        </w:r>
      </w:hyperlink>
      <w:r>
        <w:t xml:space="preserve"> (Präsentationsfolien)</w:t>
      </w:r>
    </w:p>
  </w:footnote>
  <w:footnote w:id="37">
    <w:p w14:paraId="73682725" w14:textId="3619041C" w:rsidR="007F06A1" w:rsidRPr="00EA35DD" w:rsidRDefault="007F06A1">
      <w:pPr>
        <w:pStyle w:val="Funotentext"/>
        <w:rPr>
          <w:lang w:val="de-DE"/>
        </w:rPr>
      </w:pPr>
      <w:r>
        <w:rPr>
          <w:rStyle w:val="Funotenzeichen"/>
        </w:rPr>
        <w:footnoteRef/>
      </w:r>
      <w:r>
        <w:t xml:space="preserve"> </w:t>
      </w:r>
      <w:r>
        <w:rPr>
          <w:lang w:val="de-DE"/>
        </w:rPr>
        <w:t xml:space="preserve">Vgl. </w:t>
      </w:r>
      <w:r>
        <w:t>Dix (2016), S.59 ff.</w:t>
      </w:r>
    </w:p>
  </w:footnote>
  <w:footnote w:id="38">
    <w:p w14:paraId="6FB927E0" w14:textId="49C8B0A0" w:rsidR="007F06A1" w:rsidRPr="00686D99" w:rsidRDefault="007F06A1" w:rsidP="00DA3EFB">
      <w:pPr>
        <w:pStyle w:val="Funotentext"/>
        <w:rPr>
          <w:lang w:val="de-DE"/>
        </w:rPr>
      </w:pPr>
      <w:r>
        <w:rPr>
          <w:rStyle w:val="Funotenzeichen"/>
        </w:rPr>
        <w:footnoteRef/>
      </w:r>
      <w:r>
        <w:t xml:space="preserve"> </w:t>
      </w:r>
      <w:r>
        <w:rPr>
          <w:lang w:val="de-DE"/>
        </w:rPr>
        <w:t xml:space="preserve">Vgl. </w:t>
      </w:r>
      <w:r>
        <w:t xml:space="preserve">Richter (2015), S. 735 ff. </w:t>
      </w:r>
    </w:p>
  </w:footnote>
  <w:footnote w:id="39">
    <w:p w14:paraId="6464B01F" w14:textId="6DDEC248" w:rsidR="007F06A1" w:rsidRPr="008D4348" w:rsidRDefault="007F06A1">
      <w:pPr>
        <w:pStyle w:val="Funotentext"/>
        <w:rPr>
          <w:lang w:val="de-DE"/>
        </w:rPr>
      </w:pPr>
      <w:r>
        <w:rPr>
          <w:rStyle w:val="Funotenzeichen"/>
        </w:rPr>
        <w:footnoteRef/>
      </w:r>
      <w:r>
        <w:t xml:space="preserve"> </w:t>
      </w:r>
      <w:r>
        <w:rPr>
          <w:lang w:val="de-DE"/>
        </w:rPr>
        <w:t xml:space="preserve">Vgl. </w:t>
      </w:r>
      <w:r>
        <w:t>Hauser et al. (2017), S. 5 ff.</w:t>
      </w:r>
    </w:p>
  </w:footnote>
  <w:footnote w:id="40">
    <w:p w14:paraId="627B9230" w14:textId="1C06651B" w:rsidR="007F06A1" w:rsidRPr="00636106" w:rsidRDefault="007F06A1">
      <w:pPr>
        <w:pStyle w:val="Funotentext"/>
        <w:rPr>
          <w:lang w:val="de-DE"/>
        </w:rPr>
      </w:pPr>
      <w:r>
        <w:rPr>
          <w:rStyle w:val="Funotenzeichen"/>
        </w:rPr>
        <w:footnoteRef/>
      </w:r>
      <w:r>
        <w:t xml:space="preserve"> </w:t>
      </w:r>
      <w:r>
        <w:rPr>
          <w:lang w:val="de-DE"/>
        </w:rPr>
        <w:t xml:space="preserve">Vgl. </w:t>
      </w:r>
      <w:proofErr w:type="spellStart"/>
      <w:r>
        <w:t>Marnau</w:t>
      </w:r>
      <w:proofErr w:type="spellEnd"/>
      <w:r>
        <w:t xml:space="preserve"> (2016), S. 428 ff.</w:t>
      </w:r>
    </w:p>
  </w:footnote>
  <w:footnote w:id="41">
    <w:p w14:paraId="6B59F707" w14:textId="3F13E4D7" w:rsidR="007F06A1" w:rsidRPr="00636106" w:rsidRDefault="007F06A1">
      <w:pPr>
        <w:pStyle w:val="Funotentext"/>
        <w:rPr>
          <w:lang w:val="de-DE"/>
        </w:rPr>
      </w:pPr>
      <w:r>
        <w:rPr>
          <w:rStyle w:val="Funotenzeichen"/>
        </w:rPr>
        <w:footnoteRef/>
      </w:r>
      <w:r>
        <w:t xml:space="preserve"> </w:t>
      </w:r>
      <w:r>
        <w:rPr>
          <w:lang w:val="de-DE"/>
        </w:rPr>
        <w:t>Vgl. Art. 32 Abs. 1 Buchst. a DSGVO</w:t>
      </w:r>
    </w:p>
  </w:footnote>
  <w:footnote w:id="42">
    <w:p w14:paraId="19E497AD" w14:textId="0848B22A" w:rsidR="007F06A1" w:rsidRPr="00D8022D" w:rsidRDefault="007F06A1">
      <w:pPr>
        <w:pStyle w:val="Funotentext"/>
        <w:rPr>
          <w:lang w:val="de-DE"/>
        </w:rPr>
      </w:pPr>
      <w:r>
        <w:rPr>
          <w:rStyle w:val="Funotenzeichen"/>
        </w:rPr>
        <w:footnoteRef/>
      </w:r>
      <w:r>
        <w:t xml:space="preserve"> </w:t>
      </w:r>
      <w:r>
        <w:rPr>
          <w:lang w:val="de-DE"/>
        </w:rPr>
        <w:t xml:space="preserve">Vgl. </w:t>
      </w:r>
      <w:r>
        <w:t xml:space="preserve">Raabe/Wagner (2016), S. 434 ff. </w:t>
      </w:r>
    </w:p>
  </w:footnote>
  <w:footnote w:id="43">
    <w:p w14:paraId="2B9BBFAD" w14:textId="59CD5CD0" w:rsidR="007F06A1" w:rsidRPr="00AA792A" w:rsidRDefault="007F06A1">
      <w:pPr>
        <w:pStyle w:val="Funotentext"/>
      </w:pPr>
      <w:r>
        <w:rPr>
          <w:rStyle w:val="Funotenzeichen"/>
        </w:rPr>
        <w:footnoteRef/>
      </w:r>
      <w:r>
        <w:t xml:space="preserve"> Vgl.</w:t>
      </w:r>
      <w:r>
        <w:rPr>
          <w:lang w:val="de-DE"/>
        </w:rPr>
        <w:t xml:space="preserve"> </w:t>
      </w:r>
      <w:r>
        <w:t>Raabe/Wagner (2016), S. 434 ff.</w:t>
      </w:r>
    </w:p>
  </w:footnote>
  <w:footnote w:id="44">
    <w:p w14:paraId="5D2FF142" w14:textId="756810A8" w:rsidR="007F06A1" w:rsidRPr="00AA792A" w:rsidRDefault="007F06A1">
      <w:pPr>
        <w:pStyle w:val="Funotentext"/>
        <w:rPr>
          <w:lang w:val="de-DE"/>
        </w:rPr>
      </w:pPr>
      <w:r>
        <w:rPr>
          <w:rStyle w:val="Funotenzeichen"/>
        </w:rPr>
        <w:footnoteRef/>
      </w:r>
      <w:r>
        <w:t xml:space="preserve"> </w:t>
      </w:r>
      <w:r w:rsidRPr="002775B9">
        <w:t>R</w:t>
      </w:r>
      <w:r>
        <w:t>aabe/Wagner (2016), S. 436</w:t>
      </w:r>
    </w:p>
  </w:footnote>
  <w:footnote w:id="45">
    <w:p w14:paraId="6E6A4BF0" w14:textId="5F11499B" w:rsidR="007F06A1" w:rsidRPr="00FB12CF" w:rsidRDefault="007F06A1">
      <w:pPr>
        <w:pStyle w:val="Funotentext"/>
        <w:rPr>
          <w:lang w:val="de-DE"/>
        </w:rPr>
      </w:pPr>
      <w:r>
        <w:rPr>
          <w:rStyle w:val="Funotenzeichen"/>
        </w:rPr>
        <w:footnoteRef/>
      </w:r>
      <w:r>
        <w:t xml:space="preserve"> </w:t>
      </w:r>
      <w:r>
        <w:rPr>
          <w:lang w:val="de-DE"/>
        </w:rPr>
        <w:t xml:space="preserve">Vgl. </w:t>
      </w:r>
      <w:proofErr w:type="spellStart"/>
      <w:r>
        <w:t>Dewenter</w:t>
      </w:r>
      <w:proofErr w:type="spellEnd"/>
      <w:r>
        <w:t xml:space="preserve">/Lüth (2016), S. 648 ff. </w:t>
      </w:r>
    </w:p>
  </w:footnote>
  <w:footnote w:id="46">
    <w:p w14:paraId="5779F31A" w14:textId="3C2B15BC" w:rsidR="007F06A1" w:rsidRPr="0081405C" w:rsidRDefault="007F06A1">
      <w:pPr>
        <w:pStyle w:val="Funotentext"/>
        <w:rPr>
          <w:lang w:val="de-DE"/>
        </w:rPr>
      </w:pPr>
      <w:r>
        <w:rPr>
          <w:rStyle w:val="Funotenzeichen"/>
        </w:rPr>
        <w:footnoteRef/>
      </w:r>
      <w:r>
        <w:t xml:space="preserve"> </w:t>
      </w:r>
      <w:r>
        <w:rPr>
          <w:lang w:val="de-DE"/>
        </w:rPr>
        <w:t xml:space="preserve">Vgl. </w:t>
      </w:r>
      <w:r>
        <w:t>Hauser et al. (2017), S. 5 ff.</w:t>
      </w:r>
      <w:r>
        <w:rPr>
          <w:lang w:val="de-DE"/>
        </w:rPr>
        <w:t xml:space="preserve"> </w:t>
      </w:r>
    </w:p>
  </w:footnote>
  <w:footnote w:id="47">
    <w:p w14:paraId="60E85205" w14:textId="5B692066" w:rsidR="007F06A1" w:rsidRPr="002E060D" w:rsidRDefault="007F06A1">
      <w:pPr>
        <w:pStyle w:val="Funotentext"/>
        <w:rPr>
          <w:lang w:val="de-DE"/>
        </w:rPr>
      </w:pPr>
      <w:r>
        <w:rPr>
          <w:rStyle w:val="Funotenzeichen"/>
        </w:rPr>
        <w:footnoteRef/>
      </w:r>
      <w:r>
        <w:t xml:space="preserve"> </w:t>
      </w:r>
      <w:r>
        <w:rPr>
          <w:lang w:val="de-DE"/>
        </w:rPr>
        <w:t xml:space="preserve">Vgl. </w:t>
      </w:r>
      <w:r w:rsidRPr="0019060E">
        <w:t>Erwägu</w:t>
      </w:r>
      <w:r>
        <w:t>ngsgrund 006 (Stand: 27.04.2016)</w:t>
      </w:r>
    </w:p>
  </w:footnote>
  <w:footnote w:id="48">
    <w:p w14:paraId="640567FB" w14:textId="4513B32D" w:rsidR="007F06A1" w:rsidRPr="00C76F14" w:rsidRDefault="007F06A1">
      <w:pPr>
        <w:pStyle w:val="Funotentext"/>
        <w:rPr>
          <w:lang w:val="de-DE"/>
        </w:rPr>
      </w:pPr>
      <w:r>
        <w:rPr>
          <w:rStyle w:val="Funotenzeichen"/>
        </w:rPr>
        <w:footnoteRef/>
      </w:r>
      <w:r>
        <w:t xml:space="preserve"> </w:t>
      </w:r>
      <w:r>
        <w:rPr>
          <w:lang w:val="de-DE"/>
        </w:rPr>
        <w:t xml:space="preserve">Vgl. Art. 77 DSGVO </w:t>
      </w:r>
    </w:p>
  </w:footnote>
  <w:footnote w:id="49">
    <w:p w14:paraId="473867F2" w14:textId="724B93EE" w:rsidR="007F06A1" w:rsidRPr="004719BE" w:rsidRDefault="007F06A1">
      <w:pPr>
        <w:pStyle w:val="Funotentext"/>
        <w:rPr>
          <w:lang w:val="de-DE"/>
        </w:rPr>
      </w:pPr>
      <w:r>
        <w:rPr>
          <w:rStyle w:val="Funotenzeichen"/>
        </w:rPr>
        <w:footnoteRef/>
      </w:r>
      <w:r>
        <w:t xml:space="preserve"> </w:t>
      </w:r>
      <w:r>
        <w:rPr>
          <w:lang w:val="de-DE"/>
        </w:rPr>
        <w:t xml:space="preserve">Vgl. </w:t>
      </w:r>
      <w:r>
        <w:t>WKO (Stand: 2.4.2020), www.wko.at</w:t>
      </w:r>
    </w:p>
  </w:footnote>
  <w:footnote w:id="50">
    <w:p w14:paraId="0DA4B6B4" w14:textId="508979D5" w:rsidR="007F06A1" w:rsidRPr="006E7CDF" w:rsidRDefault="007F06A1">
      <w:pPr>
        <w:pStyle w:val="Funotentext"/>
        <w:rPr>
          <w:lang w:val="de-DE"/>
        </w:rPr>
      </w:pPr>
      <w:r>
        <w:rPr>
          <w:rStyle w:val="Funotenzeichen"/>
        </w:rPr>
        <w:footnoteRef/>
      </w:r>
      <w:r>
        <w:t xml:space="preserve"> </w:t>
      </w:r>
      <w:r>
        <w:rPr>
          <w:lang w:val="de-DE"/>
        </w:rPr>
        <w:t xml:space="preserve">Vgl. Art 82 DSGVO </w:t>
      </w:r>
    </w:p>
  </w:footnote>
  <w:footnote w:id="51">
    <w:p w14:paraId="3268CDD7" w14:textId="555FC317" w:rsidR="007F06A1" w:rsidRPr="0039321A" w:rsidRDefault="007F06A1">
      <w:pPr>
        <w:pStyle w:val="Funotentext"/>
        <w:rPr>
          <w:lang w:val="de-DE"/>
        </w:rPr>
      </w:pPr>
      <w:r>
        <w:rPr>
          <w:rStyle w:val="Funotenzeichen"/>
        </w:rPr>
        <w:footnoteRef/>
      </w:r>
      <w:r>
        <w:t xml:space="preserve"> </w:t>
      </w:r>
      <w:r>
        <w:rPr>
          <w:lang w:val="de-DE"/>
        </w:rPr>
        <w:t xml:space="preserve">Vgl. </w:t>
      </w:r>
      <w:proofErr w:type="spellStart"/>
      <w:r>
        <w:t>o.V</w:t>
      </w:r>
      <w:proofErr w:type="spellEnd"/>
      <w:r>
        <w:t>. (2018), S. 297</w:t>
      </w:r>
    </w:p>
  </w:footnote>
  <w:footnote w:id="52">
    <w:p w14:paraId="5A1AB9A0" w14:textId="6A2615DA" w:rsidR="007F06A1" w:rsidRPr="001E5ADB" w:rsidRDefault="007F06A1">
      <w:pPr>
        <w:pStyle w:val="Funotentext"/>
        <w:rPr>
          <w:lang w:val="de-DE"/>
        </w:rPr>
      </w:pPr>
      <w:r>
        <w:rPr>
          <w:rStyle w:val="Funotenzeichen"/>
        </w:rPr>
        <w:footnoteRef/>
      </w:r>
      <w:r>
        <w:t xml:space="preserve"> </w:t>
      </w:r>
      <w:r>
        <w:rPr>
          <w:lang w:val="de-DE"/>
        </w:rPr>
        <w:t xml:space="preserve">Vgl. </w:t>
      </w:r>
      <w:r w:rsidRPr="006D393B">
        <w:t>Er</w:t>
      </w:r>
      <w:r>
        <w:t>wägungsgrund 13 EU-DSGVO</w:t>
      </w:r>
    </w:p>
  </w:footnote>
  <w:footnote w:id="53">
    <w:p w14:paraId="1F5F361B" w14:textId="1D9090FA" w:rsidR="007F06A1" w:rsidRPr="00BF6B60" w:rsidRDefault="007F06A1">
      <w:pPr>
        <w:pStyle w:val="Funotentext"/>
        <w:rPr>
          <w:lang w:val="de-DE"/>
        </w:rPr>
      </w:pPr>
      <w:r>
        <w:rPr>
          <w:rStyle w:val="Funotenzeichen"/>
        </w:rPr>
        <w:footnoteRef/>
      </w:r>
      <w:r>
        <w:t xml:space="preserve"> </w:t>
      </w:r>
      <w:r>
        <w:rPr>
          <w:lang w:val="de-DE"/>
        </w:rPr>
        <w:t xml:space="preserve">Vgl. Art 83 DSGVO </w:t>
      </w:r>
    </w:p>
  </w:footnote>
  <w:footnote w:id="54">
    <w:p w14:paraId="1D89C3CD" w14:textId="4E168217" w:rsidR="007F06A1" w:rsidRPr="00F3294D" w:rsidRDefault="007F06A1">
      <w:pPr>
        <w:pStyle w:val="Funotentext"/>
        <w:rPr>
          <w:lang w:val="de-DE"/>
        </w:rPr>
      </w:pPr>
      <w:r>
        <w:rPr>
          <w:rStyle w:val="Funotenzeichen"/>
        </w:rPr>
        <w:footnoteRef/>
      </w:r>
      <w:r>
        <w:t xml:space="preserve"> </w:t>
      </w:r>
      <w:r>
        <w:rPr>
          <w:lang w:val="de-DE"/>
        </w:rPr>
        <w:t xml:space="preserve">Vgl. Art. 84 DSGVO </w:t>
      </w:r>
    </w:p>
  </w:footnote>
  <w:footnote w:id="55">
    <w:p w14:paraId="071BF1C9" w14:textId="13135806" w:rsidR="007F06A1" w:rsidRPr="00095754" w:rsidRDefault="007F06A1">
      <w:pPr>
        <w:pStyle w:val="Funotentext"/>
        <w:rPr>
          <w:lang w:val="de-DE"/>
        </w:rPr>
      </w:pPr>
      <w:r>
        <w:rPr>
          <w:rStyle w:val="Funotenzeichen"/>
        </w:rPr>
        <w:footnoteRef/>
      </w:r>
      <w:r>
        <w:t xml:space="preserve"> </w:t>
      </w:r>
      <w:r>
        <w:rPr>
          <w:lang w:val="de-DE"/>
        </w:rPr>
        <w:t xml:space="preserve">Vgl. Datenschutz.org (2018), </w:t>
      </w:r>
      <w:hyperlink r:id="rId6" w:history="1">
        <w:r w:rsidRPr="00D21A12">
          <w:rPr>
            <w:rStyle w:val="Hyperlink"/>
            <w:lang w:val="de-DE"/>
          </w:rPr>
          <w:t>www.datenschutz.org</w:t>
        </w:r>
      </w:hyperlink>
      <w:r>
        <w:rPr>
          <w:lang w:val="de-DE"/>
        </w:rPr>
        <w:t xml:space="preserve"> </w:t>
      </w:r>
    </w:p>
  </w:footnote>
  <w:footnote w:id="56">
    <w:p w14:paraId="06929B49" w14:textId="13EE14A1" w:rsidR="007F06A1" w:rsidRPr="004C0948" w:rsidRDefault="007F06A1">
      <w:pPr>
        <w:pStyle w:val="Funotentext"/>
        <w:rPr>
          <w:lang w:val="de-DE"/>
        </w:rPr>
      </w:pPr>
      <w:r>
        <w:rPr>
          <w:rStyle w:val="Funotenzeichen"/>
        </w:rPr>
        <w:footnoteRef/>
      </w:r>
      <w:r>
        <w:t xml:space="preserve"> </w:t>
      </w:r>
      <w:r>
        <w:rPr>
          <w:lang w:val="de-DE"/>
        </w:rPr>
        <w:t xml:space="preserve">Vgl. Weber (2009), S. 182 ff.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6912" w14:textId="653B825A" w:rsidR="007F06A1" w:rsidRPr="00EE58C7" w:rsidRDefault="007F06A1">
    <w:pPr>
      <w:pStyle w:val="Kopfzeile"/>
      <w:rPr>
        <w:b/>
        <w:bCs/>
        <w:lang w:val="en-US"/>
      </w:rPr>
    </w:pPr>
    <w:r>
      <w:rPr>
        <w:noProof/>
      </w:rPr>
      <w:drawing>
        <wp:anchor distT="0" distB="0" distL="114300" distR="114300" simplePos="0" relativeHeight="251658240" behindDoc="0" locked="0" layoutInCell="1" allowOverlap="1" wp14:anchorId="1A5C4BAE" wp14:editId="32C9C50C">
          <wp:simplePos x="0" y="0"/>
          <wp:positionH relativeFrom="column">
            <wp:posOffset>5262880</wp:posOffset>
          </wp:positionH>
          <wp:positionV relativeFrom="paragraph">
            <wp:posOffset>-449580</wp:posOffset>
          </wp:positionV>
          <wp:extent cx="1362075" cy="971550"/>
          <wp:effectExtent l="0" t="0" r="9525" b="0"/>
          <wp:wrapThrough wrapText="bothSides">
            <wp:wrapPolygon edited="0">
              <wp:start x="0" y="0"/>
              <wp:lineTo x="0" y="21176"/>
              <wp:lineTo x="21449" y="21176"/>
              <wp:lineTo x="21449"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62075" cy="971550"/>
                  </a:xfrm>
                  <a:prstGeom prst="rect">
                    <a:avLst/>
                  </a:prstGeom>
                </pic:spPr>
              </pic:pic>
            </a:graphicData>
          </a:graphic>
          <wp14:sizeRelH relativeFrom="margin">
            <wp14:pctWidth>0</wp14:pctWidth>
          </wp14:sizeRelH>
          <wp14:sizeRelV relativeFrom="margin">
            <wp14:pctHeight>0</wp14:pctHeight>
          </wp14:sizeRelV>
        </wp:anchor>
      </w:drawing>
    </w:r>
    <w:r w:rsidRPr="00EE58C7">
      <w:rPr>
        <w:b/>
        <w:bCs/>
        <w:lang w:val="en-US"/>
      </w:rPr>
      <w:t>WIRTSCHAFTSUNIVERSITÄT WIEN</w:t>
    </w:r>
  </w:p>
  <w:p w14:paraId="01B9984F" w14:textId="272F862F" w:rsidR="007F06A1" w:rsidRPr="00EE58C7" w:rsidRDefault="007F06A1">
    <w:pPr>
      <w:pStyle w:val="Kopfzeile"/>
      <w:rPr>
        <w:lang w:val="en-US"/>
      </w:rPr>
    </w:pPr>
    <w:r w:rsidRPr="00EE58C7">
      <w:rPr>
        <w:lang w:val="en-US"/>
      </w:rPr>
      <w:t>Vienna University of Economics and Business</w:t>
    </w:r>
    <w:r w:rsidRPr="00EE58C7">
      <w:rPr>
        <w:lang w:val="en-US"/>
      </w:rPr>
      <w:tab/>
    </w:r>
  </w:p>
  <w:p w14:paraId="1D43F1FE" w14:textId="77777777" w:rsidR="007F06A1" w:rsidRPr="00EE58C7" w:rsidRDefault="007F06A1">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320CE"/>
    <w:multiLevelType w:val="hybridMultilevel"/>
    <w:tmpl w:val="573CEE86"/>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5B03ED4"/>
    <w:multiLevelType w:val="hybridMultilevel"/>
    <w:tmpl w:val="2B3C1B7E"/>
    <w:lvl w:ilvl="0" w:tplc="04070001">
      <w:start w:val="1"/>
      <w:numFmt w:val="bullet"/>
      <w:lvlText w:val=""/>
      <w:lvlJc w:val="left"/>
      <w:pPr>
        <w:ind w:left="780" w:hanging="360"/>
      </w:pPr>
      <w:rPr>
        <w:rFonts w:ascii="Symbol" w:hAnsi="Symbol" w:cs="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cs="Wingdings" w:hint="default"/>
      </w:rPr>
    </w:lvl>
    <w:lvl w:ilvl="3" w:tplc="04070001" w:tentative="1">
      <w:start w:val="1"/>
      <w:numFmt w:val="bullet"/>
      <w:lvlText w:val=""/>
      <w:lvlJc w:val="left"/>
      <w:pPr>
        <w:ind w:left="2940" w:hanging="360"/>
      </w:pPr>
      <w:rPr>
        <w:rFonts w:ascii="Symbol" w:hAnsi="Symbol" w:cs="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cs="Wingdings" w:hint="default"/>
      </w:rPr>
    </w:lvl>
    <w:lvl w:ilvl="6" w:tplc="04070001" w:tentative="1">
      <w:start w:val="1"/>
      <w:numFmt w:val="bullet"/>
      <w:lvlText w:val=""/>
      <w:lvlJc w:val="left"/>
      <w:pPr>
        <w:ind w:left="5100" w:hanging="360"/>
      </w:pPr>
      <w:rPr>
        <w:rFonts w:ascii="Symbol" w:hAnsi="Symbol" w:cs="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cs="Wingdings" w:hint="default"/>
      </w:rPr>
    </w:lvl>
  </w:abstractNum>
  <w:abstractNum w:abstractNumId="2" w15:restartNumberingAfterBreak="0">
    <w:nsid w:val="28200634"/>
    <w:multiLevelType w:val="hybridMultilevel"/>
    <w:tmpl w:val="657CA2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63617F"/>
    <w:multiLevelType w:val="hybridMultilevel"/>
    <w:tmpl w:val="33A0CC7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AC25CF7"/>
    <w:multiLevelType w:val="hybridMultilevel"/>
    <w:tmpl w:val="C532A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D431EC"/>
    <w:multiLevelType w:val="hybridMultilevel"/>
    <w:tmpl w:val="F4448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2F798F"/>
    <w:multiLevelType w:val="hybridMultilevel"/>
    <w:tmpl w:val="4F10788A"/>
    <w:lvl w:ilvl="0" w:tplc="04070001">
      <w:start w:val="1"/>
      <w:numFmt w:val="bullet"/>
      <w:lvlText w:val=""/>
      <w:lvlJc w:val="left"/>
      <w:pPr>
        <w:ind w:left="900" w:hanging="360"/>
      </w:pPr>
      <w:rPr>
        <w:rFonts w:ascii="Symbol" w:hAnsi="Symbo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7" w15:restartNumberingAfterBreak="0">
    <w:nsid w:val="44C171FA"/>
    <w:multiLevelType w:val="hybridMultilevel"/>
    <w:tmpl w:val="B9266D1C"/>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8DA0931"/>
    <w:multiLevelType w:val="hybridMultilevel"/>
    <w:tmpl w:val="96B082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A232DF6"/>
    <w:multiLevelType w:val="hybridMultilevel"/>
    <w:tmpl w:val="2A849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6E64035"/>
    <w:multiLevelType w:val="hybridMultilevel"/>
    <w:tmpl w:val="DCB0D0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180899"/>
    <w:multiLevelType w:val="hybridMultilevel"/>
    <w:tmpl w:val="22649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7"/>
  </w:num>
  <w:num w:numId="5">
    <w:abstractNumId w:val="3"/>
  </w:num>
  <w:num w:numId="6">
    <w:abstractNumId w:val="1"/>
  </w:num>
  <w:num w:numId="7">
    <w:abstractNumId w:val="10"/>
  </w:num>
  <w:num w:numId="8">
    <w:abstractNumId w:val="8"/>
  </w:num>
  <w:num w:numId="9">
    <w:abstractNumId w:val="9"/>
  </w:num>
  <w:num w:numId="10">
    <w:abstractNumId w:val="6"/>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177"/>
    <w:rsid w:val="00010A5A"/>
    <w:rsid w:val="00012004"/>
    <w:rsid w:val="000137B5"/>
    <w:rsid w:val="0001777E"/>
    <w:rsid w:val="000219AB"/>
    <w:rsid w:val="00022F0E"/>
    <w:rsid w:val="0003563C"/>
    <w:rsid w:val="00035E24"/>
    <w:rsid w:val="00041A0C"/>
    <w:rsid w:val="00046037"/>
    <w:rsid w:val="0005199A"/>
    <w:rsid w:val="00051BB0"/>
    <w:rsid w:val="00051C8C"/>
    <w:rsid w:val="000528BA"/>
    <w:rsid w:val="00053DD6"/>
    <w:rsid w:val="00054B41"/>
    <w:rsid w:val="000601BC"/>
    <w:rsid w:val="0007213D"/>
    <w:rsid w:val="0007320E"/>
    <w:rsid w:val="0007416C"/>
    <w:rsid w:val="0008006D"/>
    <w:rsid w:val="00080178"/>
    <w:rsid w:val="00081177"/>
    <w:rsid w:val="00095754"/>
    <w:rsid w:val="000A1B61"/>
    <w:rsid w:val="000A2BDF"/>
    <w:rsid w:val="000A3E21"/>
    <w:rsid w:val="000A5CB0"/>
    <w:rsid w:val="000A65A4"/>
    <w:rsid w:val="000B2012"/>
    <w:rsid w:val="000B7DCF"/>
    <w:rsid w:val="000C27E8"/>
    <w:rsid w:val="000C2854"/>
    <w:rsid w:val="000C3E0E"/>
    <w:rsid w:val="000C6FF8"/>
    <w:rsid w:val="000D4228"/>
    <w:rsid w:val="000E4FA7"/>
    <w:rsid w:val="000E6506"/>
    <w:rsid w:val="000E68DB"/>
    <w:rsid w:val="000E6CD0"/>
    <w:rsid w:val="000E6D62"/>
    <w:rsid w:val="000E6E2E"/>
    <w:rsid w:val="000F0926"/>
    <w:rsid w:val="000F7B59"/>
    <w:rsid w:val="00100B1A"/>
    <w:rsid w:val="001015FE"/>
    <w:rsid w:val="00101D83"/>
    <w:rsid w:val="001047F1"/>
    <w:rsid w:val="00104D95"/>
    <w:rsid w:val="0010676B"/>
    <w:rsid w:val="00107339"/>
    <w:rsid w:val="00110335"/>
    <w:rsid w:val="00112036"/>
    <w:rsid w:val="001172FA"/>
    <w:rsid w:val="001314BD"/>
    <w:rsid w:val="00133859"/>
    <w:rsid w:val="00140AA7"/>
    <w:rsid w:val="00141339"/>
    <w:rsid w:val="00145B19"/>
    <w:rsid w:val="00150861"/>
    <w:rsid w:val="00150D21"/>
    <w:rsid w:val="00161190"/>
    <w:rsid w:val="0016489A"/>
    <w:rsid w:val="0017188F"/>
    <w:rsid w:val="001735A4"/>
    <w:rsid w:val="0017761D"/>
    <w:rsid w:val="001778F9"/>
    <w:rsid w:val="00181C5D"/>
    <w:rsid w:val="0019060E"/>
    <w:rsid w:val="00194041"/>
    <w:rsid w:val="00194F94"/>
    <w:rsid w:val="00196020"/>
    <w:rsid w:val="00197277"/>
    <w:rsid w:val="001A2FA2"/>
    <w:rsid w:val="001A39F4"/>
    <w:rsid w:val="001A69F4"/>
    <w:rsid w:val="001B19E2"/>
    <w:rsid w:val="001D6E28"/>
    <w:rsid w:val="001E2452"/>
    <w:rsid w:val="001E5ADB"/>
    <w:rsid w:val="001E6A8A"/>
    <w:rsid w:val="001E74CB"/>
    <w:rsid w:val="001F247D"/>
    <w:rsid w:val="001F436B"/>
    <w:rsid w:val="001F455C"/>
    <w:rsid w:val="00200148"/>
    <w:rsid w:val="002014B7"/>
    <w:rsid w:val="002045AD"/>
    <w:rsid w:val="00205DD6"/>
    <w:rsid w:val="00207139"/>
    <w:rsid w:val="002075C2"/>
    <w:rsid w:val="00213078"/>
    <w:rsid w:val="00217C22"/>
    <w:rsid w:val="00230E18"/>
    <w:rsid w:val="002369A9"/>
    <w:rsid w:val="00243A71"/>
    <w:rsid w:val="00244541"/>
    <w:rsid w:val="002477BB"/>
    <w:rsid w:val="00251F38"/>
    <w:rsid w:val="002523BF"/>
    <w:rsid w:val="00254AD2"/>
    <w:rsid w:val="00254E82"/>
    <w:rsid w:val="00255AB7"/>
    <w:rsid w:val="002649A7"/>
    <w:rsid w:val="00264B75"/>
    <w:rsid w:val="002724C0"/>
    <w:rsid w:val="00272528"/>
    <w:rsid w:val="002736BB"/>
    <w:rsid w:val="00273F91"/>
    <w:rsid w:val="002751AB"/>
    <w:rsid w:val="00275B57"/>
    <w:rsid w:val="002775B9"/>
    <w:rsid w:val="002778EE"/>
    <w:rsid w:val="0028145D"/>
    <w:rsid w:val="0028234F"/>
    <w:rsid w:val="00282FD5"/>
    <w:rsid w:val="00285200"/>
    <w:rsid w:val="00291339"/>
    <w:rsid w:val="002A4B0F"/>
    <w:rsid w:val="002A58FC"/>
    <w:rsid w:val="002A6C93"/>
    <w:rsid w:val="002A75DA"/>
    <w:rsid w:val="002B1071"/>
    <w:rsid w:val="002B33F0"/>
    <w:rsid w:val="002B511B"/>
    <w:rsid w:val="002C144A"/>
    <w:rsid w:val="002C32A2"/>
    <w:rsid w:val="002D0FEF"/>
    <w:rsid w:val="002D32EB"/>
    <w:rsid w:val="002D3855"/>
    <w:rsid w:val="002E060D"/>
    <w:rsid w:val="002E0FCC"/>
    <w:rsid w:val="002E231D"/>
    <w:rsid w:val="002E2967"/>
    <w:rsid w:val="002E3FA7"/>
    <w:rsid w:val="002E4163"/>
    <w:rsid w:val="002E41DD"/>
    <w:rsid w:val="002E59E1"/>
    <w:rsid w:val="002E62A6"/>
    <w:rsid w:val="002F0335"/>
    <w:rsid w:val="002F34F0"/>
    <w:rsid w:val="00300D8C"/>
    <w:rsid w:val="00303EE4"/>
    <w:rsid w:val="003055CE"/>
    <w:rsid w:val="00310C11"/>
    <w:rsid w:val="003110CD"/>
    <w:rsid w:val="003130FA"/>
    <w:rsid w:val="003178DD"/>
    <w:rsid w:val="00324585"/>
    <w:rsid w:val="00324807"/>
    <w:rsid w:val="00327DA7"/>
    <w:rsid w:val="00330B0B"/>
    <w:rsid w:val="00332D1C"/>
    <w:rsid w:val="003356EB"/>
    <w:rsid w:val="00342686"/>
    <w:rsid w:val="00342752"/>
    <w:rsid w:val="00343D93"/>
    <w:rsid w:val="003478E5"/>
    <w:rsid w:val="0035195F"/>
    <w:rsid w:val="00357D5C"/>
    <w:rsid w:val="003610B0"/>
    <w:rsid w:val="003626D4"/>
    <w:rsid w:val="003727C1"/>
    <w:rsid w:val="003766B7"/>
    <w:rsid w:val="00377AAC"/>
    <w:rsid w:val="0038082E"/>
    <w:rsid w:val="00381627"/>
    <w:rsid w:val="00383F5C"/>
    <w:rsid w:val="00386331"/>
    <w:rsid w:val="00392235"/>
    <w:rsid w:val="0039321A"/>
    <w:rsid w:val="003936F0"/>
    <w:rsid w:val="00395565"/>
    <w:rsid w:val="00397282"/>
    <w:rsid w:val="00397F66"/>
    <w:rsid w:val="003A0170"/>
    <w:rsid w:val="003A50D8"/>
    <w:rsid w:val="003B0D56"/>
    <w:rsid w:val="003B3602"/>
    <w:rsid w:val="003C1450"/>
    <w:rsid w:val="003C24F3"/>
    <w:rsid w:val="003C51F5"/>
    <w:rsid w:val="003C5D16"/>
    <w:rsid w:val="003D0637"/>
    <w:rsid w:val="003D0AA7"/>
    <w:rsid w:val="003D384B"/>
    <w:rsid w:val="003D440F"/>
    <w:rsid w:val="003D51F7"/>
    <w:rsid w:val="003D5A7F"/>
    <w:rsid w:val="003D5C46"/>
    <w:rsid w:val="003D5D76"/>
    <w:rsid w:val="003E1B61"/>
    <w:rsid w:val="003E2661"/>
    <w:rsid w:val="003E300F"/>
    <w:rsid w:val="003F0263"/>
    <w:rsid w:val="003F26E4"/>
    <w:rsid w:val="003F3901"/>
    <w:rsid w:val="003F74A6"/>
    <w:rsid w:val="00400BA0"/>
    <w:rsid w:val="00404C63"/>
    <w:rsid w:val="004055EC"/>
    <w:rsid w:val="004063A2"/>
    <w:rsid w:val="0041499B"/>
    <w:rsid w:val="0041645C"/>
    <w:rsid w:val="004176BB"/>
    <w:rsid w:val="00420943"/>
    <w:rsid w:val="00421476"/>
    <w:rsid w:val="00427CE6"/>
    <w:rsid w:val="004355E0"/>
    <w:rsid w:val="00435AC0"/>
    <w:rsid w:val="00437DF9"/>
    <w:rsid w:val="004417CF"/>
    <w:rsid w:val="0044222A"/>
    <w:rsid w:val="00445A76"/>
    <w:rsid w:val="00445F99"/>
    <w:rsid w:val="00447191"/>
    <w:rsid w:val="00453E03"/>
    <w:rsid w:val="004570CA"/>
    <w:rsid w:val="00461670"/>
    <w:rsid w:val="0046360E"/>
    <w:rsid w:val="00463F98"/>
    <w:rsid w:val="00464E67"/>
    <w:rsid w:val="00465BC5"/>
    <w:rsid w:val="00467D9B"/>
    <w:rsid w:val="004719BE"/>
    <w:rsid w:val="00473DFF"/>
    <w:rsid w:val="00477189"/>
    <w:rsid w:val="00477C37"/>
    <w:rsid w:val="00480735"/>
    <w:rsid w:val="00481268"/>
    <w:rsid w:val="00483A40"/>
    <w:rsid w:val="004902D1"/>
    <w:rsid w:val="00490FA6"/>
    <w:rsid w:val="00492F28"/>
    <w:rsid w:val="00493151"/>
    <w:rsid w:val="00496187"/>
    <w:rsid w:val="00496CC8"/>
    <w:rsid w:val="004A2D14"/>
    <w:rsid w:val="004A3F61"/>
    <w:rsid w:val="004A692B"/>
    <w:rsid w:val="004B04CC"/>
    <w:rsid w:val="004B0FA6"/>
    <w:rsid w:val="004B170B"/>
    <w:rsid w:val="004B254E"/>
    <w:rsid w:val="004B397B"/>
    <w:rsid w:val="004B4071"/>
    <w:rsid w:val="004B4D58"/>
    <w:rsid w:val="004B62D7"/>
    <w:rsid w:val="004B6943"/>
    <w:rsid w:val="004C0948"/>
    <w:rsid w:val="004C17CB"/>
    <w:rsid w:val="004C413C"/>
    <w:rsid w:val="004C57B7"/>
    <w:rsid w:val="004D0E24"/>
    <w:rsid w:val="004D2506"/>
    <w:rsid w:val="004D51CC"/>
    <w:rsid w:val="004D6405"/>
    <w:rsid w:val="004D7362"/>
    <w:rsid w:val="004D7749"/>
    <w:rsid w:val="004E00DE"/>
    <w:rsid w:val="004E1926"/>
    <w:rsid w:val="004E3EA3"/>
    <w:rsid w:val="004E3FE9"/>
    <w:rsid w:val="004E7779"/>
    <w:rsid w:val="004F5ED9"/>
    <w:rsid w:val="005015DA"/>
    <w:rsid w:val="00504909"/>
    <w:rsid w:val="00506BEC"/>
    <w:rsid w:val="00507D01"/>
    <w:rsid w:val="005115EE"/>
    <w:rsid w:val="00516773"/>
    <w:rsid w:val="00516908"/>
    <w:rsid w:val="00520C0E"/>
    <w:rsid w:val="00530456"/>
    <w:rsid w:val="00530510"/>
    <w:rsid w:val="00532DED"/>
    <w:rsid w:val="0053545E"/>
    <w:rsid w:val="005404B5"/>
    <w:rsid w:val="00545E25"/>
    <w:rsid w:val="0054626D"/>
    <w:rsid w:val="005517C8"/>
    <w:rsid w:val="005546CE"/>
    <w:rsid w:val="00556E9D"/>
    <w:rsid w:val="00556EC4"/>
    <w:rsid w:val="005617FE"/>
    <w:rsid w:val="00561AC7"/>
    <w:rsid w:val="00562891"/>
    <w:rsid w:val="00563B1B"/>
    <w:rsid w:val="00566008"/>
    <w:rsid w:val="005713CF"/>
    <w:rsid w:val="005742AD"/>
    <w:rsid w:val="00575D58"/>
    <w:rsid w:val="00582DA6"/>
    <w:rsid w:val="00586039"/>
    <w:rsid w:val="005912DC"/>
    <w:rsid w:val="005914E8"/>
    <w:rsid w:val="00594BF1"/>
    <w:rsid w:val="00595A8C"/>
    <w:rsid w:val="00595DC9"/>
    <w:rsid w:val="005A1290"/>
    <w:rsid w:val="005A2311"/>
    <w:rsid w:val="005A4916"/>
    <w:rsid w:val="005A591C"/>
    <w:rsid w:val="005B0367"/>
    <w:rsid w:val="005B0E57"/>
    <w:rsid w:val="005B1982"/>
    <w:rsid w:val="005B2012"/>
    <w:rsid w:val="005B216E"/>
    <w:rsid w:val="005B2E26"/>
    <w:rsid w:val="005B757C"/>
    <w:rsid w:val="005B7B6C"/>
    <w:rsid w:val="005C17A9"/>
    <w:rsid w:val="005C4B9D"/>
    <w:rsid w:val="005C5AC9"/>
    <w:rsid w:val="005D2CB2"/>
    <w:rsid w:val="005E06C2"/>
    <w:rsid w:val="005E4BF6"/>
    <w:rsid w:val="005F6864"/>
    <w:rsid w:val="00607F39"/>
    <w:rsid w:val="00610B50"/>
    <w:rsid w:val="006114FF"/>
    <w:rsid w:val="00611BCA"/>
    <w:rsid w:val="00611C4B"/>
    <w:rsid w:val="006145B4"/>
    <w:rsid w:val="00615718"/>
    <w:rsid w:val="006169FA"/>
    <w:rsid w:val="0062032B"/>
    <w:rsid w:val="00622316"/>
    <w:rsid w:val="00634D94"/>
    <w:rsid w:val="00636106"/>
    <w:rsid w:val="00641294"/>
    <w:rsid w:val="0064183E"/>
    <w:rsid w:val="00642364"/>
    <w:rsid w:val="00653746"/>
    <w:rsid w:val="00653ADA"/>
    <w:rsid w:val="00655303"/>
    <w:rsid w:val="0065743D"/>
    <w:rsid w:val="006636E9"/>
    <w:rsid w:val="006674D0"/>
    <w:rsid w:val="006711F8"/>
    <w:rsid w:val="00671707"/>
    <w:rsid w:val="0067261D"/>
    <w:rsid w:val="00673E8F"/>
    <w:rsid w:val="00676F1F"/>
    <w:rsid w:val="00680AA2"/>
    <w:rsid w:val="00684435"/>
    <w:rsid w:val="00685ACE"/>
    <w:rsid w:val="00686D99"/>
    <w:rsid w:val="006875B0"/>
    <w:rsid w:val="006944DD"/>
    <w:rsid w:val="00694BBB"/>
    <w:rsid w:val="00694F0D"/>
    <w:rsid w:val="006A08B7"/>
    <w:rsid w:val="006A3161"/>
    <w:rsid w:val="006B0928"/>
    <w:rsid w:val="006B5E9C"/>
    <w:rsid w:val="006B6F7D"/>
    <w:rsid w:val="006C01F8"/>
    <w:rsid w:val="006C152C"/>
    <w:rsid w:val="006C4DDC"/>
    <w:rsid w:val="006C7BCD"/>
    <w:rsid w:val="006D393B"/>
    <w:rsid w:val="006D6137"/>
    <w:rsid w:val="006E1106"/>
    <w:rsid w:val="006E6C4A"/>
    <w:rsid w:val="006E7CDF"/>
    <w:rsid w:val="00707F96"/>
    <w:rsid w:val="00711C4B"/>
    <w:rsid w:val="00712CCC"/>
    <w:rsid w:val="0071346C"/>
    <w:rsid w:val="00713B7E"/>
    <w:rsid w:val="00714403"/>
    <w:rsid w:val="007159B2"/>
    <w:rsid w:val="007221B6"/>
    <w:rsid w:val="00724619"/>
    <w:rsid w:val="00730275"/>
    <w:rsid w:val="00740951"/>
    <w:rsid w:val="00740DDD"/>
    <w:rsid w:val="00744592"/>
    <w:rsid w:val="00754AC0"/>
    <w:rsid w:val="00762E8A"/>
    <w:rsid w:val="00774DD6"/>
    <w:rsid w:val="007767F0"/>
    <w:rsid w:val="00791415"/>
    <w:rsid w:val="0079273D"/>
    <w:rsid w:val="007B024A"/>
    <w:rsid w:val="007B2A85"/>
    <w:rsid w:val="007B7ADD"/>
    <w:rsid w:val="007C1D5C"/>
    <w:rsid w:val="007C3C95"/>
    <w:rsid w:val="007C423C"/>
    <w:rsid w:val="007C772A"/>
    <w:rsid w:val="007E1D9D"/>
    <w:rsid w:val="007E34D5"/>
    <w:rsid w:val="007F06A1"/>
    <w:rsid w:val="007F32AD"/>
    <w:rsid w:val="007F589A"/>
    <w:rsid w:val="00801FCC"/>
    <w:rsid w:val="00802FD7"/>
    <w:rsid w:val="008046F7"/>
    <w:rsid w:val="00805395"/>
    <w:rsid w:val="008057FD"/>
    <w:rsid w:val="00807B28"/>
    <w:rsid w:val="00811E7E"/>
    <w:rsid w:val="00813111"/>
    <w:rsid w:val="0081405C"/>
    <w:rsid w:val="00815E27"/>
    <w:rsid w:val="00821D59"/>
    <w:rsid w:val="00822473"/>
    <w:rsid w:val="00822E71"/>
    <w:rsid w:val="00823102"/>
    <w:rsid w:val="00823DB9"/>
    <w:rsid w:val="008262C0"/>
    <w:rsid w:val="00826F2C"/>
    <w:rsid w:val="008270D1"/>
    <w:rsid w:val="00832B9E"/>
    <w:rsid w:val="00835640"/>
    <w:rsid w:val="008365D6"/>
    <w:rsid w:val="00836F79"/>
    <w:rsid w:val="008454A7"/>
    <w:rsid w:val="00845C39"/>
    <w:rsid w:val="008473EF"/>
    <w:rsid w:val="0084784F"/>
    <w:rsid w:val="00847F4D"/>
    <w:rsid w:val="00850EA2"/>
    <w:rsid w:val="00852A66"/>
    <w:rsid w:val="00853193"/>
    <w:rsid w:val="00854584"/>
    <w:rsid w:val="00855E6D"/>
    <w:rsid w:val="00857208"/>
    <w:rsid w:val="00860178"/>
    <w:rsid w:val="0086479C"/>
    <w:rsid w:val="008672D4"/>
    <w:rsid w:val="00867857"/>
    <w:rsid w:val="00870550"/>
    <w:rsid w:val="0087081C"/>
    <w:rsid w:val="008759DB"/>
    <w:rsid w:val="008847BD"/>
    <w:rsid w:val="00897301"/>
    <w:rsid w:val="008A26A7"/>
    <w:rsid w:val="008A28C2"/>
    <w:rsid w:val="008A50E4"/>
    <w:rsid w:val="008A5CA0"/>
    <w:rsid w:val="008B0343"/>
    <w:rsid w:val="008B05E2"/>
    <w:rsid w:val="008B33C4"/>
    <w:rsid w:val="008B4376"/>
    <w:rsid w:val="008D4348"/>
    <w:rsid w:val="008E4226"/>
    <w:rsid w:val="008E4FCC"/>
    <w:rsid w:val="008E5127"/>
    <w:rsid w:val="008E70A0"/>
    <w:rsid w:val="008E7DBB"/>
    <w:rsid w:val="008F0534"/>
    <w:rsid w:val="008F0972"/>
    <w:rsid w:val="008F1313"/>
    <w:rsid w:val="008F300C"/>
    <w:rsid w:val="008F3BE6"/>
    <w:rsid w:val="008F3E1F"/>
    <w:rsid w:val="008F4243"/>
    <w:rsid w:val="008F69D9"/>
    <w:rsid w:val="0090052D"/>
    <w:rsid w:val="00907547"/>
    <w:rsid w:val="00913130"/>
    <w:rsid w:val="00913D12"/>
    <w:rsid w:val="00917F3B"/>
    <w:rsid w:val="00924AAF"/>
    <w:rsid w:val="00924BC9"/>
    <w:rsid w:val="0092615F"/>
    <w:rsid w:val="009271CE"/>
    <w:rsid w:val="0092776E"/>
    <w:rsid w:val="00931102"/>
    <w:rsid w:val="009323CD"/>
    <w:rsid w:val="009424DB"/>
    <w:rsid w:val="00945151"/>
    <w:rsid w:val="00946A8D"/>
    <w:rsid w:val="009531A7"/>
    <w:rsid w:val="009539DD"/>
    <w:rsid w:val="009627E0"/>
    <w:rsid w:val="00962F74"/>
    <w:rsid w:val="00963577"/>
    <w:rsid w:val="00965621"/>
    <w:rsid w:val="009720DD"/>
    <w:rsid w:val="00973B35"/>
    <w:rsid w:val="0097681D"/>
    <w:rsid w:val="009826E2"/>
    <w:rsid w:val="009864E8"/>
    <w:rsid w:val="0099434B"/>
    <w:rsid w:val="00996395"/>
    <w:rsid w:val="009A2233"/>
    <w:rsid w:val="009A7B27"/>
    <w:rsid w:val="009B3A41"/>
    <w:rsid w:val="009B4C83"/>
    <w:rsid w:val="009B5EBE"/>
    <w:rsid w:val="009B6C5C"/>
    <w:rsid w:val="009C0238"/>
    <w:rsid w:val="009C12C6"/>
    <w:rsid w:val="009C1628"/>
    <w:rsid w:val="009C1BB9"/>
    <w:rsid w:val="009C4BEB"/>
    <w:rsid w:val="009C6191"/>
    <w:rsid w:val="009C63D1"/>
    <w:rsid w:val="009D6DDF"/>
    <w:rsid w:val="009E2BBF"/>
    <w:rsid w:val="009E315D"/>
    <w:rsid w:val="009E3745"/>
    <w:rsid w:val="009E4DD6"/>
    <w:rsid w:val="009E6A5E"/>
    <w:rsid w:val="009F60C9"/>
    <w:rsid w:val="00A02BF3"/>
    <w:rsid w:val="00A07B45"/>
    <w:rsid w:val="00A11F9D"/>
    <w:rsid w:val="00A14C00"/>
    <w:rsid w:val="00A16522"/>
    <w:rsid w:val="00A165CD"/>
    <w:rsid w:val="00A228AD"/>
    <w:rsid w:val="00A22DE2"/>
    <w:rsid w:val="00A2650B"/>
    <w:rsid w:val="00A27026"/>
    <w:rsid w:val="00A30685"/>
    <w:rsid w:val="00A41658"/>
    <w:rsid w:val="00A42440"/>
    <w:rsid w:val="00A42C7E"/>
    <w:rsid w:val="00A471D5"/>
    <w:rsid w:val="00A5616D"/>
    <w:rsid w:val="00A6124F"/>
    <w:rsid w:val="00A6175F"/>
    <w:rsid w:val="00A62BC2"/>
    <w:rsid w:val="00A63010"/>
    <w:rsid w:val="00A6314E"/>
    <w:rsid w:val="00A655D7"/>
    <w:rsid w:val="00A658D4"/>
    <w:rsid w:val="00A67BB7"/>
    <w:rsid w:val="00A70BD5"/>
    <w:rsid w:val="00A710CF"/>
    <w:rsid w:val="00A722C9"/>
    <w:rsid w:val="00A7289D"/>
    <w:rsid w:val="00A73372"/>
    <w:rsid w:val="00A73577"/>
    <w:rsid w:val="00A8070A"/>
    <w:rsid w:val="00A80CFA"/>
    <w:rsid w:val="00A84553"/>
    <w:rsid w:val="00A8755D"/>
    <w:rsid w:val="00A906B7"/>
    <w:rsid w:val="00A90DC4"/>
    <w:rsid w:val="00AA2026"/>
    <w:rsid w:val="00AA5053"/>
    <w:rsid w:val="00AA602E"/>
    <w:rsid w:val="00AA69B7"/>
    <w:rsid w:val="00AA792A"/>
    <w:rsid w:val="00AB443F"/>
    <w:rsid w:val="00AB52EC"/>
    <w:rsid w:val="00AC2A0B"/>
    <w:rsid w:val="00AC3930"/>
    <w:rsid w:val="00AC7AE4"/>
    <w:rsid w:val="00AD1A46"/>
    <w:rsid w:val="00AD307E"/>
    <w:rsid w:val="00AE4BE9"/>
    <w:rsid w:val="00AE7C8D"/>
    <w:rsid w:val="00B00E26"/>
    <w:rsid w:val="00B03B2A"/>
    <w:rsid w:val="00B06AA8"/>
    <w:rsid w:val="00B072C0"/>
    <w:rsid w:val="00B0736B"/>
    <w:rsid w:val="00B108B1"/>
    <w:rsid w:val="00B11370"/>
    <w:rsid w:val="00B11579"/>
    <w:rsid w:val="00B12C28"/>
    <w:rsid w:val="00B138F7"/>
    <w:rsid w:val="00B15B78"/>
    <w:rsid w:val="00B27002"/>
    <w:rsid w:val="00B316AA"/>
    <w:rsid w:val="00B45223"/>
    <w:rsid w:val="00B4602E"/>
    <w:rsid w:val="00B463DD"/>
    <w:rsid w:val="00B47861"/>
    <w:rsid w:val="00B50B0A"/>
    <w:rsid w:val="00B50C24"/>
    <w:rsid w:val="00B50EDA"/>
    <w:rsid w:val="00B63D83"/>
    <w:rsid w:val="00B64117"/>
    <w:rsid w:val="00B6498A"/>
    <w:rsid w:val="00B65E02"/>
    <w:rsid w:val="00B734C0"/>
    <w:rsid w:val="00B80491"/>
    <w:rsid w:val="00B81C52"/>
    <w:rsid w:val="00B90915"/>
    <w:rsid w:val="00B91F51"/>
    <w:rsid w:val="00B9518D"/>
    <w:rsid w:val="00B95E64"/>
    <w:rsid w:val="00BA22CD"/>
    <w:rsid w:val="00BA2412"/>
    <w:rsid w:val="00BA2D5C"/>
    <w:rsid w:val="00BA2EE0"/>
    <w:rsid w:val="00BA68F1"/>
    <w:rsid w:val="00BA7018"/>
    <w:rsid w:val="00BC34C4"/>
    <w:rsid w:val="00BD3F06"/>
    <w:rsid w:val="00BD4EFD"/>
    <w:rsid w:val="00BD5331"/>
    <w:rsid w:val="00BE4645"/>
    <w:rsid w:val="00BE7E89"/>
    <w:rsid w:val="00BF1CA4"/>
    <w:rsid w:val="00BF6B60"/>
    <w:rsid w:val="00BF7388"/>
    <w:rsid w:val="00BF7D4E"/>
    <w:rsid w:val="00C00909"/>
    <w:rsid w:val="00C012B8"/>
    <w:rsid w:val="00C03AEF"/>
    <w:rsid w:val="00C12A9E"/>
    <w:rsid w:val="00C134B5"/>
    <w:rsid w:val="00C13D84"/>
    <w:rsid w:val="00C1467F"/>
    <w:rsid w:val="00C14A01"/>
    <w:rsid w:val="00C22C36"/>
    <w:rsid w:val="00C25AAD"/>
    <w:rsid w:val="00C270CD"/>
    <w:rsid w:val="00C277E8"/>
    <w:rsid w:val="00C41F3A"/>
    <w:rsid w:val="00C43008"/>
    <w:rsid w:val="00C43B4C"/>
    <w:rsid w:val="00C503B3"/>
    <w:rsid w:val="00C6350E"/>
    <w:rsid w:val="00C637AB"/>
    <w:rsid w:val="00C64C69"/>
    <w:rsid w:val="00C70F9B"/>
    <w:rsid w:val="00C7655C"/>
    <w:rsid w:val="00C76F14"/>
    <w:rsid w:val="00C76F51"/>
    <w:rsid w:val="00C82C9A"/>
    <w:rsid w:val="00C83BC6"/>
    <w:rsid w:val="00C840DD"/>
    <w:rsid w:val="00C85453"/>
    <w:rsid w:val="00C87C07"/>
    <w:rsid w:val="00C93991"/>
    <w:rsid w:val="00C974AE"/>
    <w:rsid w:val="00CA052A"/>
    <w:rsid w:val="00CA5C8A"/>
    <w:rsid w:val="00CB145E"/>
    <w:rsid w:val="00CB4283"/>
    <w:rsid w:val="00CB6783"/>
    <w:rsid w:val="00CB75C3"/>
    <w:rsid w:val="00CC247A"/>
    <w:rsid w:val="00CC3068"/>
    <w:rsid w:val="00CC52F4"/>
    <w:rsid w:val="00CD296C"/>
    <w:rsid w:val="00CE203A"/>
    <w:rsid w:val="00CE459D"/>
    <w:rsid w:val="00CF0601"/>
    <w:rsid w:val="00CF14F9"/>
    <w:rsid w:val="00CF3B21"/>
    <w:rsid w:val="00CF3E6E"/>
    <w:rsid w:val="00CF5A9C"/>
    <w:rsid w:val="00CF6E25"/>
    <w:rsid w:val="00D00A5B"/>
    <w:rsid w:val="00D02968"/>
    <w:rsid w:val="00D035A7"/>
    <w:rsid w:val="00D0387B"/>
    <w:rsid w:val="00D04E25"/>
    <w:rsid w:val="00D0587D"/>
    <w:rsid w:val="00D079AF"/>
    <w:rsid w:val="00D11265"/>
    <w:rsid w:val="00D12B32"/>
    <w:rsid w:val="00D15702"/>
    <w:rsid w:val="00D159D7"/>
    <w:rsid w:val="00D15E96"/>
    <w:rsid w:val="00D23BF2"/>
    <w:rsid w:val="00D32274"/>
    <w:rsid w:val="00D34241"/>
    <w:rsid w:val="00D35104"/>
    <w:rsid w:val="00D503B3"/>
    <w:rsid w:val="00D5302F"/>
    <w:rsid w:val="00D553C5"/>
    <w:rsid w:val="00D56F06"/>
    <w:rsid w:val="00D63578"/>
    <w:rsid w:val="00D66B03"/>
    <w:rsid w:val="00D72BAF"/>
    <w:rsid w:val="00D73007"/>
    <w:rsid w:val="00D77363"/>
    <w:rsid w:val="00D77618"/>
    <w:rsid w:val="00D8022D"/>
    <w:rsid w:val="00D856DE"/>
    <w:rsid w:val="00D93133"/>
    <w:rsid w:val="00D97BEA"/>
    <w:rsid w:val="00DA0C26"/>
    <w:rsid w:val="00DA3EFB"/>
    <w:rsid w:val="00DA738C"/>
    <w:rsid w:val="00DB1D9D"/>
    <w:rsid w:val="00DB744B"/>
    <w:rsid w:val="00DC13F2"/>
    <w:rsid w:val="00DC445A"/>
    <w:rsid w:val="00DC4E2C"/>
    <w:rsid w:val="00DD01A8"/>
    <w:rsid w:val="00DE01BE"/>
    <w:rsid w:val="00DE59E1"/>
    <w:rsid w:val="00DE67C2"/>
    <w:rsid w:val="00DF2EB2"/>
    <w:rsid w:val="00DF4801"/>
    <w:rsid w:val="00DF7FAE"/>
    <w:rsid w:val="00E03244"/>
    <w:rsid w:val="00E04910"/>
    <w:rsid w:val="00E04EF6"/>
    <w:rsid w:val="00E124DE"/>
    <w:rsid w:val="00E12FF8"/>
    <w:rsid w:val="00E16E2B"/>
    <w:rsid w:val="00E205AD"/>
    <w:rsid w:val="00E232EF"/>
    <w:rsid w:val="00E26F07"/>
    <w:rsid w:val="00E337A8"/>
    <w:rsid w:val="00E33DCB"/>
    <w:rsid w:val="00E341F8"/>
    <w:rsid w:val="00E42061"/>
    <w:rsid w:val="00E50F39"/>
    <w:rsid w:val="00E51910"/>
    <w:rsid w:val="00E522EF"/>
    <w:rsid w:val="00E5399D"/>
    <w:rsid w:val="00E651FE"/>
    <w:rsid w:val="00E65C5A"/>
    <w:rsid w:val="00E66DF0"/>
    <w:rsid w:val="00E70BAE"/>
    <w:rsid w:val="00E86ABC"/>
    <w:rsid w:val="00E96162"/>
    <w:rsid w:val="00EA35DD"/>
    <w:rsid w:val="00EA4217"/>
    <w:rsid w:val="00EA6125"/>
    <w:rsid w:val="00EA62A3"/>
    <w:rsid w:val="00EB2957"/>
    <w:rsid w:val="00EB6937"/>
    <w:rsid w:val="00EB74D2"/>
    <w:rsid w:val="00EC18C6"/>
    <w:rsid w:val="00EC4AB7"/>
    <w:rsid w:val="00EC7692"/>
    <w:rsid w:val="00ED45CF"/>
    <w:rsid w:val="00ED7DD0"/>
    <w:rsid w:val="00ED7DEF"/>
    <w:rsid w:val="00ED7EA7"/>
    <w:rsid w:val="00EE58C7"/>
    <w:rsid w:val="00EF05D0"/>
    <w:rsid w:val="00F132C3"/>
    <w:rsid w:val="00F13DB9"/>
    <w:rsid w:val="00F22967"/>
    <w:rsid w:val="00F3253D"/>
    <w:rsid w:val="00F3294D"/>
    <w:rsid w:val="00F33283"/>
    <w:rsid w:val="00F41FE1"/>
    <w:rsid w:val="00F466EB"/>
    <w:rsid w:val="00F4768C"/>
    <w:rsid w:val="00F66293"/>
    <w:rsid w:val="00F67043"/>
    <w:rsid w:val="00F759BB"/>
    <w:rsid w:val="00F76648"/>
    <w:rsid w:val="00F77774"/>
    <w:rsid w:val="00F849E7"/>
    <w:rsid w:val="00F87CA8"/>
    <w:rsid w:val="00F9285D"/>
    <w:rsid w:val="00FA0942"/>
    <w:rsid w:val="00FA35F9"/>
    <w:rsid w:val="00FB08AA"/>
    <w:rsid w:val="00FB0C2D"/>
    <w:rsid w:val="00FB12CF"/>
    <w:rsid w:val="00FB30E2"/>
    <w:rsid w:val="00FB5FE8"/>
    <w:rsid w:val="00FB6995"/>
    <w:rsid w:val="00FC14F8"/>
    <w:rsid w:val="00FC39D7"/>
    <w:rsid w:val="00FC6D34"/>
    <w:rsid w:val="00FC6F5A"/>
    <w:rsid w:val="00FD2DB1"/>
    <w:rsid w:val="00FE3CB3"/>
    <w:rsid w:val="00FE3D27"/>
    <w:rsid w:val="00FE448D"/>
    <w:rsid w:val="00FE4997"/>
    <w:rsid w:val="00FF04D6"/>
    <w:rsid w:val="00FF1092"/>
    <w:rsid w:val="00FF1848"/>
    <w:rsid w:val="00FF2962"/>
    <w:rsid w:val="00FF39CC"/>
    <w:rsid w:val="00FF7458"/>
    <w:rsid w:val="00FF77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6E887"/>
  <w15:chartTrackingRefBased/>
  <w15:docId w15:val="{0C1ADD21-C5CE-43E9-9582-88476E717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AT"/>
    </w:rPr>
  </w:style>
  <w:style w:type="paragraph" w:styleId="berschrift1">
    <w:name w:val="heading 1"/>
    <w:basedOn w:val="Standard"/>
    <w:next w:val="Standard"/>
    <w:link w:val="berschrift1Zchn"/>
    <w:uiPriority w:val="9"/>
    <w:qFormat/>
    <w:rsid w:val="00694B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9864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D7300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BD3F0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081177"/>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081177"/>
    <w:rPr>
      <w:rFonts w:eastAsiaTheme="minorEastAsia"/>
      <w:lang w:eastAsia="de-DE"/>
    </w:rPr>
  </w:style>
  <w:style w:type="paragraph" w:styleId="Kopfzeile">
    <w:name w:val="header"/>
    <w:basedOn w:val="Standard"/>
    <w:link w:val="KopfzeileZchn"/>
    <w:uiPriority w:val="99"/>
    <w:unhideWhenUsed/>
    <w:rsid w:val="000811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81177"/>
    <w:rPr>
      <w:lang w:val="de-AT"/>
    </w:rPr>
  </w:style>
  <w:style w:type="paragraph" w:styleId="Fuzeile">
    <w:name w:val="footer"/>
    <w:basedOn w:val="Standard"/>
    <w:link w:val="FuzeileZchn"/>
    <w:uiPriority w:val="99"/>
    <w:unhideWhenUsed/>
    <w:rsid w:val="000811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81177"/>
    <w:rPr>
      <w:lang w:val="de-AT"/>
    </w:rPr>
  </w:style>
  <w:style w:type="character" w:customStyle="1" w:styleId="berschrift1Zchn">
    <w:name w:val="Überschrift 1 Zchn"/>
    <w:basedOn w:val="Absatz-Standardschriftart"/>
    <w:link w:val="berschrift1"/>
    <w:uiPriority w:val="9"/>
    <w:rsid w:val="00694BBB"/>
    <w:rPr>
      <w:rFonts w:asciiTheme="majorHAnsi" w:eastAsiaTheme="majorEastAsia" w:hAnsiTheme="majorHAnsi" w:cstheme="majorBidi"/>
      <w:color w:val="2F5496" w:themeColor="accent1" w:themeShade="BF"/>
      <w:sz w:val="32"/>
      <w:szCs w:val="32"/>
      <w:lang w:val="de-AT"/>
    </w:rPr>
  </w:style>
  <w:style w:type="character" w:customStyle="1" w:styleId="berschrift2Zchn">
    <w:name w:val="Überschrift 2 Zchn"/>
    <w:basedOn w:val="Absatz-Standardschriftart"/>
    <w:link w:val="berschrift2"/>
    <w:uiPriority w:val="9"/>
    <w:rsid w:val="009864E8"/>
    <w:rPr>
      <w:rFonts w:asciiTheme="majorHAnsi" w:eastAsiaTheme="majorEastAsia" w:hAnsiTheme="majorHAnsi" w:cstheme="majorBidi"/>
      <w:color w:val="2F5496" w:themeColor="accent1" w:themeShade="BF"/>
      <w:sz w:val="26"/>
      <w:szCs w:val="26"/>
      <w:lang w:val="de-AT"/>
    </w:rPr>
  </w:style>
  <w:style w:type="paragraph" w:styleId="Funotentext">
    <w:name w:val="footnote text"/>
    <w:basedOn w:val="Standard"/>
    <w:link w:val="FunotentextZchn"/>
    <w:uiPriority w:val="99"/>
    <w:semiHidden/>
    <w:unhideWhenUsed/>
    <w:rsid w:val="00BF7D4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F7D4E"/>
    <w:rPr>
      <w:sz w:val="20"/>
      <w:szCs w:val="20"/>
      <w:lang w:val="de-AT"/>
    </w:rPr>
  </w:style>
  <w:style w:type="character" w:styleId="Funotenzeichen">
    <w:name w:val="footnote reference"/>
    <w:basedOn w:val="Absatz-Standardschriftart"/>
    <w:uiPriority w:val="99"/>
    <w:semiHidden/>
    <w:unhideWhenUsed/>
    <w:rsid w:val="00BF7D4E"/>
    <w:rPr>
      <w:vertAlign w:val="superscript"/>
    </w:rPr>
  </w:style>
  <w:style w:type="character" w:styleId="Hyperlink">
    <w:name w:val="Hyperlink"/>
    <w:basedOn w:val="Absatz-Standardschriftart"/>
    <w:uiPriority w:val="99"/>
    <w:unhideWhenUsed/>
    <w:rsid w:val="00BF7D4E"/>
    <w:rPr>
      <w:color w:val="0000FF"/>
      <w:u w:val="single"/>
    </w:rPr>
  </w:style>
  <w:style w:type="character" w:styleId="NichtaufgelsteErwhnung">
    <w:name w:val="Unresolved Mention"/>
    <w:basedOn w:val="Absatz-Standardschriftart"/>
    <w:uiPriority w:val="99"/>
    <w:semiHidden/>
    <w:unhideWhenUsed/>
    <w:rsid w:val="00490FA6"/>
    <w:rPr>
      <w:color w:val="605E5C"/>
      <w:shd w:val="clear" w:color="auto" w:fill="E1DFDD"/>
    </w:rPr>
  </w:style>
  <w:style w:type="paragraph" w:styleId="Listenabsatz">
    <w:name w:val="List Paragraph"/>
    <w:basedOn w:val="Standard"/>
    <w:uiPriority w:val="34"/>
    <w:qFormat/>
    <w:rsid w:val="00D553C5"/>
    <w:pPr>
      <w:ind w:left="720"/>
      <w:contextualSpacing/>
    </w:pPr>
  </w:style>
  <w:style w:type="character" w:customStyle="1" w:styleId="berschrift3Zchn">
    <w:name w:val="Überschrift 3 Zchn"/>
    <w:basedOn w:val="Absatz-Standardschriftart"/>
    <w:link w:val="berschrift3"/>
    <w:uiPriority w:val="9"/>
    <w:rsid w:val="00D73007"/>
    <w:rPr>
      <w:rFonts w:asciiTheme="majorHAnsi" w:eastAsiaTheme="majorEastAsia" w:hAnsiTheme="majorHAnsi" w:cstheme="majorBidi"/>
      <w:color w:val="1F3763" w:themeColor="accent1" w:themeShade="7F"/>
      <w:sz w:val="24"/>
      <w:szCs w:val="24"/>
      <w:lang w:val="de-AT"/>
    </w:rPr>
  </w:style>
  <w:style w:type="paragraph" w:styleId="Inhaltsverzeichnisberschrift">
    <w:name w:val="TOC Heading"/>
    <w:basedOn w:val="berschrift1"/>
    <w:next w:val="Standard"/>
    <w:uiPriority w:val="39"/>
    <w:unhideWhenUsed/>
    <w:qFormat/>
    <w:rsid w:val="00B64117"/>
    <w:pPr>
      <w:outlineLvl w:val="9"/>
    </w:pPr>
    <w:rPr>
      <w:lang w:val="de-DE" w:eastAsia="de-DE"/>
    </w:rPr>
  </w:style>
  <w:style w:type="paragraph" w:styleId="Verzeichnis1">
    <w:name w:val="toc 1"/>
    <w:basedOn w:val="Standard"/>
    <w:next w:val="Standard"/>
    <w:autoRedefine/>
    <w:uiPriority w:val="39"/>
    <w:unhideWhenUsed/>
    <w:rsid w:val="00303EE4"/>
    <w:pPr>
      <w:tabs>
        <w:tab w:val="right" w:leader="dot" w:pos="9062"/>
      </w:tabs>
      <w:spacing w:after="100" w:line="360" w:lineRule="auto"/>
    </w:pPr>
    <w:rPr>
      <w:rFonts w:asciiTheme="majorHAnsi" w:hAnsiTheme="majorHAnsi" w:cstheme="majorHAnsi"/>
      <w:b/>
      <w:bCs/>
      <w:noProof/>
    </w:rPr>
  </w:style>
  <w:style w:type="paragraph" w:styleId="Verzeichnis2">
    <w:name w:val="toc 2"/>
    <w:basedOn w:val="Standard"/>
    <w:next w:val="Standard"/>
    <w:autoRedefine/>
    <w:uiPriority w:val="39"/>
    <w:unhideWhenUsed/>
    <w:rsid w:val="00B64117"/>
    <w:pPr>
      <w:tabs>
        <w:tab w:val="right" w:leader="dot" w:pos="9062"/>
      </w:tabs>
      <w:spacing w:line="360" w:lineRule="auto"/>
      <w:ind w:left="221"/>
    </w:pPr>
  </w:style>
  <w:style w:type="paragraph" w:styleId="Verzeichnis3">
    <w:name w:val="toc 3"/>
    <w:basedOn w:val="Standard"/>
    <w:next w:val="Standard"/>
    <w:autoRedefine/>
    <w:uiPriority w:val="39"/>
    <w:unhideWhenUsed/>
    <w:rsid w:val="00D04E25"/>
    <w:pPr>
      <w:tabs>
        <w:tab w:val="right" w:leader="dot" w:pos="9062"/>
      </w:tabs>
      <w:spacing w:after="100" w:line="360" w:lineRule="auto"/>
      <w:ind w:left="442"/>
    </w:pPr>
  </w:style>
  <w:style w:type="character" w:customStyle="1" w:styleId="berschrift4Zchn">
    <w:name w:val="Überschrift 4 Zchn"/>
    <w:basedOn w:val="Absatz-Standardschriftart"/>
    <w:link w:val="berschrift4"/>
    <w:uiPriority w:val="9"/>
    <w:rsid w:val="00BD3F06"/>
    <w:rPr>
      <w:rFonts w:asciiTheme="majorHAnsi" w:eastAsiaTheme="majorEastAsia" w:hAnsiTheme="majorHAnsi" w:cstheme="majorBidi"/>
      <w:i/>
      <w:iCs/>
      <w:color w:val="2F5496" w:themeColor="accent1" w:themeShade="BF"/>
      <w:lang w:val="de-AT"/>
    </w:rPr>
  </w:style>
  <w:style w:type="character" w:styleId="BesuchterLink">
    <w:name w:val="FollowedHyperlink"/>
    <w:basedOn w:val="Absatz-Standardschriftart"/>
    <w:uiPriority w:val="99"/>
    <w:semiHidden/>
    <w:unhideWhenUsed/>
    <w:rsid w:val="00E26F07"/>
    <w:rPr>
      <w:color w:val="954F72" w:themeColor="followedHyperlink"/>
      <w:u w:val="single"/>
    </w:rPr>
  </w:style>
  <w:style w:type="character" w:styleId="Fett">
    <w:name w:val="Strong"/>
    <w:basedOn w:val="Absatz-Standardschriftart"/>
    <w:uiPriority w:val="22"/>
    <w:qFormat/>
    <w:rsid w:val="003D384B"/>
    <w:rPr>
      <w:b/>
      <w:bCs/>
    </w:rPr>
  </w:style>
  <w:style w:type="paragraph" w:styleId="Sprechblasentext">
    <w:name w:val="Balloon Text"/>
    <w:basedOn w:val="Standard"/>
    <w:link w:val="SprechblasentextZchn"/>
    <w:uiPriority w:val="99"/>
    <w:semiHidden/>
    <w:unhideWhenUsed/>
    <w:rsid w:val="0064183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4183E"/>
    <w:rPr>
      <w:rFonts w:ascii="Segoe UI" w:hAnsi="Segoe UI" w:cs="Segoe UI"/>
      <w:sz w:val="18"/>
      <w:szCs w:val="18"/>
      <w:lang w:val="de-AT"/>
    </w:rPr>
  </w:style>
  <w:style w:type="character" w:customStyle="1" w:styleId="honorific-prefix">
    <w:name w:val="honorific-prefix"/>
    <w:basedOn w:val="Absatz-Standardschriftart"/>
    <w:rsid w:val="007F06A1"/>
  </w:style>
  <w:style w:type="character" w:customStyle="1" w:styleId="given-name">
    <w:name w:val="given-name"/>
    <w:basedOn w:val="Absatz-Standardschriftart"/>
    <w:rsid w:val="007F06A1"/>
  </w:style>
  <w:style w:type="character" w:customStyle="1" w:styleId="family-name">
    <w:name w:val="family-name"/>
    <w:basedOn w:val="Absatz-Standardschriftart"/>
    <w:rsid w:val="007F0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valex.de/" TargetMode="External"/><Relationship Id="rId18" Type="http://schemas.openxmlformats.org/officeDocument/2006/relationships/hyperlink" Target="https://www.adorgasolutions.de/dsgvo-struktur-und-aufbau/" TargetMode="External"/><Relationship Id="rId26" Type="http://schemas.openxmlformats.org/officeDocument/2006/relationships/hyperlink" Target="https://de.wikipedia.org/w/index.php?title=Online-Marketing&amp;oldid=198977412" TargetMode="External"/><Relationship Id="rId39" Type="http://schemas.openxmlformats.org/officeDocument/2006/relationships/hyperlink" Target="https://doi.org/10.1515/verwarch-2018-1090312" TargetMode="External"/><Relationship Id="rId21" Type="http://schemas.openxmlformats.org/officeDocument/2006/relationships/hyperlink" Target="https://www.clickeffect.de/google-analytics-dsgvo-konform-einbinden/" TargetMode="External"/><Relationship Id="rId34" Type="http://schemas.openxmlformats.org/officeDocument/2006/relationships/hyperlink" Target="https://www.e-recht24.de/artikel/datenschutz/6843-google-analytics-datenschutz-rechtskonform-nutzen.html" TargetMode="External"/><Relationship Id="rId42" Type="http://schemas.openxmlformats.org/officeDocument/2006/relationships/hyperlink" Target="https://www.datenschutz.org/eu-datenschutzgrundverordnung/" TargetMode="External"/><Relationship Id="rId47" Type="http://schemas.openxmlformats.org/officeDocument/2006/relationships/hyperlink" Target="https://www.datenschutz-grundverordnung.eu/grundverordnung/erwagungsgrund-006/" TargetMode="External"/><Relationship Id="rId50" Type="http://schemas.openxmlformats.org/officeDocument/2006/relationships/hyperlink" Target="https://www.wko.at/service/wirtschaftsrecht-gewerberecht/EU-Datenschutz-Grundverordnung:-Dokumentationspflicht.html"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jpeg"/><Relationship Id="rId29" Type="http://schemas.openxmlformats.org/officeDocument/2006/relationships/hyperlink" Target="https://www.zora.uzh.ch/id/eprint/146097/1/Brosch%C3%BCr_Big%20Data_4_ES_170119.pdf" TargetMode="External"/><Relationship Id="rId11" Type="http://schemas.openxmlformats.org/officeDocument/2006/relationships/hyperlink" Target="https://www.clickeffect.de/google-analytics-dsgvo-konform-einbinden/" TargetMode="External"/><Relationship Id="rId24" Type="http://schemas.openxmlformats.org/officeDocument/2006/relationships/hyperlink" Target="https://fokus.genba.org/grundsaetze-der-dsgvo" TargetMode="External"/><Relationship Id="rId32" Type="http://schemas.openxmlformats.org/officeDocument/2006/relationships/hyperlink" Target="https://www.heise.de/newsticker/meldung/DSGVO-Rechtsgrundlagen-und-Funktionsweisen-von-Cookie-Hinweisen-4430026.html?seite=all" TargetMode="External"/><Relationship Id="rId37" Type="http://schemas.openxmlformats.org/officeDocument/2006/relationships/hyperlink" Target="https://doi.org/10.1007/s11623-016-0632-8" TargetMode="External"/><Relationship Id="rId40" Type="http://schemas.openxmlformats.org/officeDocument/2006/relationships/hyperlink" Target="https://doi.org/10.1007/s12399-009-0030-5" TargetMode="External"/><Relationship Id="rId45" Type="http://schemas.openxmlformats.org/officeDocument/2006/relationships/hyperlink" Target="https://edps.europa.eu/data-protection/data-protection/legislation/history-general-data-protection-regulation_de" TargetMode="External"/><Relationship Id="rId53"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hyperlink" Target="http://www.argedaten.at/php/cms_monitor.php?q=PUB-TEXT-ARGEDATEN&amp;s=00029jsn" TargetMode="External"/><Relationship Id="rId4" Type="http://schemas.openxmlformats.org/officeDocument/2006/relationships/styles" Target="styles.xml"/><Relationship Id="rId9" Type="http://schemas.openxmlformats.org/officeDocument/2006/relationships/hyperlink" Target="https://datenschutz-generator.de/eugh-cookie-einwilligung-banner-detailinformationen-pflicht/" TargetMode="External"/><Relationship Id="rId14" Type="http://schemas.openxmlformats.org/officeDocument/2006/relationships/image" Target="media/image1.png"/><Relationship Id="rId22" Type="http://schemas.openxmlformats.org/officeDocument/2006/relationships/hyperlink" Target="https://dsgvo.expert/wp/die-datenschutzgrundverordnung/entstehungsgeschichte/" TargetMode="External"/><Relationship Id="rId27" Type="http://schemas.openxmlformats.org/officeDocument/2006/relationships/hyperlink" Target="https://de.wikipedia.org/w/index.php?title=Big_Data&amp;oldid=200067282" TargetMode="External"/><Relationship Id="rId30" Type="http://schemas.openxmlformats.org/officeDocument/2006/relationships/hyperlink" Target="https://centralstationcrm.de/blog/ja-ich-will-permission-marketing-opt-in-und-opt-out" TargetMode="External"/><Relationship Id="rId35" Type="http://schemas.openxmlformats.org/officeDocument/2006/relationships/hyperlink" Target="https://doi.org/10.1007/s10273-016-2029-6" TargetMode="External"/><Relationship Id="rId43" Type="http://schemas.openxmlformats.org/officeDocument/2006/relationships/hyperlink" Target="https://www.datenschutz.org/privacy-shield/" TargetMode="External"/><Relationship Id="rId48" Type="http://schemas.openxmlformats.org/officeDocument/2006/relationships/hyperlink" Target="https://www.wko.at/branchen/information-consulting/finanzdienstleister/toms-muster.pdf" TargetMode="External"/><Relationship Id="rId56"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yperlink" Target="https://www.wko.at/service/wirtschaftsrecht-gewerberecht/EU-Datenschutz-Grundverordnung:-Auskunftspflicht-des-Vera.html" TargetMode="External"/><Relationship Id="rId3" Type="http://schemas.openxmlformats.org/officeDocument/2006/relationships/numbering" Target="numbering.xml"/><Relationship Id="rId12" Type="http://schemas.openxmlformats.org/officeDocument/2006/relationships/hyperlink" Target="https://www.jusline.at/datenschutzerklaerung" TargetMode="External"/><Relationship Id="rId17" Type="http://schemas.openxmlformats.org/officeDocument/2006/relationships/image" Target="media/image4.png"/><Relationship Id="rId25" Type="http://schemas.openxmlformats.org/officeDocument/2006/relationships/hyperlink" Target="https://de.wikipedia.org/wiki/Datenschutzgesetz_(%C3%96sterreich)" TargetMode="External"/><Relationship Id="rId33" Type="http://schemas.openxmlformats.org/officeDocument/2006/relationships/hyperlink" Target="https://link.springer.com/content/pdf/10.1007/s11623-016-0631-9.pdf" TargetMode="External"/><Relationship Id="rId38" Type="http://schemas.openxmlformats.org/officeDocument/2006/relationships/hyperlink" Target="https://doi.org/10.1007/s11623-015-0510-9" TargetMode="External"/><Relationship Id="rId46" Type="http://schemas.openxmlformats.org/officeDocument/2006/relationships/hyperlink" Target="https://www.privacy-regulation.eu/de/erwaegungsgrund-13-DS-GVO.htm" TargetMode="External"/><Relationship Id="rId20" Type="http://schemas.openxmlformats.org/officeDocument/2006/relationships/hyperlink" Target="https://www.onlinekosten.de/internet/cookies/" TargetMode="External"/><Relationship Id="rId41" Type="http://schemas.openxmlformats.org/officeDocument/2006/relationships/hyperlink" Target="https://www.datenschutz.org/opt-out/"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dsgvo-gesetz.de/themen/personenbezogene-daten/" TargetMode="External"/><Relationship Id="rId28" Type="http://schemas.openxmlformats.org/officeDocument/2006/relationships/hyperlink" Target="https://learn.wu.ac.at/resources/tlf-lrn/web/viewer.html?file=/dotlrn/classes/pool/5071.20s/tlf-lrn/download/file/Foliensatz_2/de:Teil_2_-_Marktforschung_und_Customer_Relationship_Management/file" TargetMode="External"/><Relationship Id="rId36" Type="http://schemas.openxmlformats.org/officeDocument/2006/relationships/hyperlink" Target="https://doi.org/10.1007/s11623-016-0631-9" TargetMode="External"/><Relationship Id="rId49" Type="http://schemas.openxmlformats.org/officeDocument/2006/relationships/hyperlink" Target="https://www.wko.at/service/wirtschaftsrecht-gewerberecht/EU-Datenschutz-Grundverordnung:-Sachlicher-und-raeumliche.html" TargetMode="External"/><Relationship Id="rId57" Type="http://schemas.openxmlformats.org/officeDocument/2006/relationships/theme" Target="theme/theme1.xml"/><Relationship Id="rId10" Type="http://schemas.openxmlformats.org/officeDocument/2006/relationships/hyperlink" Target="https://www.clickeffect.de/google-analytics-dsgvo-konform-einbinden/" TargetMode="External"/><Relationship Id="rId31" Type="http://schemas.openxmlformats.org/officeDocument/2006/relationships/hyperlink" Target="https://www.datenschutz-praxis.de/fachnews/kurzpapier-besondere-kategorien-personenbezogener-daten/" TargetMode="External"/><Relationship Id="rId44" Type="http://schemas.openxmlformats.org/officeDocument/2006/relationships/hyperlink" Target="https://www.datenschutzbeauftragter-info.de/was-bedeutet-privacy-by-design-privacy-by-default-wirklich/" TargetMode="External"/><Relationship Id="rId52" Type="http://schemas.openxmlformats.org/officeDocument/2006/relationships/hyperlink" Target="https://www.wko.at/service/wirtschaftsrecht-gewerberecht/EU-Datenschutz-Grundverordnung:-Rechtsdurchsetzung-und-St.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wko.at" TargetMode="External"/><Relationship Id="rId2" Type="http://schemas.openxmlformats.org/officeDocument/2006/relationships/hyperlink" Target="http://www.adorgasolutions.de" TargetMode="External"/><Relationship Id="rId1" Type="http://schemas.openxmlformats.org/officeDocument/2006/relationships/hyperlink" Target="http://www.wko.at" TargetMode="External"/><Relationship Id="rId6" Type="http://schemas.openxmlformats.org/officeDocument/2006/relationships/hyperlink" Target="http://www.datenschutz.org" TargetMode="External"/><Relationship Id="rId5" Type="http://schemas.openxmlformats.org/officeDocument/2006/relationships/hyperlink" Target="http://www.learn.wu.ac.at" TargetMode="External"/><Relationship Id="rId4" Type="http://schemas.openxmlformats.org/officeDocument/2006/relationships/hyperlink" Target="http://www.wk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FB8D4F39EC9456683FACE37C4AC4ACF"/>
        <w:category>
          <w:name w:val="Allgemein"/>
          <w:gallery w:val="placeholder"/>
        </w:category>
        <w:types>
          <w:type w:val="bbPlcHdr"/>
        </w:types>
        <w:behaviors>
          <w:behavior w:val="content"/>
        </w:behaviors>
        <w:guid w:val="{42297312-A08E-4685-B339-BB7D942E262E}"/>
      </w:docPartPr>
      <w:docPartBody>
        <w:p w:rsidR="005F13A8" w:rsidRDefault="00543D69" w:rsidP="00543D69">
          <w:pPr>
            <w:pStyle w:val="BFB8D4F39EC9456683FACE37C4AC4ACF"/>
          </w:pPr>
          <w:r>
            <w:rPr>
              <w:rFonts w:asciiTheme="majorHAnsi" w:eastAsiaTheme="majorEastAsia" w:hAnsiTheme="majorHAnsi" w:cstheme="majorBidi"/>
              <w:caps/>
              <w:color w:val="4472C4" w:themeColor="accent1"/>
              <w:sz w:val="80"/>
              <w:szCs w:val="80"/>
            </w:rPr>
            <w:t>[Dokumenttitel]</w:t>
          </w:r>
        </w:p>
      </w:docPartBody>
    </w:docPart>
    <w:docPart>
      <w:docPartPr>
        <w:name w:val="2B0910E29B5C458EA551E69A00C056E0"/>
        <w:category>
          <w:name w:val="Allgemein"/>
          <w:gallery w:val="placeholder"/>
        </w:category>
        <w:types>
          <w:type w:val="bbPlcHdr"/>
        </w:types>
        <w:behaviors>
          <w:behavior w:val="content"/>
        </w:behaviors>
        <w:guid w:val="{A0132915-5F3B-4085-8F17-67344D1F327A}"/>
      </w:docPartPr>
      <w:docPartBody>
        <w:p w:rsidR="005F13A8" w:rsidRDefault="00543D69" w:rsidP="00543D69">
          <w:pPr>
            <w:pStyle w:val="2B0910E29B5C458EA551E69A00C056E0"/>
          </w:pPr>
          <w:r>
            <w:rPr>
              <w:color w:val="4472C4" w:themeColor="accent1"/>
              <w:sz w:val="28"/>
              <w:szCs w:val="28"/>
            </w:rPr>
            <w:t>[Untertitel des Dokuments]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D69"/>
    <w:rsid w:val="0007130A"/>
    <w:rsid w:val="000D49F2"/>
    <w:rsid w:val="00171EA0"/>
    <w:rsid w:val="001F56E0"/>
    <w:rsid w:val="00296072"/>
    <w:rsid w:val="002D4BA6"/>
    <w:rsid w:val="0032383B"/>
    <w:rsid w:val="00365796"/>
    <w:rsid w:val="003A649A"/>
    <w:rsid w:val="003A719F"/>
    <w:rsid w:val="003E233B"/>
    <w:rsid w:val="003F1BA4"/>
    <w:rsid w:val="00490BB3"/>
    <w:rsid w:val="004A760A"/>
    <w:rsid w:val="004E448B"/>
    <w:rsid w:val="004E6162"/>
    <w:rsid w:val="00503F09"/>
    <w:rsid w:val="00543D69"/>
    <w:rsid w:val="005F13A8"/>
    <w:rsid w:val="00625126"/>
    <w:rsid w:val="006D49A4"/>
    <w:rsid w:val="00792FD9"/>
    <w:rsid w:val="007B4555"/>
    <w:rsid w:val="007E6AA1"/>
    <w:rsid w:val="008121BE"/>
    <w:rsid w:val="00875023"/>
    <w:rsid w:val="008755BB"/>
    <w:rsid w:val="00926516"/>
    <w:rsid w:val="00997AD1"/>
    <w:rsid w:val="00A03AE4"/>
    <w:rsid w:val="00B43275"/>
    <w:rsid w:val="00BF6437"/>
    <w:rsid w:val="00CE0665"/>
    <w:rsid w:val="00DE355D"/>
    <w:rsid w:val="00E2758B"/>
    <w:rsid w:val="00F230C2"/>
    <w:rsid w:val="00F85A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FB4F4A872E445BA95B7107388CF0A6C">
    <w:name w:val="1FB4F4A872E445BA95B7107388CF0A6C"/>
    <w:rsid w:val="00543D69"/>
  </w:style>
  <w:style w:type="paragraph" w:customStyle="1" w:styleId="AE3197C8511644F29B3362DC5BBD2442">
    <w:name w:val="AE3197C8511644F29B3362DC5BBD2442"/>
    <w:rsid w:val="00543D69"/>
  </w:style>
  <w:style w:type="paragraph" w:customStyle="1" w:styleId="7D625799A2344750AA12C262F9977183">
    <w:name w:val="7D625799A2344750AA12C262F9977183"/>
    <w:rsid w:val="00543D69"/>
  </w:style>
  <w:style w:type="paragraph" w:customStyle="1" w:styleId="EAEF5796F0BD42F9A1322248CBA77E70">
    <w:name w:val="EAEF5796F0BD42F9A1322248CBA77E70"/>
    <w:rsid w:val="00543D69"/>
  </w:style>
  <w:style w:type="paragraph" w:customStyle="1" w:styleId="572858CFE43945FBA0C57DD01BDE14BF">
    <w:name w:val="572858CFE43945FBA0C57DD01BDE14BF"/>
    <w:rsid w:val="00543D69"/>
  </w:style>
  <w:style w:type="paragraph" w:customStyle="1" w:styleId="BFB8D4F39EC9456683FACE37C4AC4ACF">
    <w:name w:val="BFB8D4F39EC9456683FACE37C4AC4ACF"/>
    <w:rsid w:val="00543D69"/>
  </w:style>
  <w:style w:type="paragraph" w:customStyle="1" w:styleId="2B0910E29B5C458EA551E69A00C056E0">
    <w:name w:val="2B0910E29B5C458EA551E69A00C056E0"/>
    <w:rsid w:val="00543D69"/>
  </w:style>
  <w:style w:type="paragraph" w:customStyle="1" w:styleId="8CA0D1F568A543C1ADB22721A930A190">
    <w:name w:val="8CA0D1F568A543C1ADB22721A930A190"/>
    <w:rsid w:val="00543D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Betreuer: Univ. Prof. Dr. Rony G. Flatscher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7A7ADC-27E6-4F85-A53E-E3F8E9B32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11527</Words>
  <Characters>72625</Characters>
  <Application>Microsoft Office Word</Application>
  <DocSecurity>0</DocSecurity>
  <Lines>605</Lines>
  <Paragraphs>167</Paragraphs>
  <ScaleCrop>false</ScaleCrop>
  <HeadingPairs>
    <vt:vector size="2" baseType="variant">
      <vt:variant>
        <vt:lpstr>Titel</vt:lpstr>
      </vt:variant>
      <vt:variant>
        <vt:i4>1</vt:i4>
      </vt:variant>
    </vt:vector>
  </HeadingPairs>
  <TitlesOfParts>
    <vt:vector size="1" baseType="lpstr">
      <vt:lpstr>Die europäische Datenschutzgrundverordnung</vt:lpstr>
    </vt:vector>
  </TitlesOfParts>
  <Company/>
  <LinksUpToDate>false</LinksUpToDate>
  <CharactersWithSpaces>83985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europäische Datenschutzgrundverordnung</dc:title>
  <dc:subject>Ein wirksamer Schutz der Persönlichkeitsrechte europäischer Bürger?</dc:subject>
  <dc:creator>Benjamin Schuster</dc:creator>
  <cp:keywords/>
  <dc:description/>
  <cp:lastModifiedBy>User</cp:lastModifiedBy>
  <cp:revision>1005</cp:revision>
  <cp:lastPrinted>2020-05-28T10:10:00Z</cp:lastPrinted>
  <dcterms:created xsi:type="dcterms:W3CDTF">2020-03-29T13:39:00Z</dcterms:created>
  <dcterms:modified xsi:type="dcterms:W3CDTF">2020-06-03T13:18:00Z</dcterms:modified>
</cp:coreProperties>
</file>