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27E01" w14:textId="77777777" w:rsidR="00C34F84" w:rsidRDefault="00C34F84" w:rsidP="007252C7">
      <w:pPr>
        <w:pStyle w:val="berschrift3"/>
        <w:numPr>
          <w:ilvl w:val="0"/>
          <w:numId w:val="0"/>
        </w:numPr>
      </w:pPr>
    </w:p>
    <w:p w14:paraId="1328EBF8" w14:textId="77777777" w:rsidR="00F1027B" w:rsidRPr="00C34F84" w:rsidRDefault="00E064C4" w:rsidP="003D2C3B">
      <w:r>
        <w:rPr>
          <w:noProof/>
          <w:lang w:val="de-AT" w:eastAsia="de-AT" w:bidi="ar-SA"/>
        </w:rPr>
        <mc:AlternateContent>
          <mc:Choice Requires="wps">
            <w:drawing>
              <wp:anchor distT="0" distB="0" distL="114300" distR="114300" simplePos="0" relativeHeight="251653120" behindDoc="0" locked="0" layoutInCell="1" allowOverlap="1" wp14:anchorId="0A3CDD18" wp14:editId="5BFA8921">
                <wp:simplePos x="0" y="0"/>
                <wp:positionH relativeFrom="margin">
                  <wp:posOffset>-155575</wp:posOffset>
                </wp:positionH>
                <wp:positionV relativeFrom="margin">
                  <wp:posOffset>790575</wp:posOffset>
                </wp:positionV>
                <wp:extent cx="6216650" cy="1594485"/>
                <wp:effectExtent l="0" t="0" r="12700" b="57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650" cy="1594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0C6A1" w14:textId="77777777" w:rsidR="00BC2425" w:rsidRPr="00E064C4" w:rsidRDefault="00BC2425" w:rsidP="00E064C4">
                            <w:pPr>
                              <w:pStyle w:val="Titel"/>
                              <w:rPr>
                                <w:b/>
                                <w:sz w:val="52"/>
                                <w:szCs w:val="52"/>
                              </w:rPr>
                            </w:pPr>
                            <w:r>
                              <w:rPr>
                                <w:b/>
                                <w:sz w:val="52"/>
                                <w:szCs w:val="52"/>
                              </w:rPr>
                              <w:t>Seminararbeit</w:t>
                            </w:r>
                          </w:p>
                          <w:p w14:paraId="59610373" w14:textId="77777777" w:rsidR="00BC2425" w:rsidRPr="00E064C4" w:rsidRDefault="00BC2425" w:rsidP="00E064C4">
                            <w:pPr>
                              <w:pStyle w:val="Titel"/>
                              <w:rPr>
                                <w:sz w:val="36"/>
                                <w:szCs w:val="36"/>
                              </w:rPr>
                            </w:pPr>
                            <w:r>
                              <w:rPr>
                                <w:sz w:val="36"/>
                                <w:szCs w:val="36"/>
                              </w:rPr>
                              <w:t>aus Kurs V: Seminar aus BIS</w:t>
                            </w:r>
                          </w:p>
                          <w:p w14:paraId="79CE4171" w14:textId="77777777" w:rsidR="00BC2425" w:rsidRPr="00D156F0" w:rsidRDefault="00BC2425" w:rsidP="00E064C4">
                            <w:pPr>
                              <w:pStyle w:val="Tite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CDD18" id="_x0000_t202" coordsize="21600,21600" o:spt="202" path="m,l,21600r21600,l21600,xe">
                <v:stroke joinstyle="miter"/>
                <v:path gradientshapeok="t" o:connecttype="rect"/>
              </v:shapetype>
              <v:shape id="Text Box 2" o:spid="_x0000_s1026" type="#_x0000_t202" style="position:absolute;left:0;text-align:left;margin-left:-12.25pt;margin-top:62.25pt;width:489.5pt;height:125.5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" filled="f" stroked="f">
                <v:textbox inset="0,0,0,0">
                  <w:txbxContent>
                    <w:p w14:paraId="79D0C6A1" w14:textId="77777777" w:rsidR="00BC2425" w:rsidRPr="00E064C4" w:rsidRDefault="00BC2425" w:rsidP="00E064C4">
                      <w:pPr>
                        <w:pStyle w:val="Titel"/>
                        <w:rPr>
                          <w:b/>
                          <w:sz w:val="52"/>
                          <w:szCs w:val="52"/>
                        </w:rPr>
                      </w:pPr>
                      <w:r>
                        <w:rPr>
                          <w:b/>
                          <w:sz w:val="52"/>
                          <w:szCs w:val="52"/>
                        </w:rPr>
                        <w:t>Seminararbeit</w:t>
                      </w:r>
                    </w:p>
                    <w:p w14:paraId="59610373" w14:textId="77777777" w:rsidR="00BC2425" w:rsidRPr="00E064C4" w:rsidRDefault="00BC2425" w:rsidP="00E064C4">
                      <w:pPr>
                        <w:pStyle w:val="Titel"/>
                        <w:rPr>
                          <w:sz w:val="36"/>
                          <w:szCs w:val="36"/>
                        </w:rPr>
                      </w:pPr>
                      <w:r>
                        <w:rPr>
                          <w:sz w:val="36"/>
                          <w:szCs w:val="36"/>
                        </w:rPr>
                        <w:t>aus Kurs V: Seminar aus BIS</w:t>
                      </w:r>
                    </w:p>
                    <w:p w14:paraId="79CE4171" w14:textId="77777777" w:rsidR="00BC2425" w:rsidRPr="00D156F0" w:rsidRDefault="00BC2425" w:rsidP="00E064C4">
                      <w:pPr>
                        <w:pStyle w:val="Titel"/>
                      </w:pPr>
                    </w:p>
                  </w:txbxContent>
                </v:textbox>
                <w10:wrap type="square" anchorx="margin" anchory="margin"/>
              </v:shape>
            </w:pict>
          </mc:Fallback>
        </mc:AlternateContent>
      </w:r>
    </w:p>
    <w:p w14:paraId="23F14976" w14:textId="77777777" w:rsidR="00E064C4" w:rsidRPr="00E5578A" w:rsidRDefault="00E064C4" w:rsidP="00E5578A">
      <w:pPr>
        <w:rPr>
          <w:color w:val="000000" w:themeColor="text1"/>
        </w:rPr>
      </w:pPr>
    </w:p>
    <w:p w14:paraId="7A9BE877" w14:textId="77777777" w:rsidR="00F1027B" w:rsidRDefault="00F1027B" w:rsidP="00D156F0">
      <w:pPr>
        <w:jc w:val="center"/>
      </w:pPr>
    </w:p>
    <w:p w14:paraId="4A320AB3" w14:textId="77777777" w:rsidR="00AF02D6" w:rsidRPr="003518AE" w:rsidRDefault="00AF02D6" w:rsidP="00D156F0">
      <w:pPr>
        <w:jc w:val="center"/>
      </w:pPr>
    </w:p>
    <w:p w14:paraId="7CD15D66" w14:textId="77777777" w:rsidR="00AC2822" w:rsidRDefault="00690E7E" w:rsidP="00BF6948">
      <w:pPr>
        <w:pStyle w:val="Titel"/>
      </w:pPr>
      <w:r>
        <w:t>Die europäische Datenschutzgrundverordnung:</w:t>
      </w:r>
    </w:p>
    <w:p w14:paraId="06F9133C" w14:textId="77777777" w:rsidR="00690E7E" w:rsidRPr="00690E7E" w:rsidRDefault="00690E7E" w:rsidP="00690E7E">
      <w:pPr>
        <w:jc w:val="center"/>
        <w:rPr>
          <w:sz w:val="24"/>
          <w:lang w:val="de-AT"/>
        </w:rPr>
      </w:pPr>
      <w:r>
        <w:rPr>
          <w:sz w:val="24"/>
          <w:lang w:val="de-AT"/>
        </w:rPr>
        <w:t>E</w:t>
      </w:r>
      <w:r w:rsidRPr="00690E7E">
        <w:rPr>
          <w:sz w:val="24"/>
          <w:lang w:val="de-AT"/>
        </w:rPr>
        <w:t>in wirksamer Schutz der Persönlichkeitsrechte europäischer Bürger?</w:t>
      </w:r>
    </w:p>
    <w:p w14:paraId="1C639DF8" w14:textId="77777777" w:rsidR="00690E7E" w:rsidRPr="00690E7E" w:rsidRDefault="00690E7E" w:rsidP="00690E7E">
      <w:pPr>
        <w:jc w:val="center"/>
        <w:rPr>
          <w:lang w:val="de-AT"/>
        </w:rPr>
      </w:pPr>
    </w:p>
    <w:p w14:paraId="34AFFD46" w14:textId="77777777" w:rsidR="00F1027B" w:rsidRPr="003518AE" w:rsidRDefault="00F1027B" w:rsidP="00690E7E">
      <w:pPr>
        <w:jc w:val="center"/>
      </w:pPr>
    </w:p>
    <w:p w14:paraId="5E943986" w14:textId="77777777" w:rsidR="00AC2822" w:rsidRPr="003518AE" w:rsidRDefault="00AC2822" w:rsidP="00D156F0">
      <w:pPr>
        <w:jc w:val="center"/>
      </w:pPr>
    </w:p>
    <w:p w14:paraId="2D8BB506" w14:textId="55347134" w:rsidR="00A5135A" w:rsidRDefault="00690E7E" w:rsidP="00A5135A">
      <w:pPr>
        <w:pStyle w:val="Autor"/>
      </w:pPr>
      <w:bookmarkStart w:id="0" w:name="Autor"/>
      <w:r>
        <w:t>Sebastian Berloffa</w:t>
      </w:r>
      <w:bookmarkEnd w:id="0"/>
      <w:r w:rsidR="00A5135A">
        <w:br/>
        <w:t>01550899</w:t>
      </w:r>
    </w:p>
    <w:p w14:paraId="0D5332C7" w14:textId="77777777" w:rsidR="00E5578A" w:rsidRDefault="00E5578A" w:rsidP="00D156F0">
      <w:pPr>
        <w:jc w:val="center"/>
      </w:pPr>
    </w:p>
    <w:p w14:paraId="4BCFB2B1" w14:textId="77777777" w:rsidR="00E5578A" w:rsidRDefault="00E5578A" w:rsidP="00D156F0">
      <w:pPr>
        <w:jc w:val="center"/>
      </w:pPr>
    </w:p>
    <w:p w14:paraId="7A070531" w14:textId="77777777" w:rsidR="003D2C3B" w:rsidRDefault="003D2C3B" w:rsidP="00D156F0">
      <w:pPr>
        <w:jc w:val="center"/>
      </w:pPr>
    </w:p>
    <w:p w14:paraId="7A5F2148" w14:textId="77777777" w:rsidR="003D2C3B" w:rsidRPr="003518AE" w:rsidRDefault="003D2C3B" w:rsidP="00D156F0">
      <w:pPr>
        <w:jc w:val="center"/>
      </w:pPr>
    </w:p>
    <w:p w14:paraId="2E8CCA5B" w14:textId="57924066" w:rsidR="00AC2822" w:rsidRPr="003518AE" w:rsidRDefault="00F1027B" w:rsidP="006235A7">
      <w:pPr>
        <w:jc w:val="center"/>
      </w:pPr>
      <w:r w:rsidRPr="003518AE">
        <w:t>Wien</w:t>
      </w:r>
      <w:r w:rsidR="00AC2822" w:rsidRPr="003518AE">
        <w:t xml:space="preserve">, </w:t>
      </w:r>
      <w:r w:rsidR="00D23EEF">
        <w:t>19</w:t>
      </w:r>
      <w:bookmarkStart w:id="1" w:name="_GoBack"/>
      <w:bookmarkEnd w:id="1"/>
      <w:r w:rsidR="00E5578A">
        <w:t xml:space="preserve">. </w:t>
      </w:r>
      <w:r w:rsidR="003E3795">
        <w:t>Juni</w:t>
      </w:r>
      <w:r w:rsidR="007D66BA">
        <w:t xml:space="preserve"> 201</w:t>
      </w:r>
      <w:r w:rsidR="003E3795">
        <w:t>9</w:t>
      </w:r>
    </w:p>
    <w:p w14:paraId="6A3BE0FE" w14:textId="77777777" w:rsidR="00AC2822" w:rsidRPr="003518AE" w:rsidRDefault="00AC2822" w:rsidP="00D156F0">
      <w:pPr>
        <w:sectPr w:rsidR="00AC2822" w:rsidRPr="003518AE" w:rsidSect="00410951">
          <w:pgSz w:w="11906" w:h="16838"/>
          <w:pgMar w:top="1417" w:right="1417" w:bottom="1134" w:left="1417" w:header="708" w:footer="708" w:gutter="0"/>
          <w:cols w:space="708"/>
          <w:docGrid w:linePitch="360"/>
        </w:sectPr>
      </w:pPr>
    </w:p>
    <w:p w14:paraId="16336B9C" w14:textId="77777777" w:rsidR="00F1027B" w:rsidRPr="003518AE" w:rsidRDefault="00BF6948" w:rsidP="002D7A47">
      <w:pPr>
        <w:pStyle w:val="berschrift1"/>
        <w:numPr>
          <w:ilvl w:val="0"/>
          <w:numId w:val="0"/>
        </w:numPr>
      </w:pPr>
      <w:bookmarkStart w:id="2" w:name="_Toc11865299"/>
      <w:r w:rsidRPr="003518AE">
        <w:lastRenderedPageBreak/>
        <w:t>Inhaltsverzeichnis</w:t>
      </w:r>
      <w:bookmarkEnd w:id="2"/>
    </w:p>
    <w:p w14:paraId="77B2954D" w14:textId="77777777" w:rsidR="005F70EA" w:rsidRDefault="00163DA0">
      <w:pPr>
        <w:pStyle w:val="Verzeichnis1"/>
        <w:tabs>
          <w:tab w:val="right" w:leader="dot" w:pos="9060"/>
        </w:tabs>
        <w:rPr>
          <w:rFonts w:asciiTheme="minorHAnsi" w:eastAsiaTheme="minorEastAsia" w:hAnsiTheme="minorHAnsi" w:cstheme="minorBidi"/>
          <w:noProof/>
          <w:sz w:val="22"/>
          <w:szCs w:val="22"/>
          <w:lang w:val="de-AT" w:eastAsia="de-AT" w:bidi="ar-SA"/>
        </w:rPr>
      </w:pPr>
      <w:r w:rsidRPr="009D3C51">
        <w:fldChar w:fldCharType="begin"/>
      </w:r>
      <w:r w:rsidR="002D7A47" w:rsidRPr="009D3C51">
        <w:instrText xml:space="preserve"> TOC \o "1-3" \u </w:instrText>
      </w:r>
      <w:r w:rsidRPr="009D3C51">
        <w:fldChar w:fldCharType="separate"/>
      </w:r>
      <w:r w:rsidR="005F70EA">
        <w:rPr>
          <w:noProof/>
        </w:rPr>
        <w:t>Inhaltsverzeichnis</w:t>
      </w:r>
      <w:r w:rsidR="005F70EA">
        <w:rPr>
          <w:noProof/>
        </w:rPr>
        <w:tab/>
      </w:r>
      <w:r w:rsidR="005F70EA">
        <w:rPr>
          <w:noProof/>
        </w:rPr>
        <w:fldChar w:fldCharType="begin"/>
      </w:r>
      <w:r w:rsidR="005F70EA">
        <w:rPr>
          <w:noProof/>
        </w:rPr>
        <w:instrText xml:space="preserve"> PAGEREF _Toc11865299 \h </w:instrText>
      </w:r>
      <w:r w:rsidR="005F70EA">
        <w:rPr>
          <w:noProof/>
        </w:rPr>
      </w:r>
      <w:r w:rsidR="005F70EA">
        <w:rPr>
          <w:noProof/>
        </w:rPr>
        <w:fldChar w:fldCharType="separate"/>
      </w:r>
      <w:r w:rsidR="00A5135A">
        <w:rPr>
          <w:noProof/>
        </w:rPr>
        <w:t>I</w:t>
      </w:r>
      <w:r w:rsidR="005F70EA">
        <w:rPr>
          <w:noProof/>
        </w:rPr>
        <w:fldChar w:fldCharType="end"/>
      </w:r>
    </w:p>
    <w:p w14:paraId="19169B71" w14:textId="77777777" w:rsidR="005F70EA" w:rsidRDefault="005F70EA">
      <w:pPr>
        <w:pStyle w:val="Verzeichnis1"/>
        <w:tabs>
          <w:tab w:val="right" w:leader="dot" w:pos="9060"/>
        </w:tabs>
        <w:rPr>
          <w:rFonts w:asciiTheme="minorHAnsi" w:eastAsiaTheme="minorEastAsia" w:hAnsiTheme="minorHAnsi" w:cstheme="minorBidi"/>
          <w:noProof/>
          <w:sz w:val="22"/>
          <w:szCs w:val="22"/>
          <w:lang w:val="de-AT" w:eastAsia="de-AT" w:bidi="ar-SA"/>
        </w:rPr>
      </w:pPr>
      <w:r>
        <w:rPr>
          <w:noProof/>
        </w:rPr>
        <w:t>Abbildungsverzeichnis</w:t>
      </w:r>
      <w:r>
        <w:rPr>
          <w:noProof/>
        </w:rPr>
        <w:tab/>
      </w:r>
      <w:r>
        <w:rPr>
          <w:noProof/>
        </w:rPr>
        <w:fldChar w:fldCharType="begin"/>
      </w:r>
      <w:r>
        <w:rPr>
          <w:noProof/>
        </w:rPr>
        <w:instrText xml:space="preserve"> PAGEREF _Toc11865300 \h </w:instrText>
      </w:r>
      <w:r>
        <w:rPr>
          <w:noProof/>
        </w:rPr>
      </w:r>
      <w:r>
        <w:rPr>
          <w:noProof/>
        </w:rPr>
        <w:fldChar w:fldCharType="separate"/>
      </w:r>
      <w:r w:rsidR="00A5135A">
        <w:rPr>
          <w:noProof/>
        </w:rPr>
        <w:t>III</w:t>
      </w:r>
      <w:r>
        <w:rPr>
          <w:noProof/>
        </w:rPr>
        <w:fldChar w:fldCharType="end"/>
      </w:r>
    </w:p>
    <w:p w14:paraId="13560A42" w14:textId="77777777" w:rsidR="005F70EA" w:rsidRDefault="005F70EA">
      <w:pPr>
        <w:pStyle w:val="Verzeichnis1"/>
        <w:tabs>
          <w:tab w:val="right" w:leader="dot" w:pos="9060"/>
        </w:tabs>
        <w:rPr>
          <w:rFonts w:asciiTheme="minorHAnsi" w:eastAsiaTheme="minorEastAsia" w:hAnsiTheme="minorHAnsi" w:cstheme="minorBidi"/>
          <w:noProof/>
          <w:sz w:val="22"/>
          <w:szCs w:val="22"/>
          <w:lang w:val="de-AT" w:eastAsia="de-AT" w:bidi="ar-SA"/>
        </w:rPr>
      </w:pPr>
      <w:r>
        <w:rPr>
          <w:noProof/>
        </w:rPr>
        <w:t>Abkürzungsverzeichnis</w:t>
      </w:r>
      <w:r>
        <w:rPr>
          <w:noProof/>
        </w:rPr>
        <w:tab/>
      </w:r>
      <w:r>
        <w:rPr>
          <w:noProof/>
        </w:rPr>
        <w:fldChar w:fldCharType="begin"/>
      </w:r>
      <w:r>
        <w:rPr>
          <w:noProof/>
        </w:rPr>
        <w:instrText xml:space="preserve"> PAGEREF _Toc11865301 \h </w:instrText>
      </w:r>
      <w:r>
        <w:rPr>
          <w:noProof/>
        </w:rPr>
      </w:r>
      <w:r>
        <w:rPr>
          <w:noProof/>
        </w:rPr>
        <w:fldChar w:fldCharType="separate"/>
      </w:r>
      <w:r w:rsidR="00A5135A">
        <w:rPr>
          <w:noProof/>
        </w:rPr>
        <w:t>III</w:t>
      </w:r>
      <w:r>
        <w:rPr>
          <w:noProof/>
        </w:rPr>
        <w:fldChar w:fldCharType="end"/>
      </w:r>
    </w:p>
    <w:p w14:paraId="66D42F09" w14:textId="77777777" w:rsidR="005F70EA" w:rsidRDefault="005F70EA">
      <w:pPr>
        <w:pStyle w:val="Verzeichnis1"/>
        <w:tabs>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Einleitung</w:t>
      </w:r>
      <w:r>
        <w:rPr>
          <w:noProof/>
        </w:rPr>
        <w:tab/>
      </w:r>
      <w:r>
        <w:rPr>
          <w:noProof/>
        </w:rPr>
        <w:fldChar w:fldCharType="begin"/>
      </w:r>
      <w:r>
        <w:rPr>
          <w:noProof/>
        </w:rPr>
        <w:instrText xml:space="preserve"> PAGEREF _Toc11865302 \h </w:instrText>
      </w:r>
      <w:r>
        <w:rPr>
          <w:noProof/>
        </w:rPr>
      </w:r>
      <w:r>
        <w:rPr>
          <w:noProof/>
        </w:rPr>
        <w:fldChar w:fldCharType="separate"/>
      </w:r>
      <w:r w:rsidR="00A5135A">
        <w:rPr>
          <w:noProof/>
        </w:rPr>
        <w:t>1</w:t>
      </w:r>
      <w:r>
        <w:rPr>
          <w:noProof/>
        </w:rPr>
        <w:fldChar w:fldCharType="end"/>
      </w:r>
    </w:p>
    <w:p w14:paraId="751D5AC9" w14:textId="77777777" w:rsidR="005F70EA" w:rsidRDefault="005F70EA">
      <w:pPr>
        <w:pStyle w:val="Verzeichnis1"/>
        <w:tabs>
          <w:tab w:val="left" w:pos="420"/>
          <w:tab w:val="right" w:leader="dot" w:pos="9060"/>
        </w:tabs>
        <w:rPr>
          <w:rFonts w:asciiTheme="minorHAnsi" w:eastAsiaTheme="minorEastAsia" w:hAnsiTheme="minorHAnsi" w:cstheme="minorBidi"/>
          <w:noProof/>
          <w:sz w:val="22"/>
          <w:szCs w:val="22"/>
          <w:lang w:val="de-AT" w:eastAsia="de-AT" w:bidi="ar-SA"/>
        </w:rPr>
      </w:pPr>
      <w:r>
        <w:rPr>
          <w:noProof/>
        </w:rPr>
        <w:t>1</w:t>
      </w:r>
      <w:r>
        <w:rPr>
          <w:rFonts w:asciiTheme="minorHAnsi" w:eastAsiaTheme="minorEastAsia" w:hAnsiTheme="minorHAnsi" w:cstheme="minorBidi"/>
          <w:noProof/>
          <w:sz w:val="22"/>
          <w:szCs w:val="22"/>
          <w:lang w:val="de-AT" w:eastAsia="de-AT" w:bidi="ar-SA"/>
        </w:rPr>
        <w:tab/>
      </w:r>
      <w:r>
        <w:rPr>
          <w:noProof/>
        </w:rPr>
        <w:t>Grundlagen und Begriffserklärungen</w:t>
      </w:r>
      <w:r>
        <w:rPr>
          <w:noProof/>
        </w:rPr>
        <w:tab/>
      </w:r>
      <w:r>
        <w:rPr>
          <w:noProof/>
        </w:rPr>
        <w:fldChar w:fldCharType="begin"/>
      </w:r>
      <w:r>
        <w:rPr>
          <w:noProof/>
        </w:rPr>
        <w:instrText xml:space="preserve"> PAGEREF _Toc11865303 \h </w:instrText>
      </w:r>
      <w:r>
        <w:rPr>
          <w:noProof/>
        </w:rPr>
      </w:r>
      <w:r>
        <w:rPr>
          <w:noProof/>
        </w:rPr>
        <w:fldChar w:fldCharType="separate"/>
      </w:r>
      <w:r w:rsidR="00A5135A">
        <w:rPr>
          <w:noProof/>
        </w:rPr>
        <w:t>2</w:t>
      </w:r>
      <w:r>
        <w:rPr>
          <w:noProof/>
        </w:rPr>
        <w:fldChar w:fldCharType="end"/>
      </w:r>
    </w:p>
    <w:p w14:paraId="0230CE27"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1.1</w:t>
      </w:r>
      <w:r>
        <w:rPr>
          <w:rFonts w:asciiTheme="minorHAnsi" w:eastAsiaTheme="minorEastAsia" w:hAnsiTheme="minorHAnsi" w:cstheme="minorBidi"/>
          <w:noProof/>
          <w:sz w:val="22"/>
          <w:szCs w:val="22"/>
          <w:lang w:val="de-AT" w:eastAsia="de-AT" w:bidi="ar-SA"/>
        </w:rPr>
        <w:tab/>
      </w:r>
      <w:r w:rsidRPr="009D4D3F">
        <w:rPr>
          <w:noProof/>
          <w:lang w:val="de-AT"/>
        </w:rPr>
        <w:t>Notwendigkeit einheitlicher Datenschutzbestimmungen</w:t>
      </w:r>
      <w:r>
        <w:rPr>
          <w:noProof/>
        </w:rPr>
        <w:tab/>
      </w:r>
      <w:r>
        <w:rPr>
          <w:noProof/>
        </w:rPr>
        <w:fldChar w:fldCharType="begin"/>
      </w:r>
      <w:r>
        <w:rPr>
          <w:noProof/>
        </w:rPr>
        <w:instrText xml:space="preserve"> PAGEREF _Toc11865304 \h </w:instrText>
      </w:r>
      <w:r>
        <w:rPr>
          <w:noProof/>
        </w:rPr>
      </w:r>
      <w:r>
        <w:rPr>
          <w:noProof/>
        </w:rPr>
        <w:fldChar w:fldCharType="separate"/>
      </w:r>
      <w:r w:rsidR="00A5135A">
        <w:rPr>
          <w:noProof/>
        </w:rPr>
        <w:t>2</w:t>
      </w:r>
      <w:r>
        <w:rPr>
          <w:noProof/>
        </w:rPr>
        <w:fldChar w:fldCharType="end"/>
      </w:r>
    </w:p>
    <w:p w14:paraId="25616ED5"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1.2</w:t>
      </w:r>
      <w:r>
        <w:rPr>
          <w:rFonts w:asciiTheme="minorHAnsi" w:eastAsiaTheme="minorEastAsia" w:hAnsiTheme="minorHAnsi" w:cstheme="minorBidi"/>
          <w:noProof/>
          <w:sz w:val="22"/>
          <w:szCs w:val="22"/>
          <w:lang w:val="de-AT" w:eastAsia="de-AT" w:bidi="ar-SA"/>
        </w:rPr>
        <w:tab/>
      </w:r>
      <w:r w:rsidRPr="009D4D3F">
        <w:rPr>
          <w:noProof/>
          <w:lang w:val="de-AT"/>
        </w:rPr>
        <w:t>Grundlagen der Datenschutzgrundverordnung (DSGVO)</w:t>
      </w:r>
      <w:r>
        <w:rPr>
          <w:noProof/>
        </w:rPr>
        <w:tab/>
      </w:r>
      <w:r>
        <w:rPr>
          <w:noProof/>
        </w:rPr>
        <w:fldChar w:fldCharType="begin"/>
      </w:r>
      <w:r>
        <w:rPr>
          <w:noProof/>
        </w:rPr>
        <w:instrText xml:space="preserve"> PAGEREF _Toc11865305 \h </w:instrText>
      </w:r>
      <w:r>
        <w:rPr>
          <w:noProof/>
        </w:rPr>
      </w:r>
      <w:r>
        <w:rPr>
          <w:noProof/>
        </w:rPr>
        <w:fldChar w:fldCharType="separate"/>
      </w:r>
      <w:r w:rsidR="00A5135A">
        <w:rPr>
          <w:noProof/>
        </w:rPr>
        <w:t>3</w:t>
      </w:r>
      <w:r>
        <w:rPr>
          <w:noProof/>
        </w:rPr>
        <w:fldChar w:fldCharType="end"/>
      </w:r>
    </w:p>
    <w:p w14:paraId="25E5B1DB" w14:textId="77777777" w:rsidR="005F70EA" w:rsidRDefault="005F70EA">
      <w:pPr>
        <w:pStyle w:val="Verzeichnis3"/>
        <w:tabs>
          <w:tab w:val="left" w:pos="132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1.2.1</w:t>
      </w:r>
      <w:r>
        <w:rPr>
          <w:rFonts w:asciiTheme="minorHAnsi" w:eastAsiaTheme="minorEastAsia" w:hAnsiTheme="minorHAnsi" w:cstheme="minorBidi"/>
          <w:noProof/>
          <w:sz w:val="22"/>
          <w:szCs w:val="22"/>
          <w:lang w:val="de-AT" w:eastAsia="de-AT" w:bidi="ar-SA"/>
        </w:rPr>
        <w:tab/>
      </w:r>
      <w:r w:rsidRPr="009D4D3F">
        <w:rPr>
          <w:noProof/>
          <w:lang w:val="de-AT"/>
        </w:rPr>
        <w:t>Geltungsbereich, Anwendung und Umsetzung</w:t>
      </w:r>
      <w:r>
        <w:rPr>
          <w:noProof/>
        </w:rPr>
        <w:tab/>
      </w:r>
      <w:r>
        <w:rPr>
          <w:noProof/>
        </w:rPr>
        <w:fldChar w:fldCharType="begin"/>
      </w:r>
      <w:r>
        <w:rPr>
          <w:noProof/>
        </w:rPr>
        <w:instrText xml:space="preserve"> PAGEREF _Toc11865306 \h </w:instrText>
      </w:r>
      <w:r>
        <w:rPr>
          <w:noProof/>
        </w:rPr>
      </w:r>
      <w:r>
        <w:rPr>
          <w:noProof/>
        </w:rPr>
        <w:fldChar w:fldCharType="separate"/>
      </w:r>
      <w:r w:rsidR="00A5135A">
        <w:rPr>
          <w:noProof/>
        </w:rPr>
        <w:t>3</w:t>
      </w:r>
      <w:r>
        <w:rPr>
          <w:noProof/>
        </w:rPr>
        <w:fldChar w:fldCharType="end"/>
      </w:r>
    </w:p>
    <w:p w14:paraId="77E4EC2E" w14:textId="77777777" w:rsidR="005F70EA" w:rsidRDefault="005F70EA">
      <w:pPr>
        <w:pStyle w:val="Verzeichnis3"/>
        <w:tabs>
          <w:tab w:val="left" w:pos="132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1.2.2</w:t>
      </w:r>
      <w:r>
        <w:rPr>
          <w:rFonts w:asciiTheme="minorHAnsi" w:eastAsiaTheme="minorEastAsia" w:hAnsiTheme="minorHAnsi" w:cstheme="minorBidi"/>
          <w:noProof/>
          <w:sz w:val="22"/>
          <w:szCs w:val="22"/>
          <w:lang w:val="de-AT" w:eastAsia="de-AT" w:bidi="ar-SA"/>
        </w:rPr>
        <w:tab/>
      </w:r>
      <w:r w:rsidRPr="009D4D3F">
        <w:rPr>
          <w:noProof/>
          <w:lang w:val="de-AT"/>
        </w:rPr>
        <w:t>Begriffserklärungen</w:t>
      </w:r>
      <w:r>
        <w:rPr>
          <w:noProof/>
        </w:rPr>
        <w:tab/>
      </w:r>
      <w:r>
        <w:rPr>
          <w:noProof/>
        </w:rPr>
        <w:fldChar w:fldCharType="begin"/>
      </w:r>
      <w:r>
        <w:rPr>
          <w:noProof/>
        </w:rPr>
        <w:instrText xml:space="preserve"> PAGEREF _Toc11865307 \h </w:instrText>
      </w:r>
      <w:r>
        <w:rPr>
          <w:noProof/>
        </w:rPr>
      </w:r>
      <w:r>
        <w:rPr>
          <w:noProof/>
        </w:rPr>
        <w:fldChar w:fldCharType="separate"/>
      </w:r>
      <w:r w:rsidR="00A5135A">
        <w:rPr>
          <w:noProof/>
        </w:rPr>
        <w:t>4</w:t>
      </w:r>
      <w:r>
        <w:rPr>
          <w:noProof/>
        </w:rPr>
        <w:fldChar w:fldCharType="end"/>
      </w:r>
    </w:p>
    <w:p w14:paraId="2445A7CF" w14:textId="77777777" w:rsidR="005F70EA" w:rsidRDefault="005F70EA">
      <w:pPr>
        <w:pStyle w:val="Verzeichnis3"/>
        <w:tabs>
          <w:tab w:val="left" w:pos="132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1.2.3</w:t>
      </w:r>
      <w:r>
        <w:rPr>
          <w:rFonts w:asciiTheme="minorHAnsi" w:eastAsiaTheme="minorEastAsia" w:hAnsiTheme="minorHAnsi" w:cstheme="minorBidi"/>
          <w:noProof/>
          <w:sz w:val="22"/>
          <w:szCs w:val="22"/>
          <w:lang w:val="de-AT" w:eastAsia="de-AT" w:bidi="ar-SA"/>
        </w:rPr>
        <w:tab/>
      </w:r>
      <w:r w:rsidRPr="009D4D3F">
        <w:rPr>
          <w:noProof/>
          <w:lang w:val="de-AT"/>
        </w:rPr>
        <w:t>Die Säulen des Datenschutzes</w:t>
      </w:r>
      <w:r>
        <w:rPr>
          <w:noProof/>
        </w:rPr>
        <w:tab/>
      </w:r>
      <w:r>
        <w:rPr>
          <w:noProof/>
        </w:rPr>
        <w:fldChar w:fldCharType="begin"/>
      </w:r>
      <w:r>
        <w:rPr>
          <w:noProof/>
        </w:rPr>
        <w:instrText xml:space="preserve"> PAGEREF _Toc11865308 \h </w:instrText>
      </w:r>
      <w:r>
        <w:rPr>
          <w:noProof/>
        </w:rPr>
      </w:r>
      <w:r>
        <w:rPr>
          <w:noProof/>
        </w:rPr>
        <w:fldChar w:fldCharType="separate"/>
      </w:r>
      <w:r w:rsidR="00A5135A">
        <w:rPr>
          <w:noProof/>
        </w:rPr>
        <w:t>8</w:t>
      </w:r>
      <w:r>
        <w:rPr>
          <w:noProof/>
        </w:rPr>
        <w:fldChar w:fldCharType="end"/>
      </w:r>
    </w:p>
    <w:p w14:paraId="1F4376DC" w14:textId="77777777" w:rsidR="005F70EA" w:rsidRDefault="005F70EA">
      <w:pPr>
        <w:pStyle w:val="Verzeichnis3"/>
        <w:tabs>
          <w:tab w:val="left" w:pos="132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1.2.4</w:t>
      </w:r>
      <w:r>
        <w:rPr>
          <w:rFonts w:asciiTheme="minorHAnsi" w:eastAsiaTheme="minorEastAsia" w:hAnsiTheme="minorHAnsi" w:cstheme="minorBidi"/>
          <w:noProof/>
          <w:sz w:val="22"/>
          <w:szCs w:val="22"/>
          <w:lang w:val="de-AT" w:eastAsia="de-AT" w:bidi="ar-SA"/>
        </w:rPr>
        <w:tab/>
      </w:r>
      <w:r w:rsidRPr="009D4D3F">
        <w:rPr>
          <w:noProof/>
          <w:lang w:val="de-AT"/>
        </w:rPr>
        <w:t>Sanktionen und Geldbußen</w:t>
      </w:r>
      <w:r>
        <w:rPr>
          <w:noProof/>
        </w:rPr>
        <w:tab/>
      </w:r>
      <w:r>
        <w:rPr>
          <w:noProof/>
        </w:rPr>
        <w:fldChar w:fldCharType="begin"/>
      </w:r>
      <w:r>
        <w:rPr>
          <w:noProof/>
        </w:rPr>
        <w:instrText xml:space="preserve"> PAGEREF _Toc11865309 \h </w:instrText>
      </w:r>
      <w:r>
        <w:rPr>
          <w:noProof/>
        </w:rPr>
      </w:r>
      <w:r>
        <w:rPr>
          <w:noProof/>
        </w:rPr>
        <w:fldChar w:fldCharType="separate"/>
      </w:r>
      <w:r w:rsidR="00A5135A">
        <w:rPr>
          <w:noProof/>
        </w:rPr>
        <w:t>11</w:t>
      </w:r>
      <w:r>
        <w:rPr>
          <w:noProof/>
        </w:rPr>
        <w:fldChar w:fldCharType="end"/>
      </w:r>
    </w:p>
    <w:p w14:paraId="7A339469" w14:textId="77777777" w:rsidR="005F70EA" w:rsidRDefault="005F70EA">
      <w:pPr>
        <w:pStyle w:val="Verzeichnis3"/>
        <w:tabs>
          <w:tab w:val="left" w:pos="132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1.2.5</w:t>
      </w:r>
      <w:r>
        <w:rPr>
          <w:rFonts w:asciiTheme="minorHAnsi" w:eastAsiaTheme="minorEastAsia" w:hAnsiTheme="minorHAnsi" w:cstheme="minorBidi"/>
          <w:noProof/>
          <w:sz w:val="22"/>
          <w:szCs w:val="22"/>
          <w:lang w:val="de-AT" w:eastAsia="de-AT" w:bidi="ar-SA"/>
        </w:rPr>
        <w:tab/>
      </w:r>
      <w:r w:rsidRPr="009D4D3F">
        <w:rPr>
          <w:noProof/>
          <w:lang w:val="de-AT"/>
        </w:rPr>
        <w:t>Recht auf Vergessenwerden</w:t>
      </w:r>
      <w:r>
        <w:rPr>
          <w:noProof/>
        </w:rPr>
        <w:tab/>
      </w:r>
      <w:r>
        <w:rPr>
          <w:noProof/>
        </w:rPr>
        <w:fldChar w:fldCharType="begin"/>
      </w:r>
      <w:r>
        <w:rPr>
          <w:noProof/>
        </w:rPr>
        <w:instrText xml:space="preserve"> PAGEREF _Toc11865310 \h </w:instrText>
      </w:r>
      <w:r>
        <w:rPr>
          <w:noProof/>
        </w:rPr>
      </w:r>
      <w:r>
        <w:rPr>
          <w:noProof/>
        </w:rPr>
        <w:fldChar w:fldCharType="separate"/>
      </w:r>
      <w:r w:rsidR="00A5135A">
        <w:rPr>
          <w:noProof/>
        </w:rPr>
        <w:t>12</w:t>
      </w:r>
      <w:r>
        <w:rPr>
          <w:noProof/>
        </w:rPr>
        <w:fldChar w:fldCharType="end"/>
      </w:r>
    </w:p>
    <w:p w14:paraId="27D16CB8" w14:textId="77777777" w:rsidR="005F70EA" w:rsidRDefault="005F70EA">
      <w:pPr>
        <w:pStyle w:val="Verzeichnis1"/>
        <w:tabs>
          <w:tab w:val="left" w:pos="420"/>
          <w:tab w:val="right" w:leader="dot" w:pos="9060"/>
        </w:tabs>
        <w:rPr>
          <w:rFonts w:asciiTheme="minorHAnsi" w:eastAsiaTheme="minorEastAsia" w:hAnsiTheme="minorHAnsi" w:cstheme="minorBidi"/>
          <w:noProof/>
          <w:sz w:val="22"/>
          <w:szCs w:val="22"/>
          <w:lang w:val="de-AT" w:eastAsia="de-AT" w:bidi="ar-SA"/>
        </w:rPr>
      </w:pPr>
      <w:r>
        <w:rPr>
          <w:noProof/>
        </w:rPr>
        <w:t>2</w:t>
      </w:r>
      <w:r>
        <w:rPr>
          <w:rFonts w:asciiTheme="minorHAnsi" w:eastAsiaTheme="minorEastAsia" w:hAnsiTheme="minorHAnsi" w:cstheme="minorBidi"/>
          <w:noProof/>
          <w:sz w:val="22"/>
          <w:szCs w:val="22"/>
          <w:lang w:val="de-AT" w:eastAsia="de-AT" w:bidi="ar-SA"/>
        </w:rPr>
        <w:tab/>
      </w:r>
      <w:r>
        <w:rPr>
          <w:noProof/>
        </w:rPr>
        <w:t>Historischer Abriss – Vorläufer und Nachfolger</w:t>
      </w:r>
      <w:r>
        <w:rPr>
          <w:noProof/>
        </w:rPr>
        <w:tab/>
      </w:r>
      <w:r>
        <w:rPr>
          <w:noProof/>
        </w:rPr>
        <w:fldChar w:fldCharType="begin"/>
      </w:r>
      <w:r>
        <w:rPr>
          <w:noProof/>
        </w:rPr>
        <w:instrText xml:space="preserve"> PAGEREF _Toc11865311 \h </w:instrText>
      </w:r>
      <w:r>
        <w:rPr>
          <w:noProof/>
        </w:rPr>
      </w:r>
      <w:r>
        <w:rPr>
          <w:noProof/>
        </w:rPr>
        <w:fldChar w:fldCharType="separate"/>
      </w:r>
      <w:r w:rsidR="00A5135A">
        <w:rPr>
          <w:noProof/>
        </w:rPr>
        <w:t>14</w:t>
      </w:r>
      <w:r>
        <w:rPr>
          <w:noProof/>
        </w:rPr>
        <w:fldChar w:fldCharType="end"/>
      </w:r>
    </w:p>
    <w:p w14:paraId="284489F7"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rPr>
        <w:t>2.1</w:t>
      </w:r>
      <w:r>
        <w:rPr>
          <w:rFonts w:asciiTheme="minorHAnsi" w:eastAsiaTheme="minorEastAsia" w:hAnsiTheme="minorHAnsi" w:cstheme="minorBidi"/>
          <w:noProof/>
          <w:sz w:val="22"/>
          <w:szCs w:val="22"/>
          <w:lang w:val="de-AT" w:eastAsia="de-AT" w:bidi="ar-SA"/>
        </w:rPr>
        <w:tab/>
      </w:r>
      <w:r w:rsidRPr="009D4D3F">
        <w:rPr>
          <w:noProof/>
        </w:rPr>
        <w:t>Beginn Datenschutzrechtlicher Überlegungen</w:t>
      </w:r>
      <w:r>
        <w:rPr>
          <w:noProof/>
        </w:rPr>
        <w:tab/>
      </w:r>
      <w:r>
        <w:rPr>
          <w:noProof/>
        </w:rPr>
        <w:fldChar w:fldCharType="begin"/>
      </w:r>
      <w:r>
        <w:rPr>
          <w:noProof/>
        </w:rPr>
        <w:instrText xml:space="preserve"> PAGEREF _Toc11865312 \h </w:instrText>
      </w:r>
      <w:r>
        <w:rPr>
          <w:noProof/>
        </w:rPr>
      </w:r>
      <w:r>
        <w:rPr>
          <w:noProof/>
        </w:rPr>
        <w:fldChar w:fldCharType="separate"/>
      </w:r>
      <w:r w:rsidR="00A5135A">
        <w:rPr>
          <w:noProof/>
        </w:rPr>
        <w:t>14</w:t>
      </w:r>
      <w:r>
        <w:rPr>
          <w:noProof/>
        </w:rPr>
        <w:fldChar w:fldCharType="end"/>
      </w:r>
    </w:p>
    <w:p w14:paraId="686D8844"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rPr>
        <w:t>2.2</w:t>
      </w:r>
      <w:r>
        <w:rPr>
          <w:rFonts w:asciiTheme="minorHAnsi" w:eastAsiaTheme="minorEastAsia" w:hAnsiTheme="minorHAnsi" w:cstheme="minorBidi"/>
          <w:noProof/>
          <w:sz w:val="22"/>
          <w:szCs w:val="22"/>
          <w:lang w:val="de-AT" w:eastAsia="de-AT" w:bidi="ar-SA"/>
        </w:rPr>
        <w:tab/>
      </w:r>
      <w:r w:rsidRPr="009D4D3F">
        <w:rPr>
          <w:noProof/>
          <w:lang w:val="de-AT"/>
        </w:rPr>
        <w:t xml:space="preserve">Konvention 108 – </w:t>
      </w:r>
      <w:r w:rsidRPr="009D4D3F">
        <w:rPr>
          <w:noProof/>
        </w:rPr>
        <w:t>Übereinkommen zum Schutz des Menschen bei der automatischen Verarbeitung personenbezogener Daten</w:t>
      </w:r>
      <w:r>
        <w:rPr>
          <w:noProof/>
        </w:rPr>
        <w:tab/>
      </w:r>
      <w:r>
        <w:rPr>
          <w:noProof/>
        </w:rPr>
        <w:fldChar w:fldCharType="begin"/>
      </w:r>
      <w:r>
        <w:rPr>
          <w:noProof/>
        </w:rPr>
        <w:instrText xml:space="preserve"> PAGEREF _Toc11865313 \h </w:instrText>
      </w:r>
      <w:r>
        <w:rPr>
          <w:noProof/>
        </w:rPr>
      </w:r>
      <w:r>
        <w:rPr>
          <w:noProof/>
        </w:rPr>
        <w:fldChar w:fldCharType="separate"/>
      </w:r>
      <w:r w:rsidR="00A5135A">
        <w:rPr>
          <w:noProof/>
        </w:rPr>
        <w:t>15</w:t>
      </w:r>
      <w:r>
        <w:rPr>
          <w:noProof/>
        </w:rPr>
        <w:fldChar w:fldCharType="end"/>
      </w:r>
    </w:p>
    <w:p w14:paraId="4D119A1B"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2.3</w:t>
      </w:r>
      <w:r>
        <w:rPr>
          <w:rFonts w:asciiTheme="minorHAnsi" w:eastAsiaTheme="minorEastAsia" w:hAnsiTheme="minorHAnsi" w:cstheme="minorBidi"/>
          <w:noProof/>
          <w:sz w:val="22"/>
          <w:szCs w:val="22"/>
          <w:lang w:val="de-AT" w:eastAsia="de-AT" w:bidi="ar-SA"/>
        </w:rPr>
        <w:tab/>
      </w:r>
      <w:r w:rsidRPr="009D4D3F">
        <w:rPr>
          <w:noProof/>
          <w:lang w:val="de-AT"/>
        </w:rPr>
        <w:t>Richtlinie 95/46/EG – “Datenschutzrichtlinie”</w:t>
      </w:r>
      <w:r>
        <w:rPr>
          <w:noProof/>
        </w:rPr>
        <w:tab/>
      </w:r>
      <w:r>
        <w:rPr>
          <w:noProof/>
        </w:rPr>
        <w:fldChar w:fldCharType="begin"/>
      </w:r>
      <w:r>
        <w:rPr>
          <w:noProof/>
        </w:rPr>
        <w:instrText xml:space="preserve"> PAGEREF _Toc11865314 \h </w:instrText>
      </w:r>
      <w:r>
        <w:rPr>
          <w:noProof/>
        </w:rPr>
      </w:r>
      <w:r>
        <w:rPr>
          <w:noProof/>
        </w:rPr>
        <w:fldChar w:fldCharType="separate"/>
      </w:r>
      <w:r w:rsidR="00A5135A">
        <w:rPr>
          <w:noProof/>
        </w:rPr>
        <w:t>17</w:t>
      </w:r>
      <w:r>
        <w:rPr>
          <w:noProof/>
        </w:rPr>
        <w:fldChar w:fldCharType="end"/>
      </w:r>
    </w:p>
    <w:p w14:paraId="3751CBE2"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2.4</w:t>
      </w:r>
      <w:r>
        <w:rPr>
          <w:rFonts w:asciiTheme="minorHAnsi" w:eastAsiaTheme="minorEastAsia" w:hAnsiTheme="minorHAnsi" w:cstheme="minorBidi"/>
          <w:noProof/>
          <w:sz w:val="22"/>
          <w:szCs w:val="22"/>
          <w:lang w:val="de-AT" w:eastAsia="de-AT" w:bidi="ar-SA"/>
        </w:rPr>
        <w:tab/>
      </w:r>
      <w:r w:rsidRPr="009D4D3F">
        <w:rPr>
          <w:noProof/>
          <w:lang w:val="de-AT"/>
        </w:rPr>
        <w:t>Richtlinie 2002/58/EC – “ePrivacy-Richtlinie/ Datenschutz-richtlinie für elektronische Kommunikation”</w:t>
      </w:r>
      <w:r>
        <w:rPr>
          <w:noProof/>
        </w:rPr>
        <w:tab/>
      </w:r>
      <w:r>
        <w:rPr>
          <w:noProof/>
        </w:rPr>
        <w:fldChar w:fldCharType="begin"/>
      </w:r>
      <w:r>
        <w:rPr>
          <w:noProof/>
        </w:rPr>
        <w:instrText xml:space="preserve"> PAGEREF _Toc11865315 \h </w:instrText>
      </w:r>
      <w:r>
        <w:rPr>
          <w:noProof/>
        </w:rPr>
      </w:r>
      <w:r>
        <w:rPr>
          <w:noProof/>
        </w:rPr>
        <w:fldChar w:fldCharType="separate"/>
      </w:r>
      <w:r w:rsidR="00A5135A">
        <w:rPr>
          <w:noProof/>
        </w:rPr>
        <w:t>19</w:t>
      </w:r>
      <w:r>
        <w:rPr>
          <w:noProof/>
        </w:rPr>
        <w:fldChar w:fldCharType="end"/>
      </w:r>
    </w:p>
    <w:p w14:paraId="58078148" w14:textId="77777777" w:rsidR="005F70EA" w:rsidRPr="005F70EA" w:rsidRDefault="005F70EA">
      <w:pPr>
        <w:pStyle w:val="Verzeichnis2"/>
        <w:tabs>
          <w:tab w:val="left" w:pos="880"/>
          <w:tab w:val="right" w:leader="dot" w:pos="9060"/>
        </w:tabs>
        <w:rPr>
          <w:rFonts w:asciiTheme="minorHAnsi" w:eastAsiaTheme="minorEastAsia" w:hAnsiTheme="minorHAnsi" w:cstheme="minorBidi"/>
          <w:noProof/>
          <w:sz w:val="22"/>
          <w:szCs w:val="22"/>
          <w:lang w:val="en-US" w:eastAsia="de-AT" w:bidi="ar-SA"/>
        </w:rPr>
      </w:pPr>
      <w:r w:rsidRPr="005F70EA">
        <w:rPr>
          <w:noProof/>
          <w:lang w:val="en-US"/>
        </w:rPr>
        <w:t>2.5</w:t>
      </w:r>
      <w:r w:rsidRPr="005F70EA">
        <w:rPr>
          <w:rFonts w:asciiTheme="minorHAnsi" w:eastAsiaTheme="minorEastAsia" w:hAnsiTheme="minorHAnsi" w:cstheme="minorBidi"/>
          <w:noProof/>
          <w:sz w:val="22"/>
          <w:szCs w:val="22"/>
          <w:lang w:val="en-US" w:eastAsia="de-AT" w:bidi="ar-SA"/>
        </w:rPr>
        <w:tab/>
      </w:r>
      <w:r w:rsidRPr="005F70EA">
        <w:rPr>
          <w:noProof/>
          <w:lang w:val="en-US"/>
        </w:rPr>
        <w:t>General Data Protection Regulation – GDPR/DSGVO</w:t>
      </w:r>
      <w:r w:rsidRPr="005F70EA">
        <w:rPr>
          <w:noProof/>
          <w:lang w:val="en-US"/>
        </w:rPr>
        <w:tab/>
      </w:r>
      <w:r>
        <w:rPr>
          <w:noProof/>
        </w:rPr>
        <w:fldChar w:fldCharType="begin"/>
      </w:r>
      <w:r w:rsidRPr="005F70EA">
        <w:rPr>
          <w:noProof/>
          <w:lang w:val="en-US"/>
        </w:rPr>
        <w:instrText xml:space="preserve"> PAGEREF _Toc11865316 \h </w:instrText>
      </w:r>
      <w:r>
        <w:rPr>
          <w:noProof/>
        </w:rPr>
      </w:r>
      <w:r>
        <w:rPr>
          <w:noProof/>
        </w:rPr>
        <w:fldChar w:fldCharType="separate"/>
      </w:r>
      <w:r w:rsidR="00A5135A">
        <w:rPr>
          <w:noProof/>
          <w:lang w:val="en-US"/>
        </w:rPr>
        <w:t>21</w:t>
      </w:r>
      <w:r>
        <w:rPr>
          <w:noProof/>
        </w:rPr>
        <w:fldChar w:fldCharType="end"/>
      </w:r>
    </w:p>
    <w:p w14:paraId="32F77B60"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2.6</w:t>
      </w:r>
      <w:r>
        <w:rPr>
          <w:rFonts w:asciiTheme="minorHAnsi" w:eastAsiaTheme="minorEastAsia" w:hAnsiTheme="minorHAnsi" w:cstheme="minorBidi"/>
          <w:noProof/>
          <w:sz w:val="22"/>
          <w:szCs w:val="22"/>
          <w:lang w:val="de-AT" w:eastAsia="de-AT" w:bidi="ar-SA"/>
        </w:rPr>
        <w:tab/>
      </w:r>
      <w:r w:rsidRPr="009D4D3F">
        <w:rPr>
          <w:noProof/>
          <w:lang w:val="de-AT"/>
        </w:rPr>
        <w:t>ePrivacy Verordnung – Ausblick in die Zukunft</w:t>
      </w:r>
      <w:r>
        <w:rPr>
          <w:noProof/>
        </w:rPr>
        <w:tab/>
      </w:r>
      <w:r>
        <w:rPr>
          <w:noProof/>
        </w:rPr>
        <w:fldChar w:fldCharType="begin"/>
      </w:r>
      <w:r>
        <w:rPr>
          <w:noProof/>
        </w:rPr>
        <w:instrText xml:space="preserve"> PAGEREF _Toc11865317 \h </w:instrText>
      </w:r>
      <w:r>
        <w:rPr>
          <w:noProof/>
        </w:rPr>
      </w:r>
      <w:r>
        <w:rPr>
          <w:noProof/>
        </w:rPr>
        <w:fldChar w:fldCharType="separate"/>
      </w:r>
      <w:r w:rsidR="00A5135A">
        <w:rPr>
          <w:noProof/>
        </w:rPr>
        <w:t>22</w:t>
      </w:r>
      <w:r>
        <w:rPr>
          <w:noProof/>
        </w:rPr>
        <w:fldChar w:fldCharType="end"/>
      </w:r>
    </w:p>
    <w:p w14:paraId="5B44F202" w14:textId="77777777" w:rsidR="005F70EA" w:rsidRDefault="005F70EA">
      <w:pPr>
        <w:pStyle w:val="Verzeichnis1"/>
        <w:tabs>
          <w:tab w:val="left" w:pos="420"/>
          <w:tab w:val="right" w:leader="dot" w:pos="9060"/>
        </w:tabs>
        <w:rPr>
          <w:rFonts w:asciiTheme="minorHAnsi" w:eastAsiaTheme="minorEastAsia" w:hAnsiTheme="minorHAnsi" w:cstheme="minorBidi"/>
          <w:noProof/>
          <w:sz w:val="22"/>
          <w:szCs w:val="22"/>
          <w:lang w:val="de-AT" w:eastAsia="de-AT" w:bidi="ar-SA"/>
        </w:rPr>
      </w:pPr>
      <w:r>
        <w:rPr>
          <w:noProof/>
        </w:rPr>
        <w:t>3</w:t>
      </w:r>
      <w:r>
        <w:rPr>
          <w:rFonts w:asciiTheme="minorHAnsi" w:eastAsiaTheme="minorEastAsia" w:hAnsiTheme="minorHAnsi" w:cstheme="minorBidi"/>
          <w:noProof/>
          <w:sz w:val="22"/>
          <w:szCs w:val="22"/>
          <w:lang w:val="de-AT" w:eastAsia="de-AT" w:bidi="ar-SA"/>
        </w:rPr>
        <w:tab/>
      </w:r>
      <w:r>
        <w:rPr>
          <w:noProof/>
        </w:rPr>
        <w:t>Wirkungsbeispiele aus der Praxis</w:t>
      </w:r>
      <w:r>
        <w:rPr>
          <w:noProof/>
        </w:rPr>
        <w:tab/>
      </w:r>
      <w:r>
        <w:rPr>
          <w:noProof/>
        </w:rPr>
        <w:fldChar w:fldCharType="begin"/>
      </w:r>
      <w:r>
        <w:rPr>
          <w:noProof/>
        </w:rPr>
        <w:instrText xml:space="preserve"> PAGEREF _Toc11865318 \h </w:instrText>
      </w:r>
      <w:r>
        <w:rPr>
          <w:noProof/>
        </w:rPr>
      </w:r>
      <w:r>
        <w:rPr>
          <w:noProof/>
        </w:rPr>
        <w:fldChar w:fldCharType="separate"/>
      </w:r>
      <w:r w:rsidR="00A5135A">
        <w:rPr>
          <w:noProof/>
        </w:rPr>
        <w:t>24</w:t>
      </w:r>
      <w:r>
        <w:rPr>
          <w:noProof/>
        </w:rPr>
        <w:fldChar w:fldCharType="end"/>
      </w:r>
    </w:p>
    <w:p w14:paraId="7F051249"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3.1</w:t>
      </w:r>
      <w:r>
        <w:rPr>
          <w:rFonts w:asciiTheme="minorHAnsi" w:eastAsiaTheme="minorEastAsia" w:hAnsiTheme="minorHAnsi" w:cstheme="minorBidi"/>
          <w:noProof/>
          <w:sz w:val="22"/>
          <w:szCs w:val="22"/>
          <w:lang w:val="de-AT" w:eastAsia="de-AT" w:bidi="ar-SA"/>
        </w:rPr>
        <w:tab/>
      </w:r>
      <w:r w:rsidRPr="009D4D3F">
        <w:rPr>
          <w:noProof/>
          <w:lang w:val="de-AT"/>
        </w:rPr>
        <w:t>Veränderung der NutzerInnen-Erfahrung anhand des Beispiels Cookie Einwilligung und Verfügbarkeit von nicht-europäischen Seiten für EWR BürgerInnen</w:t>
      </w:r>
      <w:r>
        <w:rPr>
          <w:noProof/>
        </w:rPr>
        <w:tab/>
      </w:r>
      <w:r>
        <w:rPr>
          <w:noProof/>
        </w:rPr>
        <w:fldChar w:fldCharType="begin"/>
      </w:r>
      <w:r>
        <w:rPr>
          <w:noProof/>
        </w:rPr>
        <w:instrText xml:space="preserve"> PAGEREF _Toc11865319 \h </w:instrText>
      </w:r>
      <w:r>
        <w:rPr>
          <w:noProof/>
        </w:rPr>
      </w:r>
      <w:r>
        <w:rPr>
          <w:noProof/>
        </w:rPr>
        <w:fldChar w:fldCharType="separate"/>
      </w:r>
      <w:r w:rsidR="00A5135A">
        <w:rPr>
          <w:noProof/>
        </w:rPr>
        <w:t>24</w:t>
      </w:r>
      <w:r>
        <w:rPr>
          <w:noProof/>
        </w:rPr>
        <w:fldChar w:fldCharType="end"/>
      </w:r>
    </w:p>
    <w:p w14:paraId="009B7961"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3.2</w:t>
      </w:r>
      <w:r>
        <w:rPr>
          <w:rFonts w:asciiTheme="minorHAnsi" w:eastAsiaTheme="minorEastAsia" w:hAnsiTheme="minorHAnsi" w:cstheme="minorBidi"/>
          <w:noProof/>
          <w:sz w:val="22"/>
          <w:szCs w:val="22"/>
          <w:lang w:val="de-AT" w:eastAsia="de-AT" w:bidi="ar-SA"/>
        </w:rPr>
        <w:tab/>
      </w:r>
      <w:r w:rsidRPr="009D4D3F">
        <w:rPr>
          <w:noProof/>
          <w:lang w:val="de-AT"/>
        </w:rPr>
        <w:t>Schutz persönlicher Nutzungsdaten trotz Einsatz von Trackingdiensten</w:t>
      </w:r>
      <w:r>
        <w:rPr>
          <w:noProof/>
        </w:rPr>
        <w:tab/>
      </w:r>
      <w:r>
        <w:rPr>
          <w:noProof/>
        </w:rPr>
        <w:fldChar w:fldCharType="begin"/>
      </w:r>
      <w:r>
        <w:rPr>
          <w:noProof/>
        </w:rPr>
        <w:instrText xml:space="preserve"> PAGEREF _Toc11865320 \h </w:instrText>
      </w:r>
      <w:r>
        <w:rPr>
          <w:noProof/>
        </w:rPr>
      </w:r>
      <w:r>
        <w:rPr>
          <w:noProof/>
        </w:rPr>
        <w:fldChar w:fldCharType="separate"/>
      </w:r>
      <w:r w:rsidR="00A5135A">
        <w:rPr>
          <w:noProof/>
        </w:rPr>
        <w:t>25</w:t>
      </w:r>
      <w:r>
        <w:rPr>
          <w:noProof/>
        </w:rPr>
        <w:fldChar w:fldCharType="end"/>
      </w:r>
    </w:p>
    <w:p w14:paraId="678C1F48"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3.3</w:t>
      </w:r>
      <w:r>
        <w:rPr>
          <w:rFonts w:asciiTheme="minorHAnsi" w:eastAsiaTheme="minorEastAsia" w:hAnsiTheme="minorHAnsi" w:cstheme="minorBidi"/>
          <w:noProof/>
          <w:sz w:val="22"/>
          <w:szCs w:val="22"/>
          <w:lang w:val="de-AT" w:eastAsia="de-AT" w:bidi="ar-SA"/>
        </w:rPr>
        <w:tab/>
      </w:r>
      <w:r w:rsidRPr="009D4D3F">
        <w:rPr>
          <w:noProof/>
          <w:lang w:val="de-AT"/>
        </w:rPr>
        <w:t>Übermäßige Anwendung der DSGVO anhand des Wirkungsbeispiels „Der schriftliche Anruf“</w:t>
      </w:r>
      <w:r>
        <w:rPr>
          <w:noProof/>
        </w:rPr>
        <w:tab/>
      </w:r>
      <w:r>
        <w:rPr>
          <w:noProof/>
        </w:rPr>
        <w:fldChar w:fldCharType="begin"/>
      </w:r>
      <w:r>
        <w:rPr>
          <w:noProof/>
        </w:rPr>
        <w:instrText xml:space="preserve"> PAGEREF _Toc11865321 \h </w:instrText>
      </w:r>
      <w:r>
        <w:rPr>
          <w:noProof/>
        </w:rPr>
      </w:r>
      <w:r>
        <w:rPr>
          <w:noProof/>
        </w:rPr>
        <w:fldChar w:fldCharType="separate"/>
      </w:r>
      <w:r w:rsidR="00A5135A">
        <w:rPr>
          <w:noProof/>
        </w:rPr>
        <w:t>26</w:t>
      </w:r>
      <w:r>
        <w:rPr>
          <w:noProof/>
        </w:rPr>
        <w:fldChar w:fldCharType="end"/>
      </w:r>
    </w:p>
    <w:p w14:paraId="0598EAF9"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lastRenderedPageBreak/>
        <w:t>3.4</w:t>
      </w:r>
      <w:r>
        <w:rPr>
          <w:rFonts w:asciiTheme="minorHAnsi" w:eastAsiaTheme="minorEastAsia" w:hAnsiTheme="minorHAnsi" w:cstheme="minorBidi"/>
          <w:noProof/>
          <w:sz w:val="22"/>
          <w:szCs w:val="22"/>
          <w:lang w:val="de-AT" w:eastAsia="de-AT" w:bidi="ar-SA"/>
        </w:rPr>
        <w:tab/>
      </w:r>
      <w:r w:rsidRPr="009D4D3F">
        <w:rPr>
          <w:noProof/>
          <w:lang w:val="de-AT"/>
        </w:rPr>
        <w:t>Urteile und Gerichtsverfahren und sonstige Erkenntnisse in Bezug auf die Datenschutzgrundverordnung</w:t>
      </w:r>
      <w:r>
        <w:rPr>
          <w:noProof/>
        </w:rPr>
        <w:tab/>
      </w:r>
      <w:r>
        <w:rPr>
          <w:noProof/>
        </w:rPr>
        <w:fldChar w:fldCharType="begin"/>
      </w:r>
      <w:r>
        <w:rPr>
          <w:noProof/>
        </w:rPr>
        <w:instrText xml:space="preserve"> PAGEREF _Toc11865322 \h </w:instrText>
      </w:r>
      <w:r>
        <w:rPr>
          <w:noProof/>
        </w:rPr>
      </w:r>
      <w:r>
        <w:rPr>
          <w:noProof/>
        </w:rPr>
        <w:fldChar w:fldCharType="separate"/>
      </w:r>
      <w:r w:rsidR="00A5135A">
        <w:rPr>
          <w:noProof/>
        </w:rPr>
        <w:t>27</w:t>
      </w:r>
      <w:r>
        <w:rPr>
          <w:noProof/>
        </w:rPr>
        <w:fldChar w:fldCharType="end"/>
      </w:r>
    </w:p>
    <w:p w14:paraId="567AFAEB" w14:textId="77777777" w:rsidR="005F70EA" w:rsidRDefault="005F70EA">
      <w:pPr>
        <w:pStyle w:val="Verzeichnis1"/>
        <w:tabs>
          <w:tab w:val="left" w:pos="420"/>
          <w:tab w:val="right" w:leader="dot" w:pos="9060"/>
        </w:tabs>
        <w:rPr>
          <w:rFonts w:asciiTheme="minorHAnsi" w:eastAsiaTheme="minorEastAsia" w:hAnsiTheme="minorHAnsi" w:cstheme="minorBidi"/>
          <w:noProof/>
          <w:sz w:val="22"/>
          <w:szCs w:val="22"/>
          <w:lang w:val="de-AT" w:eastAsia="de-AT" w:bidi="ar-SA"/>
        </w:rPr>
      </w:pPr>
      <w:r>
        <w:rPr>
          <w:noProof/>
        </w:rPr>
        <w:t>4</w:t>
      </w:r>
      <w:r>
        <w:rPr>
          <w:rFonts w:asciiTheme="minorHAnsi" w:eastAsiaTheme="minorEastAsia" w:hAnsiTheme="minorHAnsi" w:cstheme="minorBidi"/>
          <w:noProof/>
          <w:sz w:val="22"/>
          <w:szCs w:val="22"/>
          <w:lang w:val="de-AT" w:eastAsia="de-AT" w:bidi="ar-SA"/>
        </w:rPr>
        <w:tab/>
      </w:r>
      <w:r>
        <w:rPr>
          <w:noProof/>
        </w:rPr>
        <w:t>Auswirkungen der Datenschutzgrundverordnung auf den Schutz personenbezogener Daten aus verschiedenen Perspektiven</w:t>
      </w:r>
      <w:r>
        <w:rPr>
          <w:noProof/>
        </w:rPr>
        <w:tab/>
      </w:r>
      <w:r>
        <w:rPr>
          <w:noProof/>
        </w:rPr>
        <w:fldChar w:fldCharType="begin"/>
      </w:r>
      <w:r>
        <w:rPr>
          <w:noProof/>
        </w:rPr>
        <w:instrText xml:space="preserve"> PAGEREF _Toc11865323 \h </w:instrText>
      </w:r>
      <w:r>
        <w:rPr>
          <w:noProof/>
        </w:rPr>
      </w:r>
      <w:r>
        <w:rPr>
          <w:noProof/>
        </w:rPr>
        <w:fldChar w:fldCharType="separate"/>
      </w:r>
      <w:r w:rsidR="00A5135A">
        <w:rPr>
          <w:noProof/>
        </w:rPr>
        <w:t>29</w:t>
      </w:r>
      <w:r>
        <w:rPr>
          <w:noProof/>
        </w:rPr>
        <w:fldChar w:fldCharType="end"/>
      </w:r>
    </w:p>
    <w:p w14:paraId="46F8E682"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4.1</w:t>
      </w:r>
      <w:r>
        <w:rPr>
          <w:rFonts w:asciiTheme="minorHAnsi" w:eastAsiaTheme="minorEastAsia" w:hAnsiTheme="minorHAnsi" w:cstheme="minorBidi"/>
          <w:noProof/>
          <w:sz w:val="22"/>
          <w:szCs w:val="22"/>
          <w:lang w:val="de-AT" w:eastAsia="de-AT" w:bidi="ar-SA"/>
        </w:rPr>
        <w:tab/>
      </w:r>
      <w:r w:rsidRPr="009D4D3F">
        <w:rPr>
          <w:noProof/>
          <w:lang w:val="de-AT"/>
        </w:rPr>
        <w:t>Unternehmensperspektive</w:t>
      </w:r>
      <w:r>
        <w:rPr>
          <w:noProof/>
        </w:rPr>
        <w:tab/>
      </w:r>
      <w:r>
        <w:rPr>
          <w:noProof/>
        </w:rPr>
        <w:fldChar w:fldCharType="begin"/>
      </w:r>
      <w:r>
        <w:rPr>
          <w:noProof/>
        </w:rPr>
        <w:instrText xml:space="preserve"> PAGEREF _Toc11865324 \h </w:instrText>
      </w:r>
      <w:r>
        <w:rPr>
          <w:noProof/>
        </w:rPr>
      </w:r>
      <w:r>
        <w:rPr>
          <w:noProof/>
        </w:rPr>
        <w:fldChar w:fldCharType="separate"/>
      </w:r>
      <w:r w:rsidR="00A5135A">
        <w:rPr>
          <w:noProof/>
        </w:rPr>
        <w:t>29</w:t>
      </w:r>
      <w:r>
        <w:rPr>
          <w:noProof/>
        </w:rPr>
        <w:fldChar w:fldCharType="end"/>
      </w:r>
    </w:p>
    <w:p w14:paraId="55AFDA99" w14:textId="77777777" w:rsidR="005F70EA" w:rsidRDefault="005F70EA">
      <w:pPr>
        <w:pStyle w:val="Verzeichnis3"/>
        <w:tabs>
          <w:tab w:val="left" w:pos="1320"/>
          <w:tab w:val="right" w:leader="dot" w:pos="9060"/>
        </w:tabs>
        <w:rPr>
          <w:rFonts w:asciiTheme="minorHAnsi" w:eastAsiaTheme="minorEastAsia" w:hAnsiTheme="minorHAnsi" w:cstheme="minorBidi"/>
          <w:noProof/>
          <w:sz w:val="22"/>
          <w:szCs w:val="22"/>
          <w:lang w:val="de-AT" w:eastAsia="de-AT" w:bidi="ar-SA"/>
        </w:rPr>
      </w:pPr>
      <w:r>
        <w:rPr>
          <w:noProof/>
        </w:rPr>
        <w:t>4.1.1</w:t>
      </w:r>
      <w:r>
        <w:rPr>
          <w:rFonts w:asciiTheme="minorHAnsi" w:eastAsiaTheme="minorEastAsia" w:hAnsiTheme="minorHAnsi" w:cstheme="minorBidi"/>
          <w:noProof/>
          <w:sz w:val="22"/>
          <w:szCs w:val="22"/>
          <w:lang w:val="de-AT" w:eastAsia="de-AT" w:bidi="ar-SA"/>
        </w:rPr>
        <w:tab/>
      </w:r>
      <w:r>
        <w:rPr>
          <w:noProof/>
        </w:rPr>
        <w:t>Staatliches/Öffentliches Unterstützungsangebot</w:t>
      </w:r>
      <w:r>
        <w:rPr>
          <w:noProof/>
        </w:rPr>
        <w:tab/>
      </w:r>
      <w:r>
        <w:rPr>
          <w:noProof/>
        </w:rPr>
        <w:fldChar w:fldCharType="begin"/>
      </w:r>
      <w:r>
        <w:rPr>
          <w:noProof/>
        </w:rPr>
        <w:instrText xml:space="preserve"> PAGEREF _Toc11865325 \h </w:instrText>
      </w:r>
      <w:r>
        <w:rPr>
          <w:noProof/>
        </w:rPr>
      </w:r>
      <w:r>
        <w:rPr>
          <w:noProof/>
        </w:rPr>
        <w:fldChar w:fldCharType="separate"/>
      </w:r>
      <w:r w:rsidR="00A5135A">
        <w:rPr>
          <w:noProof/>
        </w:rPr>
        <w:t>30</w:t>
      </w:r>
      <w:r>
        <w:rPr>
          <w:noProof/>
        </w:rPr>
        <w:fldChar w:fldCharType="end"/>
      </w:r>
    </w:p>
    <w:p w14:paraId="56620376" w14:textId="77777777" w:rsidR="005F70EA" w:rsidRDefault="005F70EA">
      <w:pPr>
        <w:pStyle w:val="Verzeichnis3"/>
        <w:tabs>
          <w:tab w:val="left" w:pos="1320"/>
          <w:tab w:val="right" w:leader="dot" w:pos="9060"/>
        </w:tabs>
        <w:rPr>
          <w:rFonts w:asciiTheme="minorHAnsi" w:eastAsiaTheme="minorEastAsia" w:hAnsiTheme="minorHAnsi" w:cstheme="minorBidi"/>
          <w:noProof/>
          <w:sz w:val="22"/>
          <w:szCs w:val="22"/>
          <w:lang w:val="de-AT" w:eastAsia="de-AT" w:bidi="ar-SA"/>
        </w:rPr>
      </w:pPr>
      <w:r>
        <w:rPr>
          <w:noProof/>
        </w:rPr>
        <w:t>4.1.2</w:t>
      </w:r>
      <w:r>
        <w:rPr>
          <w:rFonts w:asciiTheme="minorHAnsi" w:eastAsiaTheme="minorEastAsia" w:hAnsiTheme="minorHAnsi" w:cstheme="minorBidi"/>
          <w:noProof/>
          <w:sz w:val="22"/>
          <w:szCs w:val="22"/>
          <w:lang w:val="de-AT" w:eastAsia="de-AT" w:bidi="ar-SA"/>
        </w:rPr>
        <w:tab/>
      </w:r>
      <w:r>
        <w:rPr>
          <w:noProof/>
        </w:rPr>
        <w:t>Privates Angebot</w:t>
      </w:r>
      <w:r>
        <w:rPr>
          <w:noProof/>
        </w:rPr>
        <w:tab/>
      </w:r>
      <w:r>
        <w:rPr>
          <w:noProof/>
        </w:rPr>
        <w:fldChar w:fldCharType="begin"/>
      </w:r>
      <w:r>
        <w:rPr>
          <w:noProof/>
        </w:rPr>
        <w:instrText xml:space="preserve"> PAGEREF _Toc11865326 \h </w:instrText>
      </w:r>
      <w:r>
        <w:rPr>
          <w:noProof/>
        </w:rPr>
      </w:r>
      <w:r>
        <w:rPr>
          <w:noProof/>
        </w:rPr>
        <w:fldChar w:fldCharType="separate"/>
      </w:r>
      <w:r w:rsidR="00A5135A">
        <w:rPr>
          <w:noProof/>
        </w:rPr>
        <w:t>31</w:t>
      </w:r>
      <w:r>
        <w:rPr>
          <w:noProof/>
        </w:rPr>
        <w:fldChar w:fldCharType="end"/>
      </w:r>
    </w:p>
    <w:p w14:paraId="092BA495" w14:textId="77777777" w:rsidR="005F70EA" w:rsidRDefault="005F70EA">
      <w:pPr>
        <w:pStyle w:val="Verzeichnis2"/>
        <w:tabs>
          <w:tab w:val="left" w:pos="88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4.2</w:t>
      </w:r>
      <w:r>
        <w:rPr>
          <w:rFonts w:asciiTheme="minorHAnsi" w:eastAsiaTheme="minorEastAsia" w:hAnsiTheme="minorHAnsi" w:cstheme="minorBidi"/>
          <w:noProof/>
          <w:sz w:val="22"/>
          <w:szCs w:val="22"/>
          <w:lang w:val="de-AT" w:eastAsia="de-AT" w:bidi="ar-SA"/>
        </w:rPr>
        <w:tab/>
      </w:r>
      <w:r w:rsidRPr="009D4D3F">
        <w:rPr>
          <w:noProof/>
          <w:lang w:val="de-AT"/>
        </w:rPr>
        <w:t>BürgerInnen-Perspektive</w:t>
      </w:r>
      <w:r>
        <w:rPr>
          <w:noProof/>
        </w:rPr>
        <w:tab/>
      </w:r>
      <w:r>
        <w:rPr>
          <w:noProof/>
        </w:rPr>
        <w:fldChar w:fldCharType="begin"/>
      </w:r>
      <w:r>
        <w:rPr>
          <w:noProof/>
        </w:rPr>
        <w:instrText xml:space="preserve"> PAGEREF _Toc11865327 \h </w:instrText>
      </w:r>
      <w:r>
        <w:rPr>
          <w:noProof/>
        </w:rPr>
      </w:r>
      <w:r>
        <w:rPr>
          <w:noProof/>
        </w:rPr>
        <w:fldChar w:fldCharType="separate"/>
      </w:r>
      <w:r w:rsidR="00A5135A">
        <w:rPr>
          <w:noProof/>
        </w:rPr>
        <w:t>32</w:t>
      </w:r>
      <w:r>
        <w:rPr>
          <w:noProof/>
        </w:rPr>
        <w:fldChar w:fldCharType="end"/>
      </w:r>
    </w:p>
    <w:p w14:paraId="6A558C04" w14:textId="77777777" w:rsidR="005F70EA" w:rsidRDefault="005F70EA">
      <w:pPr>
        <w:pStyle w:val="Verzeichnis1"/>
        <w:tabs>
          <w:tab w:val="left" w:pos="420"/>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5</w:t>
      </w:r>
      <w:r>
        <w:rPr>
          <w:rFonts w:asciiTheme="minorHAnsi" w:eastAsiaTheme="minorEastAsia" w:hAnsiTheme="minorHAnsi" w:cstheme="minorBidi"/>
          <w:noProof/>
          <w:sz w:val="22"/>
          <w:szCs w:val="22"/>
          <w:lang w:val="de-AT" w:eastAsia="de-AT" w:bidi="ar-SA"/>
        </w:rPr>
        <w:tab/>
      </w:r>
      <w:r w:rsidRPr="009D4D3F">
        <w:rPr>
          <w:noProof/>
          <w:lang w:val="de-AT"/>
        </w:rPr>
        <w:t>Fazit</w:t>
      </w:r>
      <w:r>
        <w:rPr>
          <w:noProof/>
        </w:rPr>
        <w:tab/>
      </w:r>
      <w:r>
        <w:rPr>
          <w:noProof/>
        </w:rPr>
        <w:fldChar w:fldCharType="begin"/>
      </w:r>
      <w:r>
        <w:rPr>
          <w:noProof/>
        </w:rPr>
        <w:instrText xml:space="preserve"> PAGEREF _Toc11865328 \h </w:instrText>
      </w:r>
      <w:r>
        <w:rPr>
          <w:noProof/>
        </w:rPr>
      </w:r>
      <w:r>
        <w:rPr>
          <w:noProof/>
        </w:rPr>
        <w:fldChar w:fldCharType="separate"/>
      </w:r>
      <w:r w:rsidR="00A5135A">
        <w:rPr>
          <w:noProof/>
        </w:rPr>
        <w:t>34</w:t>
      </w:r>
      <w:r>
        <w:rPr>
          <w:noProof/>
        </w:rPr>
        <w:fldChar w:fldCharType="end"/>
      </w:r>
    </w:p>
    <w:p w14:paraId="6EE975E1" w14:textId="77777777" w:rsidR="005F70EA" w:rsidRDefault="005F70EA">
      <w:pPr>
        <w:pStyle w:val="Verzeichnis1"/>
        <w:tabs>
          <w:tab w:val="right" w:leader="dot" w:pos="9060"/>
        </w:tabs>
        <w:rPr>
          <w:rFonts w:asciiTheme="minorHAnsi" w:eastAsiaTheme="minorEastAsia" w:hAnsiTheme="minorHAnsi" w:cstheme="minorBidi"/>
          <w:noProof/>
          <w:sz w:val="22"/>
          <w:szCs w:val="22"/>
          <w:lang w:val="de-AT" w:eastAsia="de-AT" w:bidi="ar-SA"/>
        </w:rPr>
      </w:pPr>
      <w:r w:rsidRPr="009D4D3F">
        <w:rPr>
          <w:noProof/>
          <w:lang w:val="de-AT"/>
        </w:rPr>
        <w:t>Literaturverzeichnis</w:t>
      </w:r>
      <w:r>
        <w:rPr>
          <w:noProof/>
        </w:rPr>
        <w:tab/>
      </w:r>
      <w:r>
        <w:rPr>
          <w:noProof/>
        </w:rPr>
        <w:fldChar w:fldCharType="begin"/>
      </w:r>
      <w:r>
        <w:rPr>
          <w:noProof/>
        </w:rPr>
        <w:instrText xml:space="preserve"> PAGEREF _Toc11865329 \h </w:instrText>
      </w:r>
      <w:r>
        <w:rPr>
          <w:noProof/>
        </w:rPr>
      </w:r>
      <w:r>
        <w:rPr>
          <w:noProof/>
        </w:rPr>
        <w:fldChar w:fldCharType="separate"/>
      </w:r>
      <w:r w:rsidR="00A5135A">
        <w:rPr>
          <w:noProof/>
        </w:rPr>
        <w:t>37</w:t>
      </w:r>
      <w:r>
        <w:rPr>
          <w:noProof/>
        </w:rPr>
        <w:fldChar w:fldCharType="end"/>
      </w:r>
    </w:p>
    <w:p w14:paraId="44C1FFAF" w14:textId="5B30798C" w:rsidR="00A61241" w:rsidRPr="003518AE" w:rsidRDefault="00163DA0" w:rsidP="009D3C51">
      <w:pPr>
        <w:pStyle w:val="SMVerzeichnisse"/>
      </w:pPr>
      <w:r w:rsidRPr="009D3C51">
        <w:fldChar w:fldCharType="end"/>
      </w:r>
    </w:p>
    <w:p w14:paraId="617ABFC7" w14:textId="77777777" w:rsidR="00A61241" w:rsidRPr="003518AE" w:rsidRDefault="00A61241">
      <w:pPr>
        <w:spacing w:after="200" w:line="276" w:lineRule="auto"/>
        <w:jc w:val="left"/>
      </w:pPr>
      <w:r w:rsidRPr="003518AE">
        <w:br w:type="page"/>
      </w:r>
    </w:p>
    <w:p w14:paraId="3D1C2204" w14:textId="77777777" w:rsidR="00A61241" w:rsidRPr="003518AE" w:rsidRDefault="00A61241" w:rsidP="002D7A47">
      <w:pPr>
        <w:pStyle w:val="berschrift1"/>
        <w:numPr>
          <w:ilvl w:val="0"/>
          <w:numId w:val="0"/>
        </w:numPr>
      </w:pPr>
      <w:bookmarkStart w:id="3" w:name="_Toc11865300"/>
      <w:r w:rsidRPr="003518AE">
        <w:lastRenderedPageBreak/>
        <w:t>Abbildungsverzeichnis</w:t>
      </w:r>
      <w:bookmarkEnd w:id="3"/>
    </w:p>
    <w:p w14:paraId="21467F0C" w14:textId="77777777" w:rsidR="0010710F" w:rsidRDefault="00163DA0">
      <w:pPr>
        <w:pStyle w:val="Abbildungsverzeichnis"/>
        <w:tabs>
          <w:tab w:val="right" w:leader="dot" w:pos="9062"/>
        </w:tabs>
        <w:rPr>
          <w:rFonts w:asciiTheme="minorHAnsi" w:eastAsiaTheme="minorEastAsia" w:hAnsiTheme="minorHAnsi" w:cstheme="minorBidi"/>
          <w:noProof/>
          <w:sz w:val="22"/>
          <w:szCs w:val="22"/>
          <w:lang w:val="de-AT" w:eastAsia="de-AT" w:bidi="ar-SA"/>
        </w:rPr>
      </w:pPr>
      <w:r w:rsidRPr="003518AE">
        <w:fldChar w:fldCharType="begin"/>
      </w:r>
      <w:r w:rsidR="00466F0C" w:rsidRPr="003518AE">
        <w:instrText xml:space="preserve"> TOC \c "Abbildung" </w:instrText>
      </w:r>
      <w:r w:rsidRPr="003518AE">
        <w:fldChar w:fldCharType="separate"/>
      </w:r>
      <w:r w:rsidR="0010710F">
        <w:rPr>
          <w:noProof/>
        </w:rPr>
        <w:t xml:space="preserve">Abbildung 1: Cookie-Hinweis von "Cookiebot" </w:t>
      </w:r>
      <w:r w:rsidR="0010710F" w:rsidRPr="00384F7E">
        <w:rPr>
          <w:noProof/>
          <w:lang w:val="de-AT"/>
        </w:rPr>
        <w:t>(Cybot A/S2019)</w:t>
      </w:r>
      <w:r w:rsidR="0010710F">
        <w:rPr>
          <w:noProof/>
        </w:rPr>
        <w:tab/>
      </w:r>
      <w:r w:rsidR="0010710F">
        <w:rPr>
          <w:noProof/>
        </w:rPr>
        <w:fldChar w:fldCharType="begin"/>
      </w:r>
      <w:r w:rsidR="0010710F">
        <w:rPr>
          <w:noProof/>
        </w:rPr>
        <w:instrText xml:space="preserve"> PAGEREF _Toc11619488 \h </w:instrText>
      </w:r>
      <w:r w:rsidR="0010710F">
        <w:rPr>
          <w:noProof/>
        </w:rPr>
      </w:r>
      <w:r w:rsidR="0010710F">
        <w:rPr>
          <w:noProof/>
        </w:rPr>
        <w:fldChar w:fldCharType="separate"/>
      </w:r>
      <w:r w:rsidR="00A5135A">
        <w:rPr>
          <w:noProof/>
        </w:rPr>
        <w:t>6</w:t>
      </w:r>
      <w:r w:rsidR="0010710F">
        <w:rPr>
          <w:noProof/>
        </w:rPr>
        <w:fldChar w:fldCharType="end"/>
      </w:r>
    </w:p>
    <w:p w14:paraId="2884AFA6" w14:textId="77777777" w:rsidR="0010710F" w:rsidRDefault="0010710F">
      <w:pPr>
        <w:pStyle w:val="Abbildungsverzeichnis"/>
        <w:tabs>
          <w:tab w:val="right" w:leader="dot" w:pos="9062"/>
        </w:tabs>
        <w:rPr>
          <w:rFonts w:asciiTheme="minorHAnsi" w:eastAsiaTheme="minorEastAsia" w:hAnsiTheme="minorHAnsi" w:cstheme="minorBidi"/>
          <w:noProof/>
          <w:sz w:val="22"/>
          <w:szCs w:val="22"/>
          <w:lang w:val="de-AT" w:eastAsia="de-AT" w:bidi="ar-SA"/>
        </w:rPr>
      </w:pPr>
      <w:r>
        <w:rPr>
          <w:noProof/>
        </w:rPr>
        <w:t>Abbildung 2: Cookie-Hinweis auf www.orf.at</w:t>
      </w:r>
      <w:r>
        <w:rPr>
          <w:noProof/>
        </w:rPr>
        <w:tab/>
      </w:r>
      <w:r>
        <w:rPr>
          <w:noProof/>
        </w:rPr>
        <w:fldChar w:fldCharType="begin"/>
      </w:r>
      <w:r>
        <w:rPr>
          <w:noProof/>
        </w:rPr>
        <w:instrText xml:space="preserve"> PAGEREF _Toc11619489 \h </w:instrText>
      </w:r>
      <w:r>
        <w:rPr>
          <w:noProof/>
        </w:rPr>
      </w:r>
      <w:r>
        <w:rPr>
          <w:noProof/>
        </w:rPr>
        <w:fldChar w:fldCharType="separate"/>
      </w:r>
      <w:r w:rsidR="00A5135A">
        <w:rPr>
          <w:noProof/>
        </w:rPr>
        <w:t>25</w:t>
      </w:r>
      <w:r>
        <w:rPr>
          <w:noProof/>
        </w:rPr>
        <w:fldChar w:fldCharType="end"/>
      </w:r>
    </w:p>
    <w:p w14:paraId="103F99C5" w14:textId="1B7F8996" w:rsidR="002D7A47" w:rsidRPr="003518AE" w:rsidRDefault="00163DA0" w:rsidP="008B4DD6">
      <w:pPr>
        <w:pStyle w:val="SMVerzeichnisse"/>
      </w:pPr>
      <w:r w:rsidRPr="003518AE">
        <w:fldChar w:fldCharType="end"/>
      </w:r>
    </w:p>
    <w:p w14:paraId="72FAD90E" w14:textId="77777777" w:rsidR="00A61241" w:rsidRPr="003518AE" w:rsidRDefault="00A61241" w:rsidP="00D156F0"/>
    <w:p w14:paraId="0A824084" w14:textId="77777777" w:rsidR="00492267" w:rsidRDefault="00492267" w:rsidP="00492267">
      <w:pPr>
        <w:pStyle w:val="berschrift1"/>
        <w:numPr>
          <w:ilvl w:val="0"/>
          <w:numId w:val="0"/>
        </w:numPr>
        <w:ind w:left="432" w:hanging="432"/>
      </w:pPr>
      <w:bookmarkStart w:id="4" w:name="_Toc11865301"/>
      <w:r>
        <w:t>Abkürzungsverzeichnis</w:t>
      </w:r>
      <w:bookmarkEnd w:id="4"/>
    </w:p>
    <w:tbl>
      <w:tblPr>
        <w:tblW w:w="9180" w:type="dxa"/>
        <w:tblCellMar>
          <w:left w:w="70" w:type="dxa"/>
          <w:right w:w="70" w:type="dxa"/>
        </w:tblCellMar>
        <w:tblLook w:val="04A0" w:firstRow="1" w:lastRow="0" w:firstColumn="1" w:lastColumn="0" w:noHBand="0" w:noVBand="1"/>
      </w:tblPr>
      <w:tblGrid>
        <w:gridCol w:w="1200"/>
        <w:gridCol w:w="7980"/>
      </w:tblGrid>
      <w:tr w:rsidR="00462731" w:rsidRPr="00462731" w14:paraId="43E994EE" w14:textId="77777777" w:rsidTr="00216795">
        <w:trPr>
          <w:trHeight w:val="914"/>
        </w:trPr>
        <w:tc>
          <w:tcPr>
            <w:tcW w:w="1200" w:type="dxa"/>
            <w:shd w:val="clear" w:color="auto" w:fill="auto"/>
            <w:noWrap/>
            <w:hideMark/>
          </w:tcPr>
          <w:p w14:paraId="5B2D7AD3"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ABGB</w:t>
            </w:r>
          </w:p>
        </w:tc>
        <w:tc>
          <w:tcPr>
            <w:tcW w:w="7980" w:type="dxa"/>
            <w:shd w:val="clear" w:color="auto" w:fill="auto"/>
            <w:noWrap/>
            <w:hideMark/>
          </w:tcPr>
          <w:p w14:paraId="7ACDCACA"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Historisch: Allgemeines bürgerliches Gesetzbuch für die gesammten deutschen Erbländer der Oesterreichischen Monarchie; Modern: Allgemeines Bürgerliches Gesetzbuch</w:t>
            </w:r>
          </w:p>
        </w:tc>
      </w:tr>
      <w:tr w:rsidR="00462731" w:rsidRPr="00D4002B" w14:paraId="049F82FA" w14:textId="77777777" w:rsidTr="00216795">
        <w:trPr>
          <w:trHeight w:val="417"/>
        </w:trPr>
        <w:tc>
          <w:tcPr>
            <w:tcW w:w="1200" w:type="dxa"/>
            <w:shd w:val="clear" w:color="auto" w:fill="auto"/>
            <w:noWrap/>
            <w:hideMark/>
          </w:tcPr>
          <w:p w14:paraId="73033783" w14:textId="77777777" w:rsidR="00462731" w:rsidRPr="00D4002B" w:rsidRDefault="00462731" w:rsidP="00462731">
            <w:pPr>
              <w:spacing w:after="0" w:line="240" w:lineRule="auto"/>
              <w:jc w:val="left"/>
              <w:rPr>
                <w:rFonts w:eastAsia="Times New Roman" w:cs="Calibri"/>
                <w:color w:val="000000"/>
                <w:szCs w:val="21"/>
                <w:lang w:val="en-GB" w:eastAsia="de-AT" w:bidi="ar-SA"/>
              </w:rPr>
            </w:pPr>
            <w:r w:rsidRPr="00D4002B">
              <w:rPr>
                <w:rFonts w:eastAsia="Times New Roman" w:cs="Calibri"/>
                <w:color w:val="000000"/>
                <w:szCs w:val="21"/>
                <w:lang w:val="en-GB" w:eastAsia="de-AT" w:bidi="ar-SA"/>
              </w:rPr>
              <w:t>CoE</w:t>
            </w:r>
          </w:p>
        </w:tc>
        <w:tc>
          <w:tcPr>
            <w:tcW w:w="7980" w:type="dxa"/>
            <w:shd w:val="clear" w:color="auto" w:fill="auto"/>
            <w:noWrap/>
            <w:hideMark/>
          </w:tcPr>
          <w:p w14:paraId="5D75A09D" w14:textId="77777777" w:rsidR="00462731" w:rsidRPr="00D4002B" w:rsidRDefault="00462731" w:rsidP="00462731">
            <w:pPr>
              <w:spacing w:after="0" w:line="240" w:lineRule="auto"/>
              <w:jc w:val="left"/>
              <w:rPr>
                <w:rFonts w:eastAsia="Times New Roman" w:cs="Calibri"/>
                <w:color w:val="000000"/>
                <w:szCs w:val="21"/>
                <w:lang w:val="en-GB" w:eastAsia="de-AT" w:bidi="ar-SA"/>
              </w:rPr>
            </w:pPr>
            <w:r w:rsidRPr="00D4002B">
              <w:rPr>
                <w:rFonts w:eastAsia="Times New Roman" w:cs="Calibri"/>
                <w:color w:val="000000"/>
                <w:szCs w:val="21"/>
                <w:lang w:val="en-GB" w:eastAsia="de-AT" w:bidi="ar-SA"/>
              </w:rPr>
              <w:t>Council of Europe/</w:t>
            </w:r>
            <w:r w:rsidRPr="00D4002B">
              <w:rPr>
                <w:rFonts w:eastAsia="Times New Roman" w:cs="Calibri"/>
                <w:color w:val="000000"/>
                <w:szCs w:val="21"/>
                <w:lang w:val="de-AT" w:eastAsia="de-AT" w:bidi="ar-SA"/>
              </w:rPr>
              <w:t>Europarat</w:t>
            </w:r>
          </w:p>
        </w:tc>
      </w:tr>
      <w:tr w:rsidR="00462731" w:rsidRPr="00462731" w14:paraId="1EF285BB" w14:textId="77777777" w:rsidTr="00216795">
        <w:trPr>
          <w:trHeight w:val="706"/>
        </w:trPr>
        <w:tc>
          <w:tcPr>
            <w:tcW w:w="1200" w:type="dxa"/>
            <w:shd w:val="clear" w:color="auto" w:fill="auto"/>
            <w:noWrap/>
            <w:hideMark/>
          </w:tcPr>
          <w:p w14:paraId="76705F6C"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DSG</w:t>
            </w:r>
          </w:p>
        </w:tc>
        <w:tc>
          <w:tcPr>
            <w:tcW w:w="7980" w:type="dxa"/>
            <w:shd w:val="clear" w:color="auto" w:fill="auto"/>
            <w:noWrap/>
            <w:hideMark/>
          </w:tcPr>
          <w:p w14:paraId="5009B1B0"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Bundesgesetz zum Schutz natürlicher Personen bei der Verarbeitung personenbezogener Daten; Datenschutzgesetz</w:t>
            </w:r>
          </w:p>
        </w:tc>
      </w:tr>
      <w:tr w:rsidR="00462731" w:rsidRPr="00462731" w14:paraId="260DF2A6" w14:textId="77777777" w:rsidTr="00216795">
        <w:trPr>
          <w:trHeight w:val="432"/>
        </w:trPr>
        <w:tc>
          <w:tcPr>
            <w:tcW w:w="1200" w:type="dxa"/>
            <w:shd w:val="clear" w:color="auto" w:fill="auto"/>
            <w:noWrap/>
            <w:hideMark/>
          </w:tcPr>
          <w:p w14:paraId="590113C6"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eastAsia="de-AT" w:bidi="ar-SA"/>
              </w:rPr>
              <w:t>DSGVO</w:t>
            </w:r>
          </w:p>
        </w:tc>
        <w:tc>
          <w:tcPr>
            <w:tcW w:w="7980" w:type="dxa"/>
            <w:shd w:val="clear" w:color="auto" w:fill="auto"/>
            <w:noWrap/>
            <w:hideMark/>
          </w:tcPr>
          <w:p w14:paraId="19607FA7"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Datenschutzgrundverordnung</w:t>
            </w:r>
          </w:p>
        </w:tc>
      </w:tr>
      <w:tr w:rsidR="00462731" w:rsidRPr="00462731" w14:paraId="1D445F85" w14:textId="77777777" w:rsidTr="00216795">
        <w:trPr>
          <w:trHeight w:val="424"/>
        </w:trPr>
        <w:tc>
          <w:tcPr>
            <w:tcW w:w="1200" w:type="dxa"/>
            <w:shd w:val="clear" w:color="auto" w:fill="auto"/>
            <w:noWrap/>
            <w:hideMark/>
          </w:tcPr>
          <w:p w14:paraId="0022A100"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eastAsia="de-AT" w:bidi="ar-SA"/>
              </w:rPr>
              <w:t>EuGH</w:t>
            </w:r>
          </w:p>
        </w:tc>
        <w:tc>
          <w:tcPr>
            <w:tcW w:w="7980" w:type="dxa"/>
            <w:shd w:val="clear" w:color="auto" w:fill="auto"/>
            <w:noWrap/>
            <w:hideMark/>
          </w:tcPr>
          <w:p w14:paraId="4B87368B"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Europäischer Gerichtshof</w:t>
            </w:r>
          </w:p>
        </w:tc>
      </w:tr>
      <w:tr w:rsidR="00462731" w:rsidRPr="00462731" w14:paraId="38278832" w14:textId="77777777" w:rsidTr="00216795">
        <w:trPr>
          <w:trHeight w:val="431"/>
        </w:trPr>
        <w:tc>
          <w:tcPr>
            <w:tcW w:w="1200" w:type="dxa"/>
            <w:shd w:val="clear" w:color="auto" w:fill="auto"/>
            <w:noWrap/>
            <w:hideMark/>
          </w:tcPr>
          <w:p w14:paraId="63113E31"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EWR</w:t>
            </w:r>
          </w:p>
        </w:tc>
        <w:tc>
          <w:tcPr>
            <w:tcW w:w="7980" w:type="dxa"/>
            <w:shd w:val="clear" w:color="auto" w:fill="auto"/>
            <w:noWrap/>
            <w:hideMark/>
          </w:tcPr>
          <w:p w14:paraId="278BC594"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Europäischer Wirtschaftsraum</w:t>
            </w:r>
          </w:p>
        </w:tc>
      </w:tr>
      <w:tr w:rsidR="00462731" w:rsidRPr="00A5135A" w14:paraId="17A4B239" w14:textId="77777777" w:rsidTr="00216795">
        <w:trPr>
          <w:trHeight w:val="423"/>
        </w:trPr>
        <w:tc>
          <w:tcPr>
            <w:tcW w:w="1200" w:type="dxa"/>
            <w:shd w:val="clear" w:color="auto" w:fill="auto"/>
            <w:noWrap/>
            <w:hideMark/>
          </w:tcPr>
          <w:p w14:paraId="5FA0C04D"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eastAsia="de-AT" w:bidi="ar-SA"/>
              </w:rPr>
              <w:t>GDPR</w:t>
            </w:r>
          </w:p>
        </w:tc>
        <w:tc>
          <w:tcPr>
            <w:tcW w:w="7980" w:type="dxa"/>
            <w:shd w:val="clear" w:color="auto" w:fill="auto"/>
            <w:noWrap/>
            <w:hideMark/>
          </w:tcPr>
          <w:p w14:paraId="34FE3785" w14:textId="27CA8F1E" w:rsidR="00462731" w:rsidRPr="003C40CC" w:rsidRDefault="00462731" w:rsidP="00715D11">
            <w:pPr>
              <w:spacing w:after="0" w:line="240" w:lineRule="auto"/>
              <w:jc w:val="left"/>
              <w:rPr>
                <w:rFonts w:eastAsia="Times New Roman" w:cs="Calibri"/>
                <w:color w:val="000000"/>
                <w:szCs w:val="21"/>
                <w:lang w:val="en-US" w:eastAsia="de-AT" w:bidi="ar-SA"/>
              </w:rPr>
            </w:pPr>
            <w:r w:rsidRPr="003C40CC">
              <w:rPr>
                <w:rFonts w:eastAsia="Times New Roman" w:cs="Calibri"/>
                <w:color w:val="000000"/>
                <w:szCs w:val="21"/>
                <w:lang w:val="en-US" w:eastAsia="de-AT" w:bidi="ar-SA"/>
              </w:rPr>
              <w:t>General Data Protection Regulation (</w:t>
            </w:r>
            <w:r w:rsidR="00715D11" w:rsidRPr="003C40CC">
              <w:rPr>
                <w:rFonts w:eastAsia="Times New Roman" w:cs="Calibri"/>
                <w:color w:val="000000"/>
                <w:szCs w:val="21"/>
                <w:lang w:val="en-US" w:eastAsia="de-AT" w:bidi="ar-SA"/>
              </w:rPr>
              <w:t>vgl.</w:t>
            </w:r>
            <w:r w:rsidRPr="003C40CC">
              <w:rPr>
                <w:rFonts w:eastAsia="Times New Roman" w:cs="Calibri"/>
                <w:color w:val="000000"/>
                <w:szCs w:val="21"/>
                <w:lang w:val="en-US" w:eastAsia="de-AT" w:bidi="ar-SA"/>
              </w:rPr>
              <w:t xml:space="preserve"> DSGVO)</w:t>
            </w:r>
          </w:p>
        </w:tc>
      </w:tr>
      <w:tr w:rsidR="00462731" w:rsidRPr="00462731" w14:paraId="55757D8E" w14:textId="77777777" w:rsidTr="00462731">
        <w:trPr>
          <w:trHeight w:val="540"/>
        </w:trPr>
        <w:tc>
          <w:tcPr>
            <w:tcW w:w="1200" w:type="dxa"/>
            <w:shd w:val="clear" w:color="auto" w:fill="auto"/>
            <w:noWrap/>
            <w:hideMark/>
          </w:tcPr>
          <w:p w14:paraId="2456046F"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eastAsia="de-AT" w:bidi="ar-SA"/>
              </w:rPr>
              <w:t>OECD</w:t>
            </w:r>
          </w:p>
        </w:tc>
        <w:tc>
          <w:tcPr>
            <w:tcW w:w="7980" w:type="dxa"/>
            <w:shd w:val="clear" w:color="auto" w:fill="auto"/>
            <w:noWrap/>
            <w:hideMark/>
          </w:tcPr>
          <w:p w14:paraId="12F4D3FE" w14:textId="77777777" w:rsidR="00462731" w:rsidRPr="00462731" w:rsidRDefault="00462731" w:rsidP="00462731">
            <w:pPr>
              <w:spacing w:after="0" w:line="240" w:lineRule="auto"/>
              <w:jc w:val="left"/>
              <w:rPr>
                <w:rFonts w:eastAsia="Times New Roman" w:cs="Calibri"/>
                <w:color w:val="000000"/>
                <w:szCs w:val="21"/>
                <w:lang w:val="de-AT" w:eastAsia="de-AT" w:bidi="ar-SA"/>
              </w:rPr>
            </w:pPr>
            <w:r w:rsidRPr="00462731">
              <w:rPr>
                <w:rFonts w:eastAsia="Times New Roman" w:cs="Calibri"/>
                <w:color w:val="000000"/>
                <w:szCs w:val="21"/>
                <w:lang w:val="de-AT" w:eastAsia="de-AT" w:bidi="ar-SA"/>
              </w:rPr>
              <w:t>Organisation für wirtschaftliche Zusammenarbeit und Entwicklung</w:t>
            </w:r>
          </w:p>
        </w:tc>
      </w:tr>
    </w:tbl>
    <w:p w14:paraId="276F096E" w14:textId="77777777" w:rsidR="00492267" w:rsidRPr="005E0AD5" w:rsidRDefault="00492267" w:rsidP="00492267">
      <w:pPr>
        <w:spacing w:line="300" w:lineRule="auto"/>
        <w:rPr>
          <w:lang w:val="de-AT"/>
        </w:rPr>
      </w:pPr>
    </w:p>
    <w:p w14:paraId="106557BE" w14:textId="77777777" w:rsidR="008D7D86" w:rsidRDefault="008D7D86" w:rsidP="00492267">
      <w:pPr>
        <w:pStyle w:val="berschrift1"/>
        <w:numPr>
          <w:ilvl w:val="0"/>
          <w:numId w:val="0"/>
        </w:numPr>
        <w:ind w:left="432" w:hanging="432"/>
        <w:rPr>
          <w:lang w:val="de-AT"/>
        </w:rPr>
        <w:sectPr w:rsidR="008D7D86" w:rsidSect="008D7D86">
          <w:headerReference w:type="default" r:id="rId8"/>
          <w:pgSz w:w="11906" w:h="16838"/>
          <w:pgMar w:top="1418" w:right="1418" w:bottom="1418" w:left="1418" w:header="709" w:footer="709" w:gutter="0"/>
          <w:pgNumType w:fmt="upperRoman" w:start="1"/>
          <w:cols w:space="708"/>
          <w:docGrid w:linePitch="360"/>
        </w:sectPr>
      </w:pPr>
    </w:p>
    <w:p w14:paraId="69C99926" w14:textId="048F8170" w:rsidR="00A61241" w:rsidRPr="00B81AB2" w:rsidRDefault="00A61241" w:rsidP="00492267">
      <w:pPr>
        <w:pStyle w:val="berschrift1"/>
        <w:numPr>
          <w:ilvl w:val="0"/>
          <w:numId w:val="0"/>
        </w:numPr>
        <w:ind w:left="432" w:hanging="432"/>
        <w:rPr>
          <w:lang w:val="de-AT"/>
        </w:rPr>
      </w:pPr>
      <w:bookmarkStart w:id="5" w:name="_Toc11865302"/>
      <w:r w:rsidRPr="00B81AB2">
        <w:rPr>
          <w:lang w:val="de-AT"/>
        </w:rPr>
        <w:lastRenderedPageBreak/>
        <w:t>Einleitung</w:t>
      </w:r>
      <w:bookmarkEnd w:id="5"/>
    </w:p>
    <w:p w14:paraId="3726006A" w14:textId="1FDA1BD6" w:rsidR="00216795" w:rsidRDefault="00B81AB2" w:rsidP="00216795">
      <w:pPr>
        <w:rPr>
          <w:lang w:val="de-AT"/>
        </w:rPr>
      </w:pPr>
      <w:r>
        <w:rPr>
          <w:lang w:val="de-AT"/>
        </w:rPr>
        <w:t>Das 21. Jahrhundert is</w:t>
      </w:r>
      <w:r w:rsidR="00216795">
        <w:rPr>
          <w:lang w:val="de-AT"/>
        </w:rPr>
        <w:t>t das Zeitalter der Information</w:t>
      </w:r>
      <w:r>
        <w:rPr>
          <w:lang w:val="de-AT"/>
        </w:rPr>
        <w:t>. Daten stellen den größten Schatz von Unternehmen und Konzernen da</w:t>
      </w:r>
      <w:r w:rsidR="00216795">
        <w:rPr>
          <w:lang w:val="de-AT"/>
        </w:rPr>
        <w:t>r</w:t>
      </w:r>
      <w:r>
        <w:rPr>
          <w:lang w:val="de-AT"/>
        </w:rPr>
        <w:t xml:space="preserve">, sie </w:t>
      </w:r>
      <w:r w:rsidR="004C2138">
        <w:rPr>
          <w:lang w:val="de-AT"/>
        </w:rPr>
        <w:t xml:space="preserve">sind </w:t>
      </w:r>
      <w:r w:rsidR="00216795">
        <w:rPr>
          <w:lang w:val="de-AT"/>
        </w:rPr>
        <w:t xml:space="preserve">quasi zu </w:t>
      </w:r>
      <w:r w:rsidR="004C2138">
        <w:rPr>
          <w:lang w:val="de-AT"/>
        </w:rPr>
        <w:t>eine</w:t>
      </w:r>
      <w:r w:rsidR="00216795">
        <w:rPr>
          <w:lang w:val="de-AT"/>
        </w:rPr>
        <w:t>r</w:t>
      </w:r>
      <w:r w:rsidR="004C2138">
        <w:rPr>
          <w:lang w:val="de-AT"/>
        </w:rPr>
        <w:t xml:space="preserve"> moderne</w:t>
      </w:r>
      <w:r w:rsidR="00216795">
        <w:rPr>
          <w:lang w:val="de-AT"/>
        </w:rPr>
        <w:t>n</w:t>
      </w:r>
      <w:r w:rsidR="004C2138">
        <w:rPr>
          <w:lang w:val="de-AT"/>
        </w:rPr>
        <w:t xml:space="preserve"> Handelsware</w:t>
      </w:r>
      <w:r w:rsidR="00216795">
        <w:rPr>
          <w:lang w:val="de-AT"/>
        </w:rPr>
        <w:t xml:space="preserve"> geworden</w:t>
      </w:r>
      <w:r w:rsidR="004C2138">
        <w:rPr>
          <w:lang w:val="de-AT"/>
        </w:rPr>
        <w:t xml:space="preserve">. Unternehmen </w:t>
      </w:r>
      <w:r w:rsidR="00216795">
        <w:rPr>
          <w:lang w:val="de-AT"/>
        </w:rPr>
        <w:t>verarbeiten heute täglich</w:t>
      </w:r>
      <w:r w:rsidR="004C2138">
        <w:rPr>
          <w:lang w:val="de-AT"/>
        </w:rPr>
        <w:t xml:space="preserve"> personenbezogene Daten ihrer Kundinnen und Kunden, ohne Rücksicht auf diese zu nehmen. </w:t>
      </w:r>
      <w:r w:rsidR="00216795">
        <w:rPr>
          <w:lang w:val="de-AT"/>
        </w:rPr>
        <w:t>Durch die Nachlässigkeit oder Trägheit legislativer Institutionen sowohl auf nationaler, als auch europäischer Ebene konnten sich in den l</w:t>
      </w:r>
      <w:r w:rsidR="00527AF7">
        <w:rPr>
          <w:lang w:val="de-AT"/>
        </w:rPr>
        <w:t xml:space="preserve">etzten Jahrzehnten Unternehmen – </w:t>
      </w:r>
      <w:r w:rsidR="00216795">
        <w:rPr>
          <w:lang w:val="de-AT"/>
        </w:rPr>
        <w:t>wie Google oder Facebook</w:t>
      </w:r>
      <w:r w:rsidR="00527AF7">
        <w:rPr>
          <w:lang w:val="de-AT"/>
        </w:rPr>
        <w:t xml:space="preserve"> –</w:t>
      </w:r>
      <w:r w:rsidR="00216795">
        <w:rPr>
          <w:lang w:val="de-AT"/>
        </w:rPr>
        <w:t xml:space="preserve"> relativ ungehindert an den persönlichen Daten nicht sensibilisierter Bürgerinnen und Bürger bereichern und teilweise auch monopolartige Stellungen beziehen.</w:t>
      </w:r>
    </w:p>
    <w:p w14:paraId="424E573D" w14:textId="0D6A91C0" w:rsidR="002A1DBD" w:rsidRDefault="004C2138" w:rsidP="00216795">
      <w:pPr>
        <w:rPr>
          <w:lang w:val="de-AT"/>
        </w:rPr>
      </w:pPr>
      <w:r>
        <w:rPr>
          <w:lang w:val="de-AT"/>
        </w:rPr>
        <w:t>Das Europäische Parlame</w:t>
      </w:r>
      <w:r w:rsidR="00216795">
        <w:rPr>
          <w:lang w:val="de-AT"/>
        </w:rPr>
        <w:t>nt und der Europarat versuchten</w:t>
      </w:r>
      <w:r>
        <w:rPr>
          <w:lang w:val="de-AT"/>
        </w:rPr>
        <w:t xml:space="preserve"> mit einer </w:t>
      </w:r>
      <w:r w:rsidR="00216795">
        <w:rPr>
          <w:lang w:val="de-AT"/>
        </w:rPr>
        <w:t>einheitlichen Verordnung</w:t>
      </w:r>
      <w:r w:rsidR="0017787D">
        <w:rPr>
          <w:lang w:val="de-AT"/>
        </w:rPr>
        <w:t xml:space="preserve"> Rechtsbewusstsein zu schaffen und die Persönlichkeitsrechte europäischer Bürger zu schützen. </w:t>
      </w:r>
      <w:r w:rsidR="00527AF7">
        <w:rPr>
          <w:lang w:val="de-AT"/>
        </w:rPr>
        <w:t xml:space="preserve">Diese Zielsetzung sollte durch die Datenschutzgrundverordnung erreicht werden. </w:t>
      </w:r>
      <w:r w:rsidR="0017787D">
        <w:rPr>
          <w:lang w:val="de-AT"/>
        </w:rPr>
        <w:t>Es stellt sich die Frage, in welchem Ausmaß die Verordnung die erstrebten Ziele in Hinblick auf ihren Umfang, historischen Kontext und in Bezug auf reales Geschäftsgebaren, sowie Rechtsbewusstsein und Ahndung von Vergehen erreichen konnte oder noch erreichen kann.</w:t>
      </w:r>
    </w:p>
    <w:p w14:paraId="4B6ADED2" w14:textId="000DD8EC" w:rsidR="0017787D" w:rsidRDefault="0017787D" w:rsidP="00216795">
      <w:pPr>
        <w:rPr>
          <w:lang w:val="de-AT"/>
        </w:rPr>
      </w:pPr>
      <w:r>
        <w:rPr>
          <w:lang w:val="de-AT"/>
        </w:rPr>
        <w:t>Diese Arbeit befasst sich zur Klärung der vorliegenden Frage zunächst mit den Grundlagen der Verordnung und der Entwicklung einer Notwendigkeit ebenjener. Nach einer Beleuchtung des historischen Kontexts</w:t>
      </w:r>
      <w:r w:rsidR="00216795">
        <w:rPr>
          <w:lang w:val="de-AT"/>
        </w:rPr>
        <w:t xml:space="preserve"> mit abschließendem Zukunftsausblick</w:t>
      </w:r>
      <w:r>
        <w:rPr>
          <w:lang w:val="de-AT"/>
        </w:rPr>
        <w:t xml:space="preserve"> wird der Praxisbezug der Verordnung betrachtet.</w:t>
      </w:r>
      <w:r w:rsidR="00216795">
        <w:rPr>
          <w:lang w:val="de-AT"/>
        </w:rPr>
        <w:t xml:space="preserve"> Es wird versucht, ein Bild der Auswirkungen auf Bürgerinnen und Bürger sowie Unternehmen zu geben.</w:t>
      </w:r>
      <w:r>
        <w:rPr>
          <w:lang w:val="de-AT"/>
        </w:rPr>
        <w:t xml:space="preserve"> Eine Betrachtung der Verordnung und ihrer Durchsetzung aus verschiedenen Perspektiven soll einen weiteren Aspekt der Realitätsnähe abdecken.</w:t>
      </w:r>
    </w:p>
    <w:p w14:paraId="6BB78DD2" w14:textId="0BA795AF" w:rsidR="00216795" w:rsidRDefault="00216795" w:rsidP="00216795">
      <w:pPr>
        <w:rPr>
          <w:lang w:val="de-AT"/>
        </w:rPr>
      </w:pPr>
      <w:r>
        <w:rPr>
          <w:lang w:val="de-AT"/>
        </w:rPr>
        <w:t xml:space="preserve">Das Abschließende Fazit soll eine Antwort auf die initiale Fragestellung „Stellt die Datenschutzgrundverordnung einen wirksamen Schutz der Persönlichkeitsrechte europäischer Bürger dar?“ abgeben und Hinweise auf mögliche Verbesserungspotentiale geben. </w:t>
      </w:r>
    </w:p>
    <w:p w14:paraId="52758538" w14:textId="77777777" w:rsidR="008B4DD6" w:rsidRPr="00B81AB2" w:rsidRDefault="008B4DD6">
      <w:pPr>
        <w:spacing w:after="200" w:line="276" w:lineRule="auto"/>
        <w:jc w:val="left"/>
        <w:rPr>
          <w:b/>
          <w:spacing w:val="5"/>
          <w:sz w:val="30"/>
          <w:szCs w:val="30"/>
          <w:lang w:val="de-AT"/>
        </w:rPr>
      </w:pPr>
      <w:r w:rsidRPr="00B81AB2">
        <w:rPr>
          <w:lang w:val="de-AT"/>
        </w:rPr>
        <w:br w:type="page"/>
      </w:r>
    </w:p>
    <w:p w14:paraId="018488D1" w14:textId="77777777" w:rsidR="002872F8" w:rsidRPr="003518AE" w:rsidRDefault="002D7A47" w:rsidP="00D156F0">
      <w:pPr>
        <w:pStyle w:val="berschrift1"/>
      </w:pPr>
      <w:bookmarkStart w:id="6" w:name="_Toc11865303"/>
      <w:r w:rsidRPr="003518AE">
        <w:lastRenderedPageBreak/>
        <w:t>Grundlagen</w:t>
      </w:r>
      <w:r w:rsidR="000E1E19">
        <w:t xml:space="preserve"> und Begriffserklärungen</w:t>
      </w:r>
      <w:bookmarkEnd w:id="6"/>
    </w:p>
    <w:p w14:paraId="54817ABD" w14:textId="77777777" w:rsidR="00C74CFE" w:rsidRPr="0067307C" w:rsidRDefault="00F6531D" w:rsidP="00C74CFE">
      <w:pPr>
        <w:pStyle w:val="berschrift2"/>
        <w:rPr>
          <w:lang w:val="de-AT"/>
        </w:rPr>
      </w:pPr>
      <w:bookmarkStart w:id="7" w:name="_Toc11865304"/>
      <w:r w:rsidRPr="0067307C">
        <w:rPr>
          <w:lang w:val="de-AT"/>
        </w:rPr>
        <w:t>Notwendigkeit einheitlicher Datenschutzbestimmungen</w:t>
      </w:r>
      <w:bookmarkEnd w:id="7"/>
    </w:p>
    <w:p w14:paraId="064E8313" w14:textId="251B6ED6" w:rsidR="00C74CFE" w:rsidRDefault="00C74CFE" w:rsidP="00C74CFE">
      <w:pPr>
        <w:rPr>
          <w:lang w:val="de-AT"/>
        </w:rPr>
      </w:pPr>
      <w:r>
        <w:rPr>
          <w:lang w:val="de-AT"/>
        </w:rPr>
        <w:t xml:space="preserve">Die Notwendigkeit einheitlicher Datenschutzbestimmungen entwickelte sich primär aus </w:t>
      </w:r>
      <w:r w:rsidR="00D721CA">
        <w:rPr>
          <w:lang w:val="de-AT"/>
        </w:rPr>
        <w:t>dem historischen</w:t>
      </w:r>
      <w:r>
        <w:rPr>
          <w:lang w:val="de-AT"/>
        </w:rPr>
        <w:t xml:space="preserve"> Kontext</w:t>
      </w:r>
      <w:r w:rsidR="003E6364">
        <w:rPr>
          <w:lang w:val="de-AT"/>
        </w:rPr>
        <w:t>,</w:t>
      </w:r>
      <w:r w:rsidR="00D721CA">
        <w:rPr>
          <w:lang w:val="de-AT"/>
        </w:rPr>
        <w:t xml:space="preserve"> aber auch aus Fortschritten technologischer Entwicklung im Bereich digitaler Kommunikation</w:t>
      </w:r>
      <w:r>
        <w:rPr>
          <w:lang w:val="de-AT"/>
        </w:rPr>
        <w:t xml:space="preserve">. Die historische Entwicklung europäischer Datenschutz-Regulierung kann Kapitel </w:t>
      </w:r>
      <w:r w:rsidR="00E51202">
        <w:rPr>
          <w:lang w:val="de-AT"/>
        </w:rPr>
        <w:t>2</w:t>
      </w:r>
      <w:r>
        <w:rPr>
          <w:lang w:val="de-AT"/>
        </w:rPr>
        <w:t xml:space="preserve"> entnommen werden, in welchem auf einzelne Bestimmungen im Detail eingegangen wird.</w:t>
      </w:r>
      <w:r w:rsidR="00D721CA">
        <w:rPr>
          <w:lang w:val="de-AT"/>
        </w:rPr>
        <w:t xml:space="preserve"> </w:t>
      </w:r>
    </w:p>
    <w:p w14:paraId="0D0729C0" w14:textId="68447297" w:rsidR="00526065" w:rsidRDefault="006D5932" w:rsidP="00C74CFE">
      <w:pPr>
        <w:rPr>
          <w:lang w:val="de-AT"/>
        </w:rPr>
      </w:pPr>
      <w:r>
        <w:rPr>
          <w:lang w:val="de-AT"/>
        </w:rPr>
        <w:t xml:space="preserve">Grundsätzlich entstand </w:t>
      </w:r>
      <w:r w:rsidR="003E6364">
        <w:rPr>
          <w:lang w:val="de-AT"/>
        </w:rPr>
        <w:t>eine innereuropäische</w:t>
      </w:r>
      <w:r>
        <w:rPr>
          <w:lang w:val="de-AT"/>
        </w:rPr>
        <w:t xml:space="preserve"> Notwendigkeit nach dem Verständnis europäischer Rechtsvertreter </w:t>
      </w:r>
      <w:r w:rsidR="001A6D61">
        <w:rPr>
          <w:lang w:val="de-AT"/>
        </w:rPr>
        <w:t xml:space="preserve">historisch </w:t>
      </w:r>
      <w:r>
        <w:rPr>
          <w:lang w:val="de-AT"/>
        </w:rPr>
        <w:t xml:space="preserve">aus </w:t>
      </w:r>
      <w:r w:rsidR="00F74F02">
        <w:rPr>
          <w:lang w:val="de-AT"/>
        </w:rPr>
        <w:t xml:space="preserve">einer potentiellen </w:t>
      </w:r>
      <w:r>
        <w:rPr>
          <w:lang w:val="de-AT"/>
        </w:rPr>
        <w:t>Verletzung europäischer Grundrechte nach Artikel 8 der Grundrechtscharta</w:t>
      </w:r>
      <w:r w:rsidR="00F74F02">
        <w:rPr>
          <w:lang w:val="de-AT"/>
        </w:rPr>
        <w:t xml:space="preserve"> </w:t>
      </w:r>
      <w:r w:rsidR="00F74F02">
        <w:rPr>
          <w:lang w:val="de-AT"/>
        </w:rPr>
        <w:fldChar w:fldCharType="begin"/>
      </w:r>
      <w:r w:rsidR="00F74F02">
        <w:rPr>
          <w:lang w:val="de-AT"/>
        </w:rPr>
        <w:instrText xml:space="preserve"> ADDIN EN.CITE &lt;EndNote&gt;&lt;Cite&gt;&lt;Author&gt;Europarat&lt;/Author&gt;&lt;Year&gt;1968&lt;/Year&gt;&lt;IDText&gt;Recommendation 509 (1968) - Human rights and modern scientific and technological developments&lt;/IDText&gt;&lt;DisplayText&gt;(Europarat, 1968)&lt;/DisplayText&gt;&lt;record&gt;&lt;urls&gt;&lt;related-urls&gt;&lt;url&gt;http://semantic-pace.net/tools/pdf.aspx?doc=aHR0cDovL2Fzc2VtYmx5LmNvZS5pbnQvbncveG1sL1hSZWYvWDJILURXLWV4dHIuYXNwP2ZpbGVpZD0xNDU0NiZsYW5nPUVO&amp;amp;xsl=aHR0cDovL3NlbWFudGljcGFjZS5uZXQvWHNsdC9QZGYvWFJlZi1XRC1BVC1YTUwyUERGLnhzbA==&amp;amp;xsltparams=ZmlsZWlkPTE0NTQ2&lt;/url&gt;&lt;/related-urls&gt;&lt;/urls&gt;&lt;titles&gt;&lt;title&gt;Recommendation 509 (1968) - Human rights and modern scientific and technological developments&lt;/title&gt;&lt;/titles&gt;&lt;contributors&gt;&lt;authors&gt;&lt;author&gt;Europarat&lt;/author&gt;&lt;/authors&gt;&lt;/contributors&gt;&lt;added-date format="utc"&gt;1559662173&lt;/added-date&gt;&lt;ref-type name="Journal Article"&gt;17&lt;/ref-type&gt;&lt;dates&gt;&lt;year&gt;1968&lt;/year&gt;&lt;/dates&gt;&lt;rec-number&gt;63&lt;/rec-number&gt;&lt;last-updated-date format="utc"&gt;1560166609&lt;/last-updated-date&gt;&lt;/record&gt;&lt;/Cite&gt;&lt;/EndNote&gt;</w:instrText>
      </w:r>
      <w:r w:rsidR="00F74F02">
        <w:rPr>
          <w:lang w:val="de-AT"/>
        </w:rPr>
        <w:fldChar w:fldCharType="separate"/>
      </w:r>
      <w:r w:rsidR="00F74F02">
        <w:rPr>
          <w:noProof/>
          <w:lang w:val="de-AT"/>
        </w:rPr>
        <w:t>(Europarat, 1968)</w:t>
      </w:r>
      <w:r w:rsidR="00F74F02">
        <w:rPr>
          <w:lang w:val="de-AT"/>
        </w:rPr>
        <w:fldChar w:fldCharType="end"/>
      </w:r>
      <w:r>
        <w:rPr>
          <w:lang w:val="de-AT"/>
        </w:rPr>
        <w:t>.</w:t>
      </w:r>
      <w:r w:rsidR="00F74F02">
        <w:rPr>
          <w:lang w:val="de-AT"/>
        </w:rPr>
        <w:t xml:space="preserve"> Die Europäische Kommission </w:t>
      </w:r>
      <w:r w:rsidR="00F74F02">
        <w:rPr>
          <w:lang w:val="de-AT"/>
        </w:rPr>
        <w:fldChar w:fldCharType="begin"/>
      </w:r>
      <w:r w:rsidR="00D255BA">
        <w:rPr>
          <w:lang w:val="de-AT"/>
        </w:rPr>
        <w:instrText xml:space="preserve"> ADDIN EN.CITE &lt;EndNote&gt;&lt;Cite ExcludeAuth="1"&gt;&lt;Author&gt;Europäische Kommission&lt;/Author&gt;&lt;Year&gt;1990&lt;/Year&gt;&lt;IDText&gt;Vorschlag für eine Richtlinie des Rates zum Schutz von Personen bei der Verarbeitung&lt;/IDText&gt;&lt;DisplayText&gt;(1990b)&lt;/DisplayText&gt;&lt;record&gt;&lt;urls&gt;&lt;related-urls&gt;&lt;url&gt;https://eur-lex.europa.eu/legal-content/DE/TXT/PDF/?uri=CELEX:51990PC0314(01)&lt;/url&gt;&lt;/related-urls&gt;&lt;/urls&gt;&lt;titles&gt;&lt;title&gt;Vorschlag für eine Richtlinie des Rates zum Schutz von Personen bei der Verarbeitung&amp;#xA;personenbezogener Daten&lt;/title&gt;&lt;/titles&gt;&lt;pages&gt;3-12&lt;/pages&gt;&lt;access-date&gt;1.6.2019&lt;/access-date&gt;&lt;contributors&gt;&lt;authors&gt;&lt;author&gt;Europäische Kommission,&lt;/author&gt;&lt;/authors&gt;&lt;/contributors&gt;&lt;added-date format="utc"&gt;1560004359&lt;/added-date&gt;&lt;ref-type name="Generic"&gt;13&lt;/ref-type&gt;&lt;dates&gt;&lt;year&gt;1990&lt;/year&gt;&lt;/dates&gt;&lt;rec-number&gt;73&lt;/rec-number&gt;&lt;publisher&gt;Amtsblatt der Europäischen Gemeinschaften&lt;/publisher&gt;&lt;last-updated-date format="utc"&gt;1560006499&lt;/last-updated-date&gt;&lt;volume&gt;C 277&lt;/volume&gt;&lt;/record&gt;&lt;/Cite&gt;&lt;/EndNote&gt;</w:instrText>
      </w:r>
      <w:r w:rsidR="00F74F02">
        <w:rPr>
          <w:lang w:val="de-AT"/>
        </w:rPr>
        <w:fldChar w:fldCharType="separate"/>
      </w:r>
      <w:r w:rsidR="00D255BA">
        <w:rPr>
          <w:noProof/>
          <w:lang w:val="de-AT"/>
        </w:rPr>
        <w:t>(1990b)</w:t>
      </w:r>
      <w:r w:rsidR="00F74F02">
        <w:rPr>
          <w:lang w:val="de-AT"/>
        </w:rPr>
        <w:fldChar w:fldCharType="end"/>
      </w:r>
      <w:r w:rsidR="00F74F02">
        <w:rPr>
          <w:lang w:val="de-AT"/>
        </w:rPr>
        <w:t xml:space="preserve"> sieht auch eine wirtschaftliche Notwendigkeit für einheitliche Datenschutzregelungen, da ungleiche Bestimmungen den Wettbewerb verzerren könnten. </w:t>
      </w:r>
    </w:p>
    <w:p w14:paraId="51F6FF44" w14:textId="7168F63E" w:rsidR="00F74F02" w:rsidRDefault="00F74F02" w:rsidP="00C74CFE">
      <w:pPr>
        <w:rPr>
          <w:lang w:val="de-AT"/>
        </w:rPr>
      </w:pPr>
      <w:r>
        <w:rPr>
          <w:lang w:val="de-AT"/>
        </w:rPr>
        <w:t>Netz- und Demokratieaktivisten sehen die Notwendigkeit von Datenschutz</w:t>
      </w:r>
      <w:r w:rsidR="00694FFB">
        <w:rPr>
          <w:lang w:val="de-AT"/>
        </w:rPr>
        <w:t xml:space="preserve">bestimmungen primär aufgrund wachsender </w:t>
      </w:r>
      <w:r>
        <w:rPr>
          <w:lang w:val="de-AT"/>
        </w:rPr>
        <w:t>Datensam</w:t>
      </w:r>
      <w:r w:rsidR="00694FFB">
        <w:rPr>
          <w:lang w:val="de-AT"/>
        </w:rPr>
        <w:t>mel-Raten</w:t>
      </w:r>
      <w:r>
        <w:rPr>
          <w:lang w:val="de-AT"/>
        </w:rPr>
        <w:t xml:space="preserve"> staatlicher und privatwirtschaftlicher Institutionen. Sie sehen dabei unter anderem die individuelle Freiheit und Unversehrtheit bedroht.  Der US-amerikanische Whistleblower Edward Snowden </w:t>
      </w:r>
      <w:r w:rsidR="003E6364">
        <w:rPr>
          <w:lang w:val="de-AT"/>
        </w:rPr>
        <w:t>beispielsweise tätigte</w:t>
      </w:r>
      <w:r>
        <w:rPr>
          <w:lang w:val="de-AT"/>
        </w:rPr>
        <w:t xml:space="preserve"> seine </w:t>
      </w:r>
      <w:r w:rsidR="003E6364">
        <w:rPr>
          <w:lang w:val="de-AT"/>
        </w:rPr>
        <w:t xml:space="preserve">weltweit </w:t>
      </w:r>
      <w:r>
        <w:rPr>
          <w:lang w:val="de-AT"/>
        </w:rPr>
        <w:t>bekannten Enthüllungen etwa unter anderem</w:t>
      </w:r>
      <w:r w:rsidR="003E6364">
        <w:rPr>
          <w:lang w:val="de-AT"/>
        </w:rPr>
        <w:t>,</w:t>
      </w:r>
      <w:r>
        <w:rPr>
          <w:lang w:val="de-AT"/>
        </w:rPr>
        <w:t xml:space="preserve"> </w:t>
      </w:r>
      <w:r w:rsidR="003E6364">
        <w:rPr>
          <w:lang w:val="de-AT"/>
        </w:rPr>
        <w:t xml:space="preserve">da der US-Geheimdienst NSA (National Security Agency) umfassende Datensätze über jeden Bürger/jede Bürgerin der Welt sammelt. Laut eigener Aussage  wolle er nicht in einer Welt zu leben, in der alles, was er sagte oder täte aufgezeichnet würde </w:t>
      </w:r>
      <w:r w:rsidR="003E6364">
        <w:rPr>
          <w:lang w:val="de-AT"/>
        </w:rPr>
        <w:fldChar w:fldCharType="begin"/>
      </w:r>
      <w:r w:rsidR="003E6364">
        <w:rPr>
          <w:lang w:val="de-AT"/>
        </w:rPr>
        <w:instrText xml:space="preserve"> ADDIN EN.CITE &lt;EndNote&gt;&lt;Cite&gt;&lt;Author&gt;MacAskill&lt;/Author&gt;&lt;Year&gt;2013&lt;/Year&gt;&lt;IDText&gt;Edward Snowden, NSA file source: &amp;apos;If they want to get you, in time they will&amp;apos;&lt;/IDText&gt;&lt;DisplayText&gt;(MacAskill, 2013)&lt;/DisplayText&gt;&lt;record&gt;&lt;dates&gt;&lt;pub-dates&gt;&lt;date&gt;09.6.2013&lt;/date&gt;&lt;/pub-dates&gt;&lt;year&gt;2013&lt;/year&gt;&lt;/dates&gt;&lt;urls&gt;&lt;related-urls&gt;&lt;url&gt;https://www.theguardian.com/world/2013/jun/09/nsa-whistleblower-edward-snowden-why&lt;/url&gt;&lt;/related-urls&gt;&lt;/urls&gt;&lt;titles&gt;&lt;title&gt;Edward Snowden, NSA file source: &amp;apos;If they want to get you, in time they will&amp;apos;&lt;/title&gt;&lt;/titles&gt;&lt;access-date&gt;27.4.2019&lt;/access-date&gt;&lt;contributors&gt;&lt;authors&gt;&lt;author&gt;MacAskill, Ewen&lt;/author&gt;&lt;/authors&gt;&lt;/contributors&gt;&lt;added-date format="utc"&gt;1560182567&lt;/added-date&gt;&lt;ref-type name="Newspaper Article"&gt;23&lt;/ref-type&gt;&lt;rec-number&gt;87&lt;/rec-number&gt;&lt;last-updated-date format="utc"&gt;1560182668&lt;/last-updated-date&gt;&lt;/record&gt;&lt;/Cite&gt;&lt;/EndNote&gt;</w:instrText>
      </w:r>
      <w:r w:rsidR="003E6364">
        <w:rPr>
          <w:lang w:val="de-AT"/>
        </w:rPr>
        <w:fldChar w:fldCharType="separate"/>
      </w:r>
      <w:r w:rsidR="003E6364">
        <w:rPr>
          <w:noProof/>
          <w:lang w:val="de-AT"/>
        </w:rPr>
        <w:t>(MacAskill, 2013)</w:t>
      </w:r>
      <w:r w:rsidR="003E6364">
        <w:rPr>
          <w:lang w:val="de-AT"/>
        </w:rPr>
        <w:fldChar w:fldCharType="end"/>
      </w:r>
      <w:r w:rsidR="003E6364">
        <w:rPr>
          <w:lang w:val="de-AT"/>
        </w:rPr>
        <w:t>.</w:t>
      </w:r>
      <w:r w:rsidR="00694FFB">
        <w:rPr>
          <w:lang w:val="de-AT"/>
        </w:rPr>
        <w:t xml:space="preserve"> </w:t>
      </w:r>
    </w:p>
    <w:p w14:paraId="62BBA221" w14:textId="0FE87026" w:rsidR="001A6D61" w:rsidRDefault="001A6D61" w:rsidP="00C74CFE">
      <w:pPr>
        <w:rPr>
          <w:lang w:val="de-AT"/>
        </w:rPr>
      </w:pPr>
      <w:r>
        <w:rPr>
          <w:lang w:val="de-AT"/>
        </w:rPr>
        <w:t xml:space="preserve">Skandale wie die NSA-Affäre 2013 oder die </w:t>
      </w:r>
      <w:r w:rsidR="00855B04">
        <w:rPr>
          <w:lang w:val="de-AT"/>
        </w:rPr>
        <w:t xml:space="preserve">Enthüllungen um Cambridge Analytica im Zuge der US-Präsidentschaftswahl und Brexit (Großbritanniens </w:t>
      </w:r>
      <w:r w:rsidR="00EE68B6">
        <w:rPr>
          <w:lang w:val="de-AT"/>
        </w:rPr>
        <w:t>EU-</w:t>
      </w:r>
      <w:r w:rsidR="00855B04">
        <w:rPr>
          <w:lang w:val="de-AT"/>
        </w:rPr>
        <w:t>Austrittsvotum und der dazugehörige Wahlkampf) bestärkten die Forderungen nach einheitlichen Datenschutzrichtlinien und einer Einschränkung der Verarbeitung weiter. Cambridge Analytica hatte zuvor</w:t>
      </w:r>
      <w:r w:rsidR="005738DB">
        <w:rPr>
          <w:lang w:val="de-AT"/>
        </w:rPr>
        <w:t xml:space="preserve"> mit Hilfe eines Persönlichkeitstests </w:t>
      </w:r>
      <w:r w:rsidR="00855B04">
        <w:rPr>
          <w:lang w:val="de-AT"/>
        </w:rPr>
        <w:t xml:space="preserve">psychologische Profile </w:t>
      </w:r>
      <w:r w:rsidR="005738DB">
        <w:rPr>
          <w:lang w:val="de-AT"/>
        </w:rPr>
        <w:t xml:space="preserve">von NutzerInnen erstellt und von Facebook persönliche Daten (die einzelne Personen identifizierbar machten) von über 87 Millionen NutzerInnen erhalten </w:t>
      </w:r>
      <w:r w:rsidR="005738DB">
        <w:rPr>
          <w:lang w:val="de-AT"/>
        </w:rPr>
        <w:fldChar w:fldCharType="begin"/>
      </w:r>
      <w:r w:rsidR="005738DB">
        <w:rPr>
          <w:lang w:val="de-AT"/>
        </w:rPr>
        <w:instrText xml:space="preserve"> ADDIN EN.CITE &lt;EndNote&gt;&lt;Cite&gt;&lt;Author&gt;Isaak&lt;/Author&gt;&lt;Year&gt;2018&lt;/Year&gt;&lt;IDText&gt;User Data Privacy: Facebook, Cambridge Analytica, and Privacy Protection&lt;/IDText&gt;&lt;DisplayText&gt;(Isaak &amp;amp; Hanna, 2018)&lt;/DisplayText&gt;&lt;record&gt;&lt;keywords&gt;&lt;keyword&gt;Data Privacy&lt;/keyword&gt;&lt;keyword&gt;Facebook&lt;/keyword&gt;&lt;keyword&gt;Cambridge Analytica&lt;/keyword&gt;&lt;keyword&gt;User Data Privacy&lt;/keyword&gt;&lt;keyword&gt;Privacy Protection&lt;/keyword&gt;&lt;keyword&gt;The Policy Corner&lt;/keyword&gt;&lt;keyword&gt;Internet/Web Technologies&lt;/keyword&gt;&lt;keyword&gt;Security&lt;/keyword&gt;&lt;keyword&gt;Online Security&lt;/keyword&gt;&lt;keyword&gt;Data Security&lt;/keyword&gt;&lt;keyword&gt;Privacy&lt;/keyword&gt;&lt;keyword&gt;Cybercrime&lt;/keyword&gt;&lt;keyword&gt;Social Media&lt;/keyword&gt;&lt;keyword&gt;Pii&lt;/keyword&gt;&lt;keyword&gt;Personally Identifiable Information&lt;/keyword&gt;&lt;keyword&gt;Engineering&lt;/keyword&gt;&lt;keyword&gt;Computer Science&lt;/keyword&gt;&lt;/keywords&gt;&lt;isbn&gt;0018-9162&lt;/isbn&gt;&lt;titles&gt;&lt;title&gt;User Data Privacy: Facebook, Cambridge Analytica, and Privacy Protection&lt;/title&gt;&lt;secondary-title&gt;Computer&lt;/secondary-title&gt;&lt;/titles&gt;&lt;pages&gt;56-59&lt;/pages&gt;&lt;number&gt;8&lt;/number&gt;&lt;contributors&gt;&lt;authors&gt;&lt;author&gt;Isaak, Jim&lt;/author&gt;&lt;author&gt;Hanna, Mina J.&lt;/author&gt;&lt;/authors&gt;&lt;/contributors&gt;&lt;added-date format="utc"&gt;1560526355&lt;/added-date&gt;&lt;ref-type name="Journal Article"&gt;17&lt;/ref-type&gt;&lt;dates&gt;&lt;year&gt;2018&lt;/year&gt;&lt;/dates&gt;&lt;rec-number&gt;95&lt;/rec-number&gt;&lt;last-updated-date format="utc"&gt;1560526355&lt;/last-updated-date&gt;&lt;electronic-resource-num&gt;10.1109/MC.2018.3191268&lt;/electronic-resource-num&gt;&lt;volume&gt;51&lt;/volume&gt;&lt;/record&gt;&lt;/Cite&gt;&lt;/EndNote&gt;</w:instrText>
      </w:r>
      <w:r w:rsidR="005738DB">
        <w:rPr>
          <w:lang w:val="de-AT"/>
        </w:rPr>
        <w:fldChar w:fldCharType="separate"/>
      </w:r>
      <w:r w:rsidR="005738DB">
        <w:rPr>
          <w:noProof/>
          <w:lang w:val="de-AT"/>
        </w:rPr>
        <w:t>(Isaak &amp; Hanna, 2018)</w:t>
      </w:r>
      <w:r w:rsidR="005738DB">
        <w:rPr>
          <w:lang w:val="de-AT"/>
        </w:rPr>
        <w:fldChar w:fldCharType="end"/>
      </w:r>
      <w:r w:rsidR="00292412">
        <w:rPr>
          <w:lang w:val="de-AT"/>
        </w:rPr>
        <w:t>. Dieser</w:t>
      </w:r>
      <w:r w:rsidR="005738DB">
        <w:rPr>
          <w:lang w:val="de-AT"/>
        </w:rPr>
        <w:t xml:space="preserve"> von v</w:t>
      </w:r>
      <w:r w:rsidR="00292412">
        <w:rPr>
          <w:lang w:val="de-AT"/>
        </w:rPr>
        <w:t>ielen als skrupellos empfundene</w:t>
      </w:r>
      <w:r w:rsidR="005738DB">
        <w:rPr>
          <w:lang w:val="de-AT"/>
        </w:rPr>
        <w:t xml:space="preserve"> Umgang mit Nutzerdaten erzeugte einen globalen Aufschrei und die Forderung nach strengeren Gesetzen.</w:t>
      </w:r>
    </w:p>
    <w:p w14:paraId="38DD4389" w14:textId="6A07FD35" w:rsidR="00694FFB" w:rsidRDefault="00694FFB" w:rsidP="00C74CFE">
      <w:pPr>
        <w:rPr>
          <w:lang w:val="de-AT"/>
        </w:rPr>
      </w:pPr>
      <w:r>
        <w:rPr>
          <w:lang w:val="de-AT"/>
        </w:rPr>
        <w:lastRenderedPageBreak/>
        <w:t xml:space="preserve">Während politische Aktivisten die öffentliche Datenverarbeitung regulieren möchten, sehen Vereine wie </w:t>
      </w:r>
      <w:r w:rsidR="00DB6FD0">
        <w:rPr>
          <w:lang w:val="de-AT"/>
        </w:rPr>
        <w:t>„</w:t>
      </w:r>
      <w:r w:rsidRPr="00DB6FD0">
        <w:rPr>
          <w:lang w:val="de-AT"/>
        </w:rPr>
        <w:t xml:space="preserve">NOYB – </w:t>
      </w:r>
      <w:r w:rsidR="00DB6FD0">
        <w:rPr>
          <w:lang w:val="de-AT"/>
        </w:rPr>
        <w:t>E</w:t>
      </w:r>
      <w:r w:rsidRPr="00DB6FD0">
        <w:rPr>
          <w:lang w:val="de-AT"/>
        </w:rPr>
        <w:t>uropäisches Zentrum für digitale Rechte</w:t>
      </w:r>
      <w:r w:rsidR="00DB6FD0">
        <w:rPr>
          <w:lang w:val="de-AT"/>
        </w:rPr>
        <w:t>“</w:t>
      </w:r>
      <w:r>
        <w:rPr>
          <w:lang w:val="de-AT"/>
        </w:rPr>
        <w:t xml:space="preserve"> Eingriffsversuche in die Privatsphäre von Unternehmen prinzipiell kritisch und mö</w:t>
      </w:r>
      <w:r w:rsidR="00C778AE">
        <w:rPr>
          <w:lang w:val="de-AT"/>
        </w:rPr>
        <w:t>chten diese möglichst minimieren. Sie nutzen daher geltendes Recht, um Unternehmen zu Rechtskonformität zu bewegen</w:t>
      </w:r>
      <w:r w:rsidR="00DB6FD0">
        <w:rPr>
          <w:lang w:val="de-AT"/>
        </w:rPr>
        <w:t xml:space="preserve"> </w:t>
      </w:r>
      <w:r w:rsidR="00DB6FD0">
        <w:rPr>
          <w:lang w:val="de-AT"/>
        </w:rPr>
        <w:fldChar w:fldCharType="begin"/>
      </w:r>
      <w:r w:rsidR="00DB6FD0">
        <w:rPr>
          <w:lang w:val="de-AT"/>
        </w:rPr>
        <w:instrText xml:space="preserve"> ADDIN EN.CITE &lt;EndNote&gt;&lt;Cite&gt;&lt;Author&gt;NOYB&lt;/Author&gt;&lt;Year&gt;2019&lt;/Year&gt;&lt;IDText&gt;FAQs&lt;/IDText&gt;&lt;DisplayText&gt;(NOYB, 2019b)&lt;/DisplayText&gt;&lt;record&gt;&lt;urls&gt;&lt;related-urls&gt;&lt;url&gt;https://noyb.eu/faqs/?lang=de&lt;/url&gt;&lt;/related-urls&gt;&lt;/urls&gt;&lt;custom2&gt;5.6.2019&lt;/custom2&gt;&lt;titles&gt;&lt;title&gt;FAQs&lt;/title&gt;&lt;/titles&gt;&lt;number&gt;5.6.2019&lt;/number&gt;&lt;contributors&gt;&lt;authors&gt;&lt;author&gt;NOYB&lt;/author&gt;&lt;/authors&gt;&lt;/contributors&gt;&lt;added-date format="utc"&gt;1560183539&lt;/added-date&gt;&lt;ref-type name="Web Page"&gt;12&lt;/ref-type&gt;&lt;dates&gt;&lt;year&gt;2019&lt;/year&gt;&lt;/dates&gt;&lt;rec-number&gt;88&lt;/rec-number&gt;&lt;publisher&gt;NOYB - Europäisches Zentrum für digitale Rechte&lt;/publisher&gt;&lt;last-updated-date format="utc"&gt;1560679727&lt;/last-updated-date&gt;&lt;/record&gt;&lt;/Cite&gt;&lt;/EndNote&gt;</w:instrText>
      </w:r>
      <w:r w:rsidR="00DB6FD0">
        <w:rPr>
          <w:lang w:val="de-AT"/>
        </w:rPr>
        <w:fldChar w:fldCharType="separate"/>
      </w:r>
      <w:r w:rsidR="00DB6FD0">
        <w:rPr>
          <w:noProof/>
          <w:lang w:val="de-AT"/>
        </w:rPr>
        <w:t>(NOYB, 2019b)</w:t>
      </w:r>
      <w:r w:rsidR="00DB6FD0">
        <w:rPr>
          <w:lang w:val="de-AT"/>
        </w:rPr>
        <w:fldChar w:fldCharType="end"/>
      </w:r>
      <w:r>
        <w:rPr>
          <w:lang w:val="de-AT"/>
        </w:rPr>
        <w:t>.</w:t>
      </w:r>
    </w:p>
    <w:p w14:paraId="5474B2C2" w14:textId="582BB53B" w:rsidR="007F7220" w:rsidRDefault="00C778AE" w:rsidP="00C74CFE">
      <w:pPr>
        <w:rPr>
          <w:lang w:val="de-AT"/>
        </w:rPr>
      </w:pPr>
      <w:r>
        <w:rPr>
          <w:lang w:val="de-AT"/>
        </w:rPr>
        <w:t>Es kann angenommen werden, dass eine einheitliche Regulierung datenschutzrechtlicher Sachverhalte als demokratischer Konsens für ein funktionierendes gesellschaftliches Zusammenleben in einem sich stetig transformierenden digitalen Zeitalter eine geeignete Basis für fundierte Entscheidungen und zur Regulierung von staatlichen und privatwirtschaftlichen Unternehmungen darstellt</w:t>
      </w:r>
      <w:r w:rsidR="007D563D">
        <w:rPr>
          <w:lang w:val="de-AT"/>
        </w:rPr>
        <w:t xml:space="preserve">. </w:t>
      </w:r>
      <w:r w:rsidR="009A700F">
        <w:rPr>
          <w:lang w:val="de-AT"/>
        </w:rPr>
        <w:t>Aufgrund der vorliegenden Annahme</w:t>
      </w:r>
      <w:r w:rsidR="007D563D">
        <w:rPr>
          <w:lang w:val="de-AT"/>
        </w:rPr>
        <w:t xml:space="preserve"> darf und muss die Frage aufgeworfen und</w:t>
      </w:r>
      <w:r w:rsidR="009A700F">
        <w:rPr>
          <w:lang w:val="de-AT"/>
        </w:rPr>
        <w:t xml:space="preserve"> – </w:t>
      </w:r>
      <w:r w:rsidR="007D563D">
        <w:rPr>
          <w:lang w:val="de-AT"/>
        </w:rPr>
        <w:t>wenn möglich</w:t>
      </w:r>
      <w:r w:rsidR="009A700F">
        <w:rPr>
          <w:lang w:val="de-AT"/>
        </w:rPr>
        <w:t xml:space="preserve"> –</w:t>
      </w:r>
      <w:r w:rsidR="007D563D">
        <w:rPr>
          <w:lang w:val="de-AT"/>
        </w:rPr>
        <w:t xml:space="preserve"> beantwortet</w:t>
      </w:r>
      <w:r w:rsidR="009A700F">
        <w:rPr>
          <w:lang w:val="de-AT"/>
        </w:rPr>
        <w:t xml:space="preserve"> werden, ob die europäische Datenschutzgrundverordnung einen wirksamen Schutzmechanismus für Bürgerinnen </w:t>
      </w:r>
      <w:r w:rsidR="008A7358">
        <w:rPr>
          <w:lang w:val="de-AT"/>
        </w:rPr>
        <w:t xml:space="preserve">und Bürger </w:t>
      </w:r>
      <w:r w:rsidR="009A700F">
        <w:rPr>
          <w:lang w:val="de-AT"/>
        </w:rPr>
        <w:t>der europäischen Union und des Europäischen Wirtschaftsraumes darstellt.</w:t>
      </w:r>
    </w:p>
    <w:p w14:paraId="52C9DCC9" w14:textId="77777777" w:rsidR="0058201E" w:rsidRDefault="0058201E" w:rsidP="00C74CFE">
      <w:pPr>
        <w:rPr>
          <w:lang w:val="de-AT"/>
        </w:rPr>
      </w:pPr>
    </w:p>
    <w:p w14:paraId="18547F5D" w14:textId="53B7E6B6" w:rsidR="009321C6" w:rsidRPr="00E51202" w:rsidRDefault="009321C6" w:rsidP="009321C6">
      <w:pPr>
        <w:pStyle w:val="berschrift2"/>
        <w:rPr>
          <w:lang w:val="de-AT"/>
        </w:rPr>
      </w:pPr>
      <w:bookmarkStart w:id="8" w:name="_Toc11865305"/>
      <w:r w:rsidRPr="00E51202">
        <w:rPr>
          <w:lang w:val="de-AT"/>
        </w:rPr>
        <w:t>Grundlagen der Datenschutzgrundverordnung</w:t>
      </w:r>
      <w:r w:rsidR="007749D6" w:rsidRPr="00E51202">
        <w:rPr>
          <w:lang w:val="de-AT"/>
        </w:rPr>
        <w:t xml:space="preserve"> (DSGVO)</w:t>
      </w:r>
      <w:bookmarkEnd w:id="8"/>
    </w:p>
    <w:p w14:paraId="28678268" w14:textId="33AD90E5" w:rsidR="007F7220" w:rsidRDefault="00E51202" w:rsidP="00E51202">
      <w:pPr>
        <w:rPr>
          <w:lang w:val="de-AT"/>
        </w:rPr>
      </w:pPr>
      <w:r w:rsidRPr="00E51202">
        <w:rPr>
          <w:lang w:val="de-AT"/>
        </w:rPr>
        <w:t>Dieses Kapitel bezieht sich auf den Inhalt der geltenden Fassung der europäischen Date</w:t>
      </w:r>
      <w:r>
        <w:rPr>
          <w:lang w:val="de-AT"/>
        </w:rPr>
        <w:t>nschutzgrundverordnung. Die in Kapitel 2 verwendeten Begriffe stellen die historische Grundlage, jedoch nicht zwingend die Definition der hier erklärten Begriffe dar, da diese sich im Laufe der Zeit verändert haben können. Für die aktuelle Rechtslage in den darauffolgenden Kapiteln sind die hier verwendeten Definitionen gültig.</w:t>
      </w:r>
    </w:p>
    <w:p w14:paraId="249C6FF1" w14:textId="77777777" w:rsidR="00861B73" w:rsidRDefault="00861B73" w:rsidP="00E51202">
      <w:pPr>
        <w:rPr>
          <w:lang w:val="de-AT"/>
        </w:rPr>
      </w:pPr>
    </w:p>
    <w:p w14:paraId="7CA6D5EB" w14:textId="77777777" w:rsidR="009321C6" w:rsidRDefault="009321C6" w:rsidP="009321C6">
      <w:pPr>
        <w:pStyle w:val="berschrift3"/>
        <w:rPr>
          <w:lang w:val="de-AT"/>
        </w:rPr>
      </w:pPr>
      <w:bookmarkStart w:id="9" w:name="_Toc11865306"/>
      <w:r>
        <w:rPr>
          <w:lang w:val="de-AT"/>
        </w:rPr>
        <w:t>Geltungsbereich, Anwendung und Umsetzung</w:t>
      </w:r>
      <w:bookmarkEnd w:id="9"/>
    </w:p>
    <w:p w14:paraId="511AB500" w14:textId="0078E518" w:rsidR="007749D6" w:rsidRDefault="0070229F" w:rsidP="007749D6">
      <w:pPr>
        <w:rPr>
          <w:lang w:val="de-AT"/>
        </w:rPr>
      </w:pPr>
      <w:r>
        <w:rPr>
          <w:lang w:val="de-AT"/>
        </w:rPr>
        <w:t>Die europäische Datenschutzgrundverordnung</w:t>
      </w:r>
      <w:r w:rsidR="0059786D">
        <w:rPr>
          <w:lang w:val="de-AT"/>
        </w:rPr>
        <w:t>, im Volltitel „</w:t>
      </w:r>
      <w:r w:rsidR="0059786D" w:rsidRPr="0059786D">
        <w:rPr>
          <w:lang w:val="de-AT"/>
        </w:rPr>
        <w:t xml:space="preserve">Verordnung (EU) 2016/679 des Europäischen Parlaments und des Rates vom 27. April 2016 zum Schutz natürlicher Personen bei der Verarbeitung personenbezogener Daten, zum freien Datenverkehr und zur Aufhebung der Richtlinie 95/46/EG (Datenschutz-Grundverordnung)“ </w:t>
      </w:r>
      <w:r>
        <w:rPr>
          <w:lang w:val="de-AT"/>
        </w:rPr>
        <w:t xml:space="preserve">, </w:t>
      </w:r>
      <w:r w:rsidR="003C40CC">
        <w:rPr>
          <w:lang w:val="de-AT"/>
        </w:rPr>
        <w:t>im F</w:t>
      </w:r>
      <w:r w:rsidR="0059786D">
        <w:rPr>
          <w:lang w:val="de-AT"/>
        </w:rPr>
        <w:t xml:space="preserve">olgenden </w:t>
      </w:r>
      <w:r>
        <w:rPr>
          <w:lang w:val="de-AT"/>
        </w:rPr>
        <w:t>kurz DSGVO, ersetzt Richtlinie 95/46/EG und stellt die Grundlage für Datenschutz bei jeder Art der Verarbeitung personenbezogener Daten</w:t>
      </w:r>
      <w:r w:rsidR="00D155BE">
        <w:rPr>
          <w:lang w:val="de-AT"/>
        </w:rPr>
        <w:t>. Dies gilt,</w:t>
      </w:r>
      <w:r>
        <w:rPr>
          <w:lang w:val="de-AT"/>
        </w:rPr>
        <w:t xml:space="preserve"> sofern diese in den Anwendungsbereich des Unionsrechts, nicht durch eine bestimmte Ausnahme,</w:t>
      </w:r>
      <w:r w:rsidR="00D155BE">
        <w:rPr>
          <w:lang w:val="de-AT"/>
        </w:rPr>
        <w:t xml:space="preserve"> nicht</w:t>
      </w:r>
      <w:r>
        <w:rPr>
          <w:lang w:val="de-AT"/>
        </w:rPr>
        <w:t xml:space="preserve"> im privaten </w:t>
      </w:r>
      <w:r w:rsidR="00D155BE">
        <w:rPr>
          <w:lang w:val="de-AT"/>
        </w:rPr>
        <w:t xml:space="preserve">Rahmen natürlicher Personen und nicht </w:t>
      </w:r>
      <w:r w:rsidR="00D155BE">
        <w:rPr>
          <w:lang w:val="de-AT"/>
        </w:rPr>
        <w:lastRenderedPageBreak/>
        <w:t>im Bereich strafrechtlicher Verfolgungsbehörden (Verhütung, Ermittlung, Aufdeckung, Verfolgung, Gefahrenabwehr) geschieht</w:t>
      </w:r>
      <w:r>
        <w:rPr>
          <w:lang w:val="de-AT"/>
        </w:rPr>
        <w:t xml:space="preserve">. </w:t>
      </w:r>
      <w:r w:rsidR="00D155BE">
        <w:rPr>
          <w:lang w:val="de-AT"/>
        </w:rPr>
        <w:t xml:space="preserve">Des Weiteren findet die Verordnung räumliche Anwendung für Verarbeitung personenbezogener Daten, sofern diese eine Tätigkeit umfassen, die in das Unionsgebiet hineinreicht. Darunter ist unter anderem das Anbieten von Waren oder Dienstleistungen an oder die Verhaltensbeobachtung von Personen in der Union zu verstehen </w:t>
      </w:r>
      <w:r w:rsidR="00D155BE">
        <w:rPr>
          <w:lang w:val="de-AT"/>
        </w:rPr>
        <w:fldChar w:fldCharType="begin"/>
      </w:r>
      <w:r w:rsidR="00D155BE">
        <w:rPr>
          <w:lang w:val="de-AT"/>
        </w:rPr>
        <w:instrText xml:space="preserve"> ADDIN EN.CITE &lt;EndNote&gt;&lt;Cite&gt;&lt;Author&gt;Europarat&lt;/Author&gt;&lt;Year&gt;2016&lt;/Year&gt;&lt;IDText&gt;Verordnung (EU) 2016/679 des Europäischen Parlaments und des Rates vom 27. April 2016 zum Schutz natürlicher Personen bei der Verarbeitung personenbezogener Daten, zum freien Datenverkehr und zur Aufhebung der Richtlinie 95/46/EG (Datenschutz-Grundverordnung)&lt;/IDText&gt;&lt;Pages&gt;32 f&lt;/Pages&gt;&lt;DisplayText&gt;(Europarat &amp;amp; Europäisches Parlament, 2016, S. 32 f)&lt;/DisplayText&gt;&lt;record&gt;&lt;urls&gt;&lt;related-urls&gt;&lt;url&gt;https://eur-lex.europa.eu/legal-content/DE/TXT/PDF/?uri=CELEX:32016R0679&amp;amp;from=DE&lt;/url&gt;&lt;/related-urls&gt;&lt;/urls&gt;&lt;titles&gt;&lt;title&gt;Verordnung (EU) 2016/679 des Europäischen Parlaments und des Rates vom 27. April 2016 zum Schutz natürlicher Personen bei der Verarbeitung personenbezogener Daten, zum freien Datenverkehr und zur Aufhebung der Richtlinie 95/46/EG (Datenschutz-Grundverordnung)&lt;/title&gt;&lt;/titles&gt;&lt;contributors&gt;&lt;authors&gt;&lt;author&gt;Europarat&lt;/author&gt;&lt;author&gt;Europäisches Parlament,&lt;/author&gt;&lt;/authors&gt;&lt;/contributors&gt;&lt;added-date format="utc"&gt;1560157823&lt;/added-date&gt;&lt;ref-type name="Legal Rule or Regulation"&gt;50&lt;/ref-type&gt;&lt;dates&gt;&lt;year&gt;2016&lt;/year&gt;&lt;/dates&gt;&lt;rec-number&gt;75&lt;/rec-number&gt;&lt;last-updated-date format="utc"&gt;1560166279&lt;/last-updated-date&gt;&lt;/record&gt;&lt;/Cite&gt;&lt;/EndNote&gt;</w:instrText>
      </w:r>
      <w:r w:rsidR="00D155BE">
        <w:rPr>
          <w:lang w:val="de-AT"/>
        </w:rPr>
        <w:fldChar w:fldCharType="separate"/>
      </w:r>
      <w:r w:rsidR="00D155BE">
        <w:rPr>
          <w:noProof/>
          <w:lang w:val="de-AT"/>
        </w:rPr>
        <w:t>(Europarat &amp; Europäisches Parlament, 2016, S. 32 f)</w:t>
      </w:r>
      <w:r w:rsidR="00D155BE">
        <w:rPr>
          <w:lang w:val="de-AT"/>
        </w:rPr>
        <w:fldChar w:fldCharType="end"/>
      </w:r>
      <w:r w:rsidR="00D155BE">
        <w:rPr>
          <w:lang w:val="de-AT"/>
        </w:rPr>
        <w:t>.</w:t>
      </w:r>
      <w:r w:rsidR="001B5F1D">
        <w:rPr>
          <w:lang w:val="de-AT"/>
        </w:rPr>
        <w:t xml:space="preserve"> </w:t>
      </w:r>
      <w:r w:rsidR="00020DAB">
        <w:rPr>
          <w:lang w:val="de-AT"/>
        </w:rPr>
        <w:t>Die Richtlinie gilt</w:t>
      </w:r>
      <w:r w:rsidR="001B5F1D">
        <w:rPr>
          <w:lang w:val="de-AT"/>
        </w:rPr>
        <w:t xml:space="preserve"> damit</w:t>
      </w:r>
      <w:r w:rsidR="00020DAB">
        <w:rPr>
          <w:lang w:val="de-AT"/>
        </w:rPr>
        <w:t xml:space="preserve"> für alle Staaten des EWR und jene Akteure, die </w:t>
      </w:r>
      <w:r w:rsidR="00292412">
        <w:rPr>
          <w:lang w:val="de-AT"/>
        </w:rPr>
        <w:t>Unionsbürgerinnen und Bürgern ihre Leistungen</w:t>
      </w:r>
      <w:r w:rsidR="00020DAB">
        <w:rPr>
          <w:lang w:val="de-AT"/>
        </w:rPr>
        <w:t xml:space="preserve"> anbieten.</w:t>
      </w:r>
      <w:r w:rsidR="005F7935">
        <w:rPr>
          <w:lang w:val="de-AT"/>
        </w:rPr>
        <w:t xml:space="preserve"> Es reicht nicht, den Geschäftssitz in ein Nicht-EWR-Land zu verlegen, um die Verordnung zu umgehen.</w:t>
      </w:r>
    </w:p>
    <w:p w14:paraId="44E51CA1" w14:textId="0BB01970" w:rsidR="001B5F1D" w:rsidRDefault="001B5F1D" w:rsidP="007749D6">
      <w:pPr>
        <w:rPr>
          <w:lang w:val="de-AT"/>
        </w:rPr>
      </w:pPr>
      <w:r>
        <w:rPr>
          <w:lang w:val="de-AT"/>
        </w:rPr>
        <w:t>In der DSGVO wird, anders als in vorhergehenden Richtlinien, nicht zwischen privatwirtschaftlicher und staatlicher/öffentlicher Verarbeitung unterschieden</w:t>
      </w:r>
      <w:r w:rsidR="00753EFA">
        <w:rPr>
          <w:lang w:val="de-AT"/>
        </w:rPr>
        <w:t xml:space="preserve"> und es</w:t>
      </w:r>
      <w:r>
        <w:rPr>
          <w:lang w:val="de-AT"/>
        </w:rPr>
        <w:t xml:space="preserve"> wird die für Unionseinrichtungen zuständige Verordnung 2001/45/EG in Teilen an die DSGVO angepasst </w:t>
      </w:r>
      <w:r>
        <w:rPr>
          <w:lang w:val="de-AT"/>
        </w:rPr>
        <w:fldChar w:fldCharType="begin"/>
      </w:r>
      <w:r>
        <w:rPr>
          <w:lang w:val="de-AT"/>
        </w:rPr>
        <w:instrText xml:space="preserve"> ADDIN EN.CITE &lt;EndNote&gt;&lt;Cite&gt;&lt;Author&gt;Europarat&lt;/Author&gt;&lt;Year&gt;2016&lt;/Year&gt;&lt;IDText&gt;Verordnung (EU) 2016/679 des Europäischen Parlaments und des Rates vom 27. April 2016 zum Schutz natürlicher Personen bei der Verarbeitung personenbezogener Daten, zum freien Datenverkehr und zur Aufhebung der Richtlinie 95/46/EG (Datenschutz-Grundverordnung)&lt;/IDText&gt;&lt;Pages&gt;32&lt;/Pages&gt;&lt;DisplayText&gt;(Europarat &amp;amp; Europäisches Parlament, 2016, S. 32)&lt;/DisplayText&gt;&lt;record&gt;&lt;urls&gt;&lt;related-urls&gt;&lt;url&gt;https://eur-lex.europa.eu/legal-content/DE/TXT/PDF/?uri=CELEX:32016R0679&amp;amp;from=DE&lt;/url&gt;&lt;/related-urls&gt;&lt;/urls&gt;&lt;titles&gt;&lt;title&gt;Verordnung (EU) 2016/679 des Europäischen Parlaments und des Rates vom 27. April 2016 zum Schutz natürlicher Personen bei der Verarbeitung personenbezogener Daten, zum freien Datenverkehr und zur Aufhebung der Richtlinie 95/46/EG (Datenschutz-Grundverordnung)&lt;/title&gt;&lt;/titles&gt;&lt;contributors&gt;&lt;authors&gt;&lt;author&gt;Europarat&lt;/author&gt;&lt;author&gt;Europäisches Parlament,&lt;/author&gt;&lt;/authors&gt;&lt;/contributors&gt;&lt;added-date format="utc"&gt;1560157823&lt;/added-date&gt;&lt;ref-type name="Legal Rule or Regulation"&gt;50&lt;/ref-type&gt;&lt;dates&gt;&lt;year&gt;2016&lt;/year&gt;&lt;/dates&gt;&lt;rec-number&gt;75&lt;/rec-number&gt;&lt;last-updated-date format="utc"&gt;1560166279&lt;/last-updated-date&gt;&lt;/record&gt;&lt;/Cite&gt;&lt;/EndNote&gt;</w:instrText>
      </w:r>
      <w:r>
        <w:rPr>
          <w:lang w:val="de-AT"/>
        </w:rPr>
        <w:fldChar w:fldCharType="separate"/>
      </w:r>
      <w:r>
        <w:rPr>
          <w:noProof/>
          <w:lang w:val="de-AT"/>
        </w:rPr>
        <w:t>(Europarat &amp; Europäisches Parlament, 2016, S. 32)</w:t>
      </w:r>
      <w:r>
        <w:rPr>
          <w:lang w:val="de-AT"/>
        </w:rPr>
        <w:fldChar w:fldCharType="end"/>
      </w:r>
      <w:r>
        <w:rPr>
          <w:lang w:val="de-AT"/>
        </w:rPr>
        <w:t>.</w:t>
      </w:r>
    </w:p>
    <w:p w14:paraId="5CDEE009" w14:textId="77777777" w:rsidR="005F7935" w:rsidRDefault="005F7935" w:rsidP="007749D6">
      <w:pPr>
        <w:rPr>
          <w:lang w:val="de-AT"/>
        </w:rPr>
      </w:pPr>
      <w:r>
        <w:rPr>
          <w:lang w:val="de-AT"/>
        </w:rPr>
        <w:t>Die Verordnung ist seit dem 25. Mai 2018 anzuwenden, dies führte zu einem geschlossenen Beginn der Umstellung nationaler Gesetzgebungen.</w:t>
      </w:r>
    </w:p>
    <w:p w14:paraId="73EB63FB" w14:textId="6D45A46A" w:rsidR="007F7220" w:rsidRPr="007749D6" w:rsidRDefault="005F7935" w:rsidP="007749D6">
      <w:pPr>
        <w:rPr>
          <w:lang w:val="de-AT"/>
        </w:rPr>
      </w:pPr>
      <w:r>
        <w:rPr>
          <w:lang w:val="de-AT"/>
        </w:rPr>
        <w:t xml:space="preserve"> </w:t>
      </w:r>
    </w:p>
    <w:p w14:paraId="23C16CF9" w14:textId="56962ED8" w:rsidR="005F7935" w:rsidRDefault="009321C6" w:rsidP="005F7935">
      <w:pPr>
        <w:pStyle w:val="berschrift3"/>
        <w:rPr>
          <w:lang w:val="de-AT"/>
        </w:rPr>
      </w:pPr>
      <w:bookmarkStart w:id="10" w:name="_Toc11865307"/>
      <w:r w:rsidRPr="00FF4E9B">
        <w:rPr>
          <w:lang w:val="de-AT"/>
        </w:rPr>
        <w:t>Begriffserklärungen</w:t>
      </w:r>
      <w:bookmarkEnd w:id="10"/>
    </w:p>
    <w:p w14:paraId="71429A94" w14:textId="1D1A3AEE" w:rsidR="00861B73" w:rsidRDefault="005F7935" w:rsidP="005F7935">
      <w:pPr>
        <w:rPr>
          <w:lang w:val="de-AT"/>
        </w:rPr>
      </w:pPr>
      <w:r>
        <w:rPr>
          <w:lang w:val="de-AT"/>
        </w:rPr>
        <w:t>Die Datenschutzgrundverordnung greift einige, historisch bekannte Begriffe auf und erweitert deren Umfang teilweise signifikant. Im Folgenden wird ein Blick auf eine Auswahl der Begriffsdefinitionen nach europaweit geltendem Datenschutzrecht geworfen</w:t>
      </w:r>
      <w:r w:rsidR="00246368">
        <w:rPr>
          <w:lang w:val="de-AT"/>
        </w:rPr>
        <w:t>.</w:t>
      </w:r>
      <w:r w:rsidR="00753EFA">
        <w:rPr>
          <w:lang w:val="de-AT"/>
        </w:rPr>
        <w:t xml:space="preserve"> Wichtig zu nennen ist, dass die Verordnung Begriffe bewusst weit fasst, um keinen Rechtsspielraum oder Grauzone zu ermöglichen.</w:t>
      </w:r>
      <w:r w:rsidR="00246368">
        <w:rPr>
          <w:lang w:val="de-AT"/>
        </w:rPr>
        <w:t xml:space="preserve"> D</w:t>
      </w:r>
      <w:r w:rsidR="00A00852">
        <w:rPr>
          <w:lang w:val="de-AT"/>
        </w:rPr>
        <w:t xml:space="preserve">ie Datenschutzgrundverordnung des Europarats und Europäischen Parlaments </w:t>
      </w:r>
      <w:r w:rsidR="00A00852">
        <w:rPr>
          <w:lang w:val="de-AT"/>
        </w:rPr>
        <w:fldChar w:fldCharType="begin"/>
      </w:r>
      <w:r w:rsidR="00A00852">
        <w:rPr>
          <w:lang w:val="de-AT"/>
        </w:rPr>
        <w:instrText xml:space="preserve"> ADDIN EN.CITE &lt;EndNote&gt;&lt;Cite ExcludeAuth="1"&gt;&lt;Author&gt;Europarat&lt;/Author&gt;&lt;Year&gt;2016&lt;/Year&gt;&lt;IDText&gt;Verordnung (EU) 2016/679 des Europäischen Parlaments und des Rates vom 27. April 2016 zum Schutz natürlicher Personen bei der Verarbeitung personenbezogener Daten, zum freien Datenverkehr und zur Aufhebung der Richtlinie 95/46/EG (Datenschutz-Grundverordnung)&lt;/IDText&gt;&lt;DisplayText&gt;(2016)&lt;/DisplayText&gt;&lt;record&gt;&lt;urls&gt;&lt;related-urls&gt;&lt;url&gt;https://eur-lex.europa.eu/legal-content/DE/TXT/PDF/?uri=CELEX:32016R0679&amp;amp;from=DE&lt;/url&gt;&lt;/related-urls&gt;&lt;/urls&gt;&lt;titles&gt;&lt;title&gt;Verordnung (EU) 2016/679 des Europäischen Parlaments und des Rates vom 27. April 2016 zum Schutz natürlicher Personen bei der Verarbeitung personenbezogener Daten, zum freien Datenverkehr und zur Aufhebung der Richtlinie 95/46/EG (Datenschutz-Grundverordnung)&lt;/title&gt;&lt;/titles&gt;&lt;contributors&gt;&lt;authors&gt;&lt;author&gt;Europarat&lt;/author&gt;&lt;author&gt;Europäisches Parlament,&lt;/author&gt;&lt;/authors&gt;&lt;/contributors&gt;&lt;added-date format="utc"&gt;1560157823&lt;/added-date&gt;&lt;ref-type name="Legal Rule or Regulation"&gt;50&lt;/ref-type&gt;&lt;dates&gt;&lt;year&gt;2016&lt;/year&gt;&lt;/dates&gt;&lt;rec-number&gt;75&lt;/rec-number&gt;&lt;last-updated-date format="utc"&gt;1560166279&lt;/last-updated-date&gt;&lt;/record&gt;&lt;/Cite&gt;&lt;/EndNote&gt;</w:instrText>
      </w:r>
      <w:r w:rsidR="00A00852">
        <w:rPr>
          <w:lang w:val="de-AT"/>
        </w:rPr>
        <w:fldChar w:fldCharType="separate"/>
      </w:r>
      <w:r w:rsidR="00A00852">
        <w:rPr>
          <w:noProof/>
          <w:lang w:val="de-AT"/>
        </w:rPr>
        <w:t>(2016)</w:t>
      </w:r>
      <w:r w:rsidR="00A00852">
        <w:rPr>
          <w:lang w:val="de-AT"/>
        </w:rPr>
        <w:fldChar w:fldCharType="end"/>
      </w:r>
      <w:r w:rsidR="00A00852">
        <w:rPr>
          <w:lang w:val="de-AT"/>
        </w:rPr>
        <w:t xml:space="preserve"> </w:t>
      </w:r>
      <w:r w:rsidR="00246368">
        <w:rPr>
          <w:lang w:val="de-AT"/>
        </w:rPr>
        <w:t xml:space="preserve">bestimmt einige wichtige Begriffe </w:t>
      </w:r>
      <w:r w:rsidR="00A00852">
        <w:rPr>
          <w:lang w:val="de-AT"/>
        </w:rPr>
        <w:t xml:space="preserve">in den Artikeln 4, 8, 9 und </w:t>
      </w:r>
      <w:r w:rsidR="00246368">
        <w:rPr>
          <w:lang w:val="de-AT"/>
        </w:rPr>
        <w:t>einigen Erwägungen</w:t>
      </w:r>
      <w:r w:rsidR="00751BDD">
        <w:rPr>
          <w:lang w:val="de-AT"/>
        </w:rPr>
        <w:t>.</w:t>
      </w:r>
    </w:p>
    <w:p w14:paraId="5D29F872" w14:textId="13FCF1F0" w:rsidR="00253678" w:rsidRPr="00253678" w:rsidRDefault="00253678" w:rsidP="00253678">
      <w:pPr>
        <w:spacing w:after="120"/>
        <w:rPr>
          <w:b/>
          <w:lang w:val="de-AT"/>
        </w:rPr>
      </w:pPr>
      <w:r w:rsidRPr="00253678">
        <w:rPr>
          <w:b/>
          <w:lang w:val="de-AT"/>
        </w:rPr>
        <w:t>Personenbezogene Daten</w:t>
      </w:r>
    </w:p>
    <w:p w14:paraId="25A8DCE5" w14:textId="4ED45F82" w:rsidR="00253678" w:rsidRDefault="00751BDD" w:rsidP="005F7935">
      <w:pPr>
        <w:rPr>
          <w:lang w:val="de-AT"/>
        </w:rPr>
      </w:pPr>
      <w:r>
        <w:rPr>
          <w:lang w:val="de-AT"/>
        </w:rPr>
        <w:t xml:space="preserve">Nach DSGVO </w:t>
      </w:r>
      <w:r w:rsidR="00C4182F">
        <w:rPr>
          <w:lang w:val="de-AT"/>
        </w:rPr>
        <w:t>Art</w:t>
      </w:r>
      <w:r>
        <w:rPr>
          <w:lang w:val="de-AT"/>
        </w:rPr>
        <w:t xml:space="preserve"> 4. </w:t>
      </w:r>
      <w:r w:rsidR="0059786D">
        <w:rPr>
          <w:lang w:val="de-AT"/>
        </w:rPr>
        <w:t>Abs</w:t>
      </w:r>
      <w:r>
        <w:rPr>
          <w:lang w:val="de-AT"/>
        </w:rPr>
        <w:t xml:space="preserve"> 1</w:t>
      </w:r>
      <w:r w:rsidR="00253678">
        <w:rPr>
          <w:lang w:val="de-AT"/>
        </w:rPr>
        <w:t xml:space="preserve"> sind Informationen jeglicher Art, die sich auf natürliche Personen beziehen, die identifizierbar oder identifiziert sind</w:t>
      </w:r>
      <w:r w:rsidR="00E943D7">
        <w:rPr>
          <w:lang w:val="de-AT"/>
        </w:rPr>
        <w:t>, persönliche Daten</w:t>
      </w:r>
      <w:r w:rsidR="00253678">
        <w:rPr>
          <w:lang w:val="de-AT"/>
        </w:rPr>
        <w:t>. Identifiziert oder identifizierbar ist</w:t>
      </w:r>
      <w:r w:rsidR="00E943D7">
        <w:rPr>
          <w:lang w:val="de-AT"/>
        </w:rPr>
        <w:t xml:space="preserve"> nach </w:t>
      </w:r>
      <w:r w:rsidR="00C4182F">
        <w:rPr>
          <w:lang w:val="de-AT"/>
        </w:rPr>
        <w:t>Art</w:t>
      </w:r>
      <w:r w:rsidR="00E943D7">
        <w:rPr>
          <w:lang w:val="de-AT"/>
        </w:rPr>
        <w:t xml:space="preserve"> 4 </w:t>
      </w:r>
      <w:r w:rsidR="0059786D">
        <w:rPr>
          <w:lang w:val="de-AT"/>
        </w:rPr>
        <w:t>Abs</w:t>
      </w:r>
      <w:r w:rsidR="00E943D7">
        <w:rPr>
          <w:lang w:val="de-AT"/>
        </w:rPr>
        <w:t xml:space="preserve"> 1 DSGVO</w:t>
      </w:r>
      <w:r w:rsidR="00253678">
        <w:rPr>
          <w:lang w:val="de-AT"/>
        </w:rPr>
        <w:t>, wer direkt oder indirekt durch beispielsweise Namen, Kennung, Kennnummer, Standortdaten oder Merkmalen, die Rückschlüsse auf die Identität der Person (entweder physisch, psychisch, wirtschaftlich, kulturell, sozial oder genetisch) erlauben</w:t>
      </w:r>
      <w:r w:rsidR="00D55A44">
        <w:rPr>
          <w:lang w:val="de-AT"/>
        </w:rPr>
        <w:t>, erkennbar ist</w:t>
      </w:r>
      <w:r>
        <w:rPr>
          <w:lang w:val="de-AT"/>
        </w:rPr>
        <w:t>.</w:t>
      </w:r>
      <w:r w:rsidR="00E943D7">
        <w:rPr>
          <w:lang w:val="de-AT"/>
        </w:rPr>
        <w:t xml:space="preserve"> Beispiele aus der Praxis: </w:t>
      </w:r>
    </w:p>
    <w:p w14:paraId="36832991" w14:textId="733BA709" w:rsidR="00E943D7" w:rsidRDefault="00E943D7" w:rsidP="00E943D7">
      <w:pPr>
        <w:pStyle w:val="Listenabsatz"/>
        <w:numPr>
          <w:ilvl w:val="0"/>
          <w:numId w:val="31"/>
        </w:numPr>
        <w:rPr>
          <w:lang w:val="de-AT"/>
        </w:rPr>
      </w:pPr>
      <w:r>
        <w:rPr>
          <w:lang w:val="de-AT"/>
        </w:rPr>
        <w:lastRenderedPageBreak/>
        <w:t>IP-Adresse</w:t>
      </w:r>
    </w:p>
    <w:p w14:paraId="5283ED8B" w14:textId="666C2052" w:rsidR="00E943D7" w:rsidRDefault="00E943D7" w:rsidP="00E943D7">
      <w:pPr>
        <w:pStyle w:val="Listenabsatz"/>
        <w:numPr>
          <w:ilvl w:val="0"/>
          <w:numId w:val="31"/>
        </w:numPr>
        <w:rPr>
          <w:lang w:val="de-AT"/>
        </w:rPr>
      </w:pPr>
      <w:r>
        <w:rPr>
          <w:lang w:val="de-AT"/>
        </w:rPr>
        <w:t>Kundennummer</w:t>
      </w:r>
    </w:p>
    <w:p w14:paraId="5D20DC47" w14:textId="4C18F405" w:rsidR="00E943D7" w:rsidRDefault="00617FC1" w:rsidP="00E943D7">
      <w:pPr>
        <w:pStyle w:val="Listenabsatz"/>
        <w:numPr>
          <w:ilvl w:val="0"/>
          <w:numId w:val="31"/>
        </w:numPr>
        <w:rPr>
          <w:lang w:val="de-AT"/>
        </w:rPr>
      </w:pPr>
      <w:r>
        <w:rPr>
          <w:lang w:val="de-AT"/>
        </w:rPr>
        <w:t>Name und Adresse</w:t>
      </w:r>
    </w:p>
    <w:p w14:paraId="55BBFB19" w14:textId="603ACC62" w:rsidR="00E943D7" w:rsidRPr="00617FC1" w:rsidRDefault="00617FC1" w:rsidP="00617FC1">
      <w:pPr>
        <w:pStyle w:val="Listenabsatz"/>
        <w:numPr>
          <w:ilvl w:val="0"/>
          <w:numId w:val="31"/>
        </w:numPr>
        <w:rPr>
          <w:lang w:val="de-AT"/>
        </w:rPr>
      </w:pPr>
      <w:r w:rsidRPr="00617FC1">
        <w:rPr>
          <w:lang w:val="de-AT"/>
        </w:rPr>
        <w:t>Telefonnummer</w:t>
      </w:r>
    </w:p>
    <w:p w14:paraId="73D0F10D" w14:textId="2163D1B9" w:rsidR="00253678" w:rsidRPr="00253678" w:rsidRDefault="00253678" w:rsidP="00253678">
      <w:pPr>
        <w:spacing w:after="120"/>
        <w:rPr>
          <w:b/>
          <w:lang w:val="de-AT"/>
        </w:rPr>
      </w:pPr>
      <w:r w:rsidRPr="00253678">
        <w:rPr>
          <w:b/>
          <w:lang w:val="de-AT"/>
        </w:rPr>
        <w:t>Sensible Daten</w:t>
      </w:r>
    </w:p>
    <w:p w14:paraId="0D7164DA" w14:textId="0CC16B40" w:rsidR="00253678" w:rsidRDefault="00253678" w:rsidP="005F7935">
      <w:pPr>
        <w:rPr>
          <w:lang w:val="de-AT"/>
        </w:rPr>
      </w:pPr>
      <w:r>
        <w:rPr>
          <w:lang w:val="de-AT"/>
        </w:rPr>
        <w:t xml:space="preserve">Eine </w:t>
      </w:r>
      <w:r w:rsidR="00D55A44">
        <w:rPr>
          <w:lang w:val="de-AT"/>
        </w:rPr>
        <w:t>besondere Kategorie</w:t>
      </w:r>
      <w:r>
        <w:rPr>
          <w:lang w:val="de-AT"/>
        </w:rPr>
        <w:t xml:space="preserve"> personenbezogener Daten stellen die sensiblen Daten dar. Sie werden in Artikel 9 </w:t>
      </w:r>
      <w:r w:rsidR="0059786D">
        <w:rPr>
          <w:lang w:val="de-AT"/>
        </w:rPr>
        <w:t>Abs</w:t>
      </w:r>
      <w:r>
        <w:rPr>
          <w:lang w:val="de-AT"/>
        </w:rPr>
        <w:t xml:space="preserve"> 1</w:t>
      </w:r>
      <w:r w:rsidR="0008537D">
        <w:rPr>
          <w:lang w:val="de-AT"/>
        </w:rPr>
        <w:t>f</w:t>
      </w:r>
      <w:r>
        <w:rPr>
          <w:lang w:val="de-AT"/>
        </w:rPr>
        <w:t xml:space="preserve"> definiert und beinhalten alle Daten</w:t>
      </w:r>
      <w:r w:rsidR="00D55A44">
        <w:rPr>
          <w:lang w:val="de-AT"/>
        </w:rPr>
        <w:t xml:space="preserve"> über natürliche Personen</w:t>
      </w:r>
      <w:r>
        <w:rPr>
          <w:lang w:val="de-AT"/>
        </w:rPr>
        <w:t>, aus denen rassische, eth</w:t>
      </w:r>
      <w:r w:rsidR="00D55A44">
        <w:rPr>
          <w:lang w:val="de-AT"/>
        </w:rPr>
        <w:t>n</w:t>
      </w:r>
      <w:r>
        <w:rPr>
          <w:lang w:val="de-AT"/>
        </w:rPr>
        <w:t>ische Herkunft, sowie politische, religiöse oder weltanschauliche Überzeugungen, Gewerkschaftszugehörigkeit, genetische, biometrische oder</w:t>
      </w:r>
      <w:r w:rsidR="00D55A44">
        <w:rPr>
          <w:lang w:val="de-AT"/>
        </w:rPr>
        <w:t xml:space="preserve"> Daten über sexuelle Aktivität oder Orientierung. Ihre Verarbeitung ist prinzipiell untersagt und darf nur unter strengen Auflagen (Ausnahmen) erfolgen. Zu diesen zählen unter anderem explizite Einwilligung durch die betroffene Person, die Notwendigkeit zur Geltendmachung von Rechtsansprüchen</w:t>
      </w:r>
      <w:r w:rsidR="00E943D7">
        <w:rPr>
          <w:lang w:val="de-AT"/>
        </w:rPr>
        <w:t xml:space="preserve"> </w:t>
      </w:r>
      <w:r w:rsidR="00D55A44">
        <w:rPr>
          <w:lang w:val="de-AT"/>
        </w:rPr>
        <w:t xml:space="preserve">aber auch </w:t>
      </w:r>
      <w:r w:rsidR="00751BDD">
        <w:rPr>
          <w:lang w:val="de-AT"/>
        </w:rPr>
        <w:t>andere Gründe, wie die Gesundheitsvorsorge</w:t>
      </w:r>
      <w:r w:rsidR="00E943D7">
        <w:rPr>
          <w:lang w:val="de-AT"/>
        </w:rPr>
        <w:t xml:space="preserve"> oder</w:t>
      </w:r>
      <w:r w:rsidR="00751BDD">
        <w:rPr>
          <w:lang w:val="de-AT"/>
        </w:rPr>
        <w:t xml:space="preserve"> Arbeitsmedizin</w:t>
      </w:r>
      <w:r w:rsidR="00E943D7">
        <w:rPr>
          <w:lang w:val="de-AT"/>
        </w:rPr>
        <w:t xml:space="preserve"> stellen</w:t>
      </w:r>
      <w:r w:rsidR="00751BDD">
        <w:rPr>
          <w:lang w:val="de-AT"/>
        </w:rPr>
        <w:t xml:space="preserve"> veritable Ausnahme</w:t>
      </w:r>
      <w:r w:rsidR="00E943D7">
        <w:rPr>
          <w:lang w:val="de-AT"/>
        </w:rPr>
        <w:t>n dar</w:t>
      </w:r>
      <w:r w:rsidR="00751BDD">
        <w:rPr>
          <w:lang w:val="de-AT"/>
        </w:rPr>
        <w:t>.</w:t>
      </w:r>
      <w:r w:rsidR="00667A11">
        <w:rPr>
          <w:lang w:val="de-AT"/>
        </w:rPr>
        <w:t xml:space="preserve"> Beispiele:</w:t>
      </w:r>
    </w:p>
    <w:p w14:paraId="592819BA" w14:textId="74776A4B" w:rsidR="00617FC1" w:rsidRDefault="00617FC1" w:rsidP="00617FC1">
      <w:pPr>
        <w:pStyle w:val="Listenabsatz"/>
        <w:numPr>
          <w:ilvl w:val="0"/>
          <w:numId w:val="31"/>
        </w:numPr>
        <w:rPr>
          <w:lang w:val="de-AT"/>
        </w:rPr>
      </w:pPr>
      <w:r>
        <w:rPr>
          <w:lang w:val="de-AT"/>
        </w:rPr>
        <w:t>Fingerabdruck (biometrisch)</w:t>
      </w:r>
    </w:p>
    <w:p w14:paraId="670943D7" w14:textId="517D4C75" w:rsidR="00617FC1" w:rsidRPr="00617FC1" w:rsidRDefault="00617FC1" w:rsidP="00617FC1">
      <w:pPr>
        <w:pStyle w:val="Listenabsatz"/>
        <w:numPr>
          <w:ilvl w:val="0"/>
          <w:numId w:val="31"/>
        </w:numPr>
        <w:rPr>
          <w:lang w:val="de-AT"/>
        </w:rPr>
      </w:pPr>
      <w:r>
        <w:rPr>
          <w:lang w:val="de-AT"/>
        </w:rPr>
        <w:t>Gesundheitsblatt oder Krankengeschichte</w:t>
      </w:r>
    </w:p>
    <w:p w14:paraId="6A107B6F" w14:textId="0F6EB3B6" w:rsidR="001818FC" w:rsidRPr="001818FC" w:rsidRDefault="001818FC" w:rsidP="001818FC">
      <w:pPr>
        <w:spacing w:after="120"/>
        <w:rPr>
          <w:b/>
          <w:lang w:val="de-AT"/>
        </w:rPr>
      </w:pPr>
      <w:r w:rsidRPr="001818FC">
        <w:rPr>
          <w:b/>
          <w:lang w:val="de-AT"/>
        </w:rPr>
        <w:t>Verarbeitung</w:t>
      </w:r>
    </w:p>
    <w:p w14:paraId="482A0ACA" w14:textId="0945A4D7" w:rsidR="001818FC" w:rsidRDefault="00E943D7" w:rsidP="005F7935">
      <w:pPr>
        <w:rPr>
          <w:lang w:val="de-AT"/>
        </w:rPr>
      </w:pPr>
      <w:r>
        <w:rPr>
          <w:lang w:val="de-AT"/>
        </w:rPr>
        <w:t xml:space="preserve">Nach DSGVO </w:t>
      </w:r>
      <w:r w:rsidR="00C4182F">
        <w:rPr>
          <w:lang w:val="de-AT"/>
        </w:rPr>
        <w:t>Art</w:t>
      </w:r>
      <w:r>
        <w:rPr>
          <w:lang w:val="de-AT"/>
        </w:rPr>
        <w:t xml:space="preserve"> 4 </w:t>
      </w:r>
      <w:r w:rsidR="0059786D">
        <w:rPr>
          <w:lang w:val="de-AT"/>
        </w:rPr>
        <w:t>Abs</w:t>
      </w:r>
      <w:r>
        <w:rPr>
          <w:lang w:val="de-AT"/>
        </w:rPr>
        <w:t xml:space="preserve"> 2 stellt die </w:t>
      </w:r>
      <w:r w:rsidR="00617FC1">
        <w:rPr>
          <w:lang w:val="de-AT"/>
        </w:rPr>
        <w:t>„</w:t>
      </w:r>
      <w:r>
        <w:rPr>
          <w:lang w:val="de-AT"/>
        </w:rPr>
        <w:t>Verarbeitung</w:t>
      </w:r>
      <w:r w:rsidR="00617FC1">
        <w:rPr>
          <w:lang w:val="de-AT"/>
        </w:rPr>
        <w:t>“</w:t>
      </w:r>
      <w:r>
        <w:rPr>
          <w:lang w:val="de-AT"/>
        </w:rPr>
        <w:t xml:space="preserve"> jeden Vorgang dar, der (automatisiert und nicht </w:t>
      </w:r>
      <w:r w:rsidR="00617FC1">
        <w:rPr>
          <w:lang w:val="de-AT"/>
        </w:rPr>
        <w:t xml:space="preserve">automatisiert) personenbezogene Daten erhebt, erfasst, organisiert oder ordnet, speichert, anpasst, verändert, abfragt, ausliest, offenlegt, übermittelt, verbreitet, abgleicht, in irgendeiner Form bereitstellt, verknüpft, einschränkt, löscht oder vernichtet. Es kann vereinfacht </w:t>
      </w:r>
      <w:r w:rsidR="00252EBC">
        <w:rPr>
          <w:lang w:val="de-AT"/>
        </w:rPr>
        <w:t>geschlussfolgert</w:t>
      </w:r>
      <w:r w:rsidR="00617FC1">
        <w:rPr>
          <w:lang w:val="de-AT"/>
        </w:rPr>
        <w:t xml:space="preserve"> werden, dass jeder Vorgang oder jede Berührung </w:t>
      </w:r>
      <w:r w:rsidR="00667A11">
        <w:rPr>
          <w:lang w:val="de-AT"/>
        </w:rPr>
        <w:t>mit einem personenbezogenen Datum</w:t>
      </w:r>
      <w:r w:rsidR="00617FC1">
        <w:rPr>
          <w:lang w:val="de-AT"/>
        </w:rPr>
        <w:t xml:space="preserve"> eine Verarbeitung darstellt, egal in welcher Form sie </w:t>
      </w:r>
      <w:r w:rsidR="00667A11">
        <w:rPr>
          <w:lang w:val="de-AT"/>
        </w:rPr>
        <w:t>stattfindet. Beispiele:</w:t>
      </w:r>
    </w:p>
    <w:p w14:paraId="56E921DC" w14:textId="6D6B6B5C" w:rsidR="00667A11" w:rsidRDefault="00667A11" w:rsidP="00667A11">
      <w:pPr>
        <w:pStyle w:val="Listenabsatz"/>
        <w:numPr>
          <w:ilvl w:val="0"/>
          <w:numId w:val="31"/>
        </w:numPr>
        <w:rPr>
          <w:lang w:val="de-AT"/>
        </w:rPr>
      </w:pPr>
      <w:r>
        <w:rPr>
          <w:lang w:val="de-AT"/>
        </w:rPr>
        <w:t>Ablegen einer Visitenkarte</w:t>
      </w:r>
    </w:p>
    <w:p w14:paraId="4D02A4F4" w14:textId="6B4C3CF7" w:rsidR="00667A11" w:rsidRDefault="003E5925" w:rsidP="00667A11">
      <w:pPr>
        <w:pStyle w:val="Listenabsatz"/>
        <w:numPr>
          <w:ilvl w:val="0"/>
          <w:numId w:val="31"/>
        </w:numPr>
        <w:rPr>
          <w:lang w:val="de-AT"/>
        </w:rPr>
      </w:pPr>
      <w:r>
        <w:rPr>
          <w:lang w:val="de-AT"/>
        </w:rPr>
        <w:t>Zerstören</w:t>
      </w:r>
      <w:r w:rsidR="00667A11">
        <w:rPr>
          <w:lang w:val="de-AT"/>
        </w:rPr>
        <w:t xml:space="preserve"> eines Papierblatts, auf dem ein Name steht</w:t>
      </w:r>
    </w:p>
    <w:p w14:paraId="3F383B13" w14:textId="06523E91" w:rsidR="003E5925" w:rsidRPr="00667A11" w:rsidRDefault="005370B8" w:rsidP="00667A11">
      <w:pPr>
        <w:pStyle w:val="Listenabsatz"/>
        <w:numPr>
          <w:ilvl w:val="0"/>
          <w:numId w:val="31"/>
        </w:numPr>
        <w:rPr>
          <w:lang w:val="de-AT"/>
        </w:rPr>
      </w:pPr>
      <w:r>
        <w:rPr>
          <w:lang w:val="de-AT"/>
        </w:rPr>
        <w:t>Anlegen und/oder Betreiben einer Mitarbeiterdatenbank</w:t>
      </w:r>
    </w:p>
    <w:p w14:paraId="1BBEED1D" w14:textId="77777777" w:rsidR="005738DB" w:rsidRDefault="005738DB">
      <w:pPr>
        <w:spacing w:after="200" w:line="276" w:lineRule="auto"/>
        <w:jc w:val="left"/>
        <w:rPr>
          <w:b/>
          <w:lang w:val="de-AT"/>
        </w:rPr>
      </w:pPr>
      <w:r>
        <w:rPr>
          <w:b/>
          <w:lang w:val="de-AT"/>
        </w:rPr>
        <w:br w:type="page"/>
      </w:r>
    </w:p>
    <w:p w14:paraId="155C4278" w14:textId="26F4E341" w:rsidR="001818FC" w:rsidRPr="001818FC" w:rsidRDefault="001818FC" w:rsidP="001818FC">
      <w:pPr>
        <w:spacing w:after="120"/>
        <w:rPr>
          <w:b/>
          <w:lang w:val="de-AT"/>
        </w:rPr>
      </w:pPr>
      <w:r w:rsidRPr="001818FC">
        <w:rPr>
          <w:b/>
          <w:lang w:val="de-AT"/>
        </w:rPr>
        <w:lastRenderedPageBreak/>
        <w:t>Verantwortlicher</w:t>
      </w:r>
    </w:p>
    <w:p w14:paraId="05CD51F4" w14:textId="7BF91786" w:rsidR="0056131C" w:rsidRDefault="00C4182F" w:rsidP="001818FC">
      <w:pPr>
        <w:spacing w:after="120"/>
        <w:rPr>
          <w:lang w:val="de-AT"/>
        </w:rPr>
      </w:pPr>
      <w:r>
        <w:rPr>
          <w:lang w:val="de-AT"/>
        </w:rPr>
        <w:t>Art</w:t>
      </w:r>
      <w:r w:rsidR="003E5925">
        <w:rPr>
          <w:lang w:val="de-AT"/>
        </w:rPr>
        <w:t xml:space="preserve"> 4 </w:t>
      </w:r>
      <w:r w:rsidR="0059786D">
        <w:rPr>
          <w:lang w:val="de-AT"/>
        </w:rPr>
        <w:t>Abs</w:t>
      </w:r>
      <w:r w:rsidR="003E5925">
        <w:rPr>
          <w:lang w:val="de-AT"/>
        </w:rPr>
        <w:t xml:space="preserve"> 7 DSGVO </w:t>
      </w:r>
      <w:r w:rsidR="00753EFA">
        <w:rPr>
          <w:lang w:val="de-AT"/>
        </w:rPr>
        <w:t>sieht jede natürliche oder juristische Person, aber auch Behörde oder Einrichtung, die über Parameter und Zwecke einer Verarbeitung entweder im Alleingang oder gemeinsam mit anderen entscheidet</w:t>
      </w:r>
      <w:r w:rsidR="002143CC">
        <w:rPr>
          <w:lang w:val="de-AT"/>
        </w:rPr>
        <w:t>,</w:t>
      </w:r>
      <w:r w:rsidR="00753EFA">
        <w:rPr>
          <w:lang w:val="de-AT"/>
        </w:rPr>
        <w:t xml:space="preserve"> als verantwortlich („Verantwortlicher“) an. Beispiele:</w:t>
      </w:r>
    </w:p>
    <w:p w14:paraId="0A8BDCE0" w14:textId="4556D8F6" w:rsidR="00753EFA" w:rsidRDefault="00753EFA" w:rsidP="00753EFA">
      <w:pPr>
        <w:pStyle w:val="Listenabsatz"/>
        <w:numPr>
          <w:ilvl w:val="0"/>
          <w:numId w:val="31"/>
        </w:numPr>
        <w:spacing w:after="120"/>
        <w:rPr>
          <w:lang w:val="de-AT"/>
        </w:rPr>
      </w:pPr>
      <w:r>
        <w:rPr>
          <w:lang w:val="de-AT"/>
        </w:rPr>
        <w:t>Unternehmer</w:t>
      </w:r>
      <w:r w:rsidR="002143CC">
        <w:rPr>
          <w:lang w:val="de-AT"/>
        </w:rPr>
        <w:t xml:space="preserve"> der eine Kundendatei pflegt</w:t>
      </w:r>
    </w:p>
    <w:p w14:paraId="7A4BB606" w14:textId="6B8C75F9" w:rsidR="00753EFA" w:rsidRPr="00753EFA" w:rsidRDefault="002143CC" w:rsidP="00753EFA">
      <w:pPr>
        <w:pStyle w:val="Listenabsatz"/>
        <w:numPr>
          <w:ilvl w:val="0"/>
          <w:numId w:val="31"/>
        </w:numPr>
        <w:spacing w:after="120"/>
        <w:rPr>
          <w:lang w:val="de-AT"/>
        </w:rPr>
      </w:pPr>
      <w:r>
        <w:rPr>
          <w:lang w:val="de-AT"/>
        </w:rPr>
        <w:t>Eine Strafverfolgungsbehörde, die eine Datenbank über Straftäter pflegt</w:t>
      </w:r>
    </w:p>
    <w:p w14:paraId="24F116D9" w14:textId="65804B15" w:rsidR="001818FC" w:rsidRPr="001818FC" w:rsidRDefault="001818FC" w:rsidP="001818FC">
      <w:pPr>
        <w:spacing w:after="120"/>
        <w:rPr>
          <w:b/>
          <w:lang w:val="de-AT"/>
        </w:rPr>
      </w:pPr>
      <w:r w:rsidRPr="001818FC">
        <w:rPr>
          <w:b/>
          <w:lang w:val="de-AT"/>
        </w:rPr>
        <w:t>Auftragsverarbeiter</w:t>
      </w:r>
    </w:p>
    <w:p w14:paraId="7A13C008" w14:textId="00402E40" w:rsidR="001818FC" w:rsidRDefault="001F791B" w:rsidP="005F7935">
      <w:pPr>
        <w:rPr>
          <w:lang w:val="de-AT"/>
        </w:rPr>
      </w:pPr>
      <w:r>
        <w:rPr>
          <w:lang w:val="de-AT"/>
        </w:rPr>
        <w:t xml:space="preserve">Wer im Auftrag eines im Sinne der DSGVO Verantwortlichen handelt und dabei personenbezogene Daten verarbeitet gilt nach </w:t>
      </w:r>
      <w:r w:rsidR="00C4182F">
        <w:rPr>
          <w:lang w:val="de-AT"/>
        </w:rPr>
        <w:t>Art</w:t>
      </w:r>
      <w:r>
        <w:rPr>
          <w:lang w:val="de-AT"/>
        </w:rPr>
        <w:t xml:space="preserve"> </w:t>
      </w:r>
      <w:r w:rsidR="000D2A00">
        <w:rPr>
          <w:lang w:val="de-AT"/>
        </w:rPr>
        <w:t>4</w:t>
      </w:r>
      <w:r>
        <w:rPr>
          <w:lang w:val="de-AT"/>
        </w:rPr>
        <w:t xml:space="preserve"> </w:t>
      </w:r>
      <w:r w:rsidR="0059786D">
        <w:rPr>
          <w:lang w:val="de-AT"/>
        </w:rPr>
        <w:t>Abs</w:t>
      </w:r>
      <w:r>
        <w:rPr>
          <w:lang w:val="de-AT"/>
        </w:rPr>
        <w:t xml:space="preserve"> 8 DSGVO als „Auftragsverarbeiter“. Beispiele:</w:t>
      </w:r>
    </w:p>
    <w:p w14:paraId="2775CDB7" w14:textId="034A8296" w:rsidR="001F791B" w:rsidRDefault="001F791B" w:rsidP="001F791B">
      <w:pPr>
        <w:pStyle w:val="Listenabsatz"/>
        <w:numPr>
          <w:ilvl w:val="0"/>
          <w:numId w:val="31"/>
        </w:numPr>
        <w:rPr>
          <w:lang w:val="de-AT"/>
        </w:rPr>
      </w:pPr>
      <w:r>
        <w:rPr>
          <w:lang w:val="de-AT"/>
        </w:rPr>
        <w:t>Steuerberatungskanzlei für ein Unternehmen, das Rechnungen verbucht</w:t>
      </w:r>
    </w:p>
    <w:p w14:paraId="4D3E200A" w14:textId="4CDAD55F" w:rsidR="00AB05E6" w:rsidRPr="00133DD5" w:rsidRDefault="001F791B" w:rsidP="00133DD5">
      <w:pPr>
        <w:pStyle w:val="Listenabsatz"/>
        <w:numPr>
          <w:ilvl w:val="0"/>
          <w:numId w:val="31"/>
        </w:numPr>
        <w:rPr>
          <w:lang w:val="de-AT"/>
        </w:rPr>
      </w:pPr>
      <w:r>
        <w:rPr>
          <w:lang w:val="de-AT"/>
        </w:rPr>
        <w:t>Anbieter einer Cloud-Plattform</w:t>
      </w:r>
    </w:p>
    <w:p w14:paraId="4D0D4959" w14:textId="78B7FA76" w:rsidR="001818FC" w:rsidRPr="001818FC" w:rsidRDefault="001818FC" w:rsidP="00091C86">
      <w:pPr>
        <w:spacing w:after="120"/>
        <w:rPr>
          <w:b/>
          <w:lang w:val="de-AT"/>
        </w:rPr>
      </w:pPr>
      <w:r>
        <w:rPr>
          <w:b/>
          <w:lang w:val="de-AT"/>
        </w:rPr>
        <w:t>Einwilligung</w:t>
      </w:r>
    </w:p>
    <w:p w14:paraId="11C3A849" w14:textId="33ACBF62" w:rsidR="001818FC" w:rsidRDefault="001F791B" w:rsidP="001818FC">
      <w:pPr>
        <w:rPr>
          <w:lang w:val="de-AT"/>
        </w:rPr>
      </w:pPr>
      <w:r>
        <w:rPr>
          <w:lang w:val="de-AT"/>
        </w:rPr>
        <w:t>Eine „Einwilligung“ liegt</w:t>
      </w:r>
      <w:r w:rsidR="00347E3B">
        <w:rPr>
          <w:lang w:val="de-AT"/>
        </w:rPr>
        <w:t xml:space="preserve"> </w:t>
      </w:r>
      <w:r w:rsidR="000D2A00">
        <w:rPr>
          <w:lang w:val="de-AT"/>
        </w:rPr>
        <w:t xml:space="preserve">nach </w:t>
      </w:r>
      <w:r w:rsidR="00C4182F">
        <w:rPr>
          <w:lang w:val="de-AT"/>
        </w:rPr>
        <w:t>Art</w:t>
      </w:r>
      <w:r w:rsidR="000D2A00">
        <w:rPr>
          <w:lang w:val="de-AT"/>
        </w:rPr>
        <w:t xml:space="preserve"> 4 </w:t>
      </w:r>
      <w:r w:rsidR="0059786D">
        <w:rPr>
          <w:lang w:val="de-AT"/>
        </w:rPr>
        <w:t>Abs</w:t>
      </w:r>
      <w:r w:rsidR="000D2A00">
        <w:rPr>
          <w:lang w:val="de-AT"/>
        </w:rPr>
        <w:t xml:space="preserve"> 11 </w:t>
      </w:r>
      <w:r>
        <w:rPr>
          <w:lang w:val="de-AT"/>
        </w:rPr>
        <w:t>vo</w:t>
      </w:r>
      <w:r w:rsidR="00347E3B">
        <w:rPr>
          <w:lang w:val="de-AT"/>
        </w:rPr>
        <w:t>r</w:t>
      </w:r>
      <w:r>
        <w:rPr>
          <w:lang w:val="de-AT"/>
        </w:rPr>
        <w:t xml:space="preserve">, wenn ein eine Person entweder durch ausdrückliche oder Erklärung oder </w:t>
      </w:r>
      <w:r w:rsidR="00347E3B">
        <w:rPr>
          <w:lang w:val="de-AT"/>
        </w:rPr>
        <w:t>anderen unmissverständlichen und zustimmenden Handlungen</w:t>
      </w:r>
      <w:r w:rsidR="000D2A00">
        <w:rPr>
          <w:lang w:val="de-AT"/>
        </w:rPr>
        <w:t xml:space="preserve"> einer Verarbeitung </w:t>
      </w:r>
      <w:r w:rsidR="00F3095D">
        <w:rPr>
          <w:lang w:val="de-AT"/>
        </w:rPr>
        <w:t>ihrer personenbezogenen Daten zustimmt</w:t>
      </w:r>
      <w:r w:rsidR="000D2A00">
        <w:rPr>
          <w:lang w:val="de-AT"/>
        </w:rPr>
        <w:t>.</w:t>
      </w:r>
    </w:p>
    <w:p w14:paraId="6E941529" w14:textId="28BFEE89" w:rsidR="002F726E" w:rsidRDefault="005E3134" w:rsidP="002F726E">
      <w:pPr>
        <w:pStyle w:val="Listenabsatz"/>
        <w:numPr>
          <w:ilvl w:val="0"/>
          <w:numId w:val="31"/>
        </w:numPr>
        <w:rPr>
          <w:lang w:val="de-AT"/>
        </w:rPr>
      </w:pPr>
      <w:r>
        <w:rPr>
          <w:noProof/>
          <w:lang w:val="de-AT" w:eastAsia="de-AT" w:bidi="ar-SA"/>
        </w:rPr>
        <w:drawing>
          <wp:anchor distT="0" distB="0" distL="114300" distR="114300" simplePos="0" relativeHeight="251658240" behindDoc="1" locked="0" layoutInCell="1" allowOverlap="1" wp14:anchorId="7B59095E" wp14:editId="6C849ED4">
            <wp:simplePos x="0" y="0"/>
            <wp:positionH relativeFrom="margin">
              <wp:align>center</wp:align>
            </wp:positionH>
            <wp:positionV relativeFrom="paragraph">
              <wp:posOffset>736971</wp:posOffset>
            </wp:positionV>
            <wp:extent cx="4175464" cy="2635388"/>
            <wp:effectExtent l="0" t="0" r="0" b="0"/>
            <wp:wrapTight wrapText="bothSides">
              <wp:wrapPolygon edited="0">
                <wp:start x="0" y="0"/>
                <wp:lineTo x="0" y="21392"/>
                <wp:lineTo x="21485" y="21392"/>
                <wp:lineTo x="2148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175464" cy="2635388"/>
                    </a:xfrm>
                    <a:prstGeom prst="rect">
                      <a:avLst/>
                    </a:prstGeom>
                  </pic:spPr>
                </pic:pic>
              </a:graphicData>
            </a:graphic>
            <wp14:sizeRelH relativeFrom="margin">
              <wp14:pctWidth>0</wp14:pctWidth>
            </wp14:sizeRelH>
            <wp14:sizeRelV relativeFrom="margin">
              <wp14:pctHeight>0</wp14:pctHeight>
            </wp14:sizeRelV>
          </wp:anchor>
        </w:drawing>
      </w:r>
      <w:r w:rsidR="002F726E">
        <w:rPr>
          <w:lang w:val="de-AT"/>
        </w:rPr>
        <w:t>Bei dem Besuch einer Website klickt eine Nutzerin auf „Alle Cookies akzeptieren“, nachdem sie über die Art und ihre Rech</w:t>
      </w:r>
      <w:r w:rsidR="00462731">
        <w:rPr>
          <w:lang w:val="de-AT"/>
        </w:rPr>
        <w:t>te informiert wurde (</w:t>
      </w:r>
      <w:r w:rsidR="002F726E">
        <w:rPr>
          <w:lang w:val="de-AT"/>
        </w:rPr>
        <w:t>vgl. Abb. 1</w:t>
      </w:r>
      <w:r w:rsidR="00462731">
        <w:rPr>
          <w:lang w:val="de-AT"/>
        </w:rPr>
        <w:t>).</w:t>
      </w:r>
    </w:p>
    <w:p w14:paraId="6D39487A" w14:textId="24A8E5C8" w:rsidR="002F726E" w:rsidRDefault="002F726E" w:rsidP="002F726E">
      <w:pPr>
        <w:rPr>
          <w:lang w:val="de-AT"/>
        </w:rPr>
      </w:pPr>
    </w:p>
    <w:p w14:paraId="7E83DFD3" w14:textId="3D07F2DA" w:rsidR="002F726E" w:rsidRDefault="002F726E" w:rsidP="002F726E">
      <w:pPr>
        <w:rPr>
          <w:lang w:val="de-AT"/>
        </w:rPr>
      </w:pPr>
    </w:p>
    <w:p w14:paraId="74FC70FB" w14:textId="12F9F2DA" w:rsidR="002F726E" w:rsidRDefault="002F726E" w:rsidP="002F726E">
      <w:pPr>
        <w:rPr>
          <w:lang w:val="de-AT"/>
        </w:rPr>
      </w:pPr>
    </w:p>
    <w:p w14:paraId="19E65470" w14:textId="6DD49BEE" w:rsidR="002F726E" w:rsidRDefault="002F726E" w:rsidP="002F726E">
      <w:pPr>
        <w:rPr>
          <w:lang w:val="de-AT"/>
        </w:rPr>
      </w:pPr>
    </w:p>
    <w:p w14:paraId="59542EB6" w14:textId="2D5914E2" w:rsidR="002F726E" w:rsidRDefault="002F726E" w:rsidP="002F726E">
      <w:pPr>
        <w:rPr>
          <w:lang w:val="de-AT"/>
        </w:rPr>
      </w:pPr>
    </w:p>
    <w:p w14:paraId="700C2B47" w14:textId="6CFFBA32" w:rsidR="002F726E" w:rsidRDefault="002F726E" w:rsidP="002F726E">
      <w:pPr>
        <w:rPr>
          <w:lang w:val="de-AT"/>
        </w:rPr>
      </w:pPr>
    </w:p>
    <w:p w14:paraId="2996F22C" w14:textId="45108544" w:rsidR="002F726E" w:rsidRDefault="005738DB" w:rsidP="002F726E">
      <w:pPr>
        <w:rPr>
          <w:lang w:val="de-AT"/>
        </w:rPr>
      </w:pPr>
      <w:r>
        <w:rPr>
          <w:noProof/>
          <w:lang w:val="de-AT" w:eastAsia="de-AT" w:bidi="ar-SA"/>
        </w:rPr>
        <mc:AlternateContent>
          <mc:Choice Requires="wps">
            <w:drawing>
              <wp:anchor distT="0" distB="0" distL="114300" distR="114300" simplePos="0" relativeHeight="251660288" behindDoc="1" locked="0" layoutInCell="1" allowOverlap="1" wp14:anchorId="3DE39FDB" wp14:editId="6FAD919D">
                <wp:simplePos x="0" y="0"/>
                <wp:positionH relativeFrom="margin">
                  <wp:posOffset>657860</wp:posOffset>
                </wp:positionH>
                <wp:positionV relativeFrom="paragraph">
                  <wp:posOffset>176975</wp:posOffset>
                </wp:positionV>
                <wp:extent cx="4443095" cy="276225"/>
                <wp:effectExtent l="0" t="0" r="0" b="9525"/>
                <wp:wrapTight wrapText="bothSides">
                  <wp:wrapPolygon edited="0">
                    <wp:start x="0" y="0"/>
                    <wp:lineTo x="0" y="20855"/>
                    <wp:lineTo x="21486" y="20855"/>
                    <wp:lineTo x="21486" y="0"/>
                    <wp:lineTo x="0" y="0"/>
                  </wp:wrapPolygon>
                </wp:wrapTight>
                <wp:docPr id="3" name="Textfeld 3"/>
                <wp:cNvGraphicFramePr/>
                <a:graphic xmlns:a="http://schemas.openxmlformats.org/drawingml/2006/main">
                  <a:graphicData uri="http://schemas.microsoft.com/office/word/2010/wordprocessingShape">
                    <wps:wsp>
                      <wps:cNvSpPr txBox="1"/>
                      <wps:spPr>
                        <a:xfrm>
                          <a:off x="0" y="0"/>
                          <a:ext cx="4443095" cy="276225"/>
                        </a:xfrm>
                        <a:prstGeom prst="rect">
                          <a:avLst/>
                        </a:prstGeom>
                        <a:solidFill>
                          <a:prstClr val="white"/>
                        </a:solidFill>
                        <a:ln>
                          <a:noFill/>
                        </a:ln>
                      </wps:spPr>
                      <wps:txbx>
                        <w:txbxContent>
                          <w:p w14:paraId="11222F08" w14:textId="156A4238" w:rsidR="00BC2425" w:rsidRPr="00507286" w:rsidRDefault="00BC2425" w:rsidP="00507286">
                            <w:pPr>
                              <w:rPr>
                                <w:lang w:val="de-AT"/>
                              </w:rPr>
                            </w:pPr>
                            <w:bookmarkStart w:id="11" w:name="_Toc11619488"/>
                            <w:r>
                              <w:t xml:space="preserve">Abbildung </w:t>
                            </w:r>
                            <w:r>
                              <w:fldChar w:fldCharType="begin"/>
                            </w:r>
                            <w:r>
                              <w:instrText xml:space="preserve"> SEQ Abbildung \* ARABIC </w:instrText>
                            </w:r>
                            <w:r>
                              <w:fldChar w:fldCharType="separate"/>
                            </w:r>
                            <w:r w:rsidR="00A5135A">
                              <w:rPr>
                                <w:noProof/>
                              </w:rPr>
                              <w:t>1</w:t>
                            </w:r>
                            <w:r>
                              <w:fldChar w:fldCharType="end"/>
                            </w:r>
                            <w:r>
                              <w:t xml:space="preserve">: Cookie-Hinweis von "Cookiebot" </w:t>
                            </w:r>
                            <w:r>
                              <w:rPr>
                                <w:lang w:val="de-AT"/>
                              </w:rPr>
                              <w:fldChar w:fldCharType="begin"/>
                            </w:r>
                            <w:r>
                              <w:rPr>
                                <w:lang w:val="de-AT"/>
                              </w:rPr>
                              <w:instrText xml:space="preserve"> ADDIN EN.CITE &lt;EndNote&gt;&lt;Cite ExcludeAuth="1"&gt;&lt;Author&gt;k.A.&lt;/Author&gt;&lt;Year&gt;2019&lt;/Year&gt;&lt;IDText&gt;Online-Tracking, das konform mit DSGVO und ePrivacy ist | Cookiebot&lt;/IDText&gt;&lt;Prefix&gt;Cybot A/S&lt;/Prefix&gt;&lt;DisplayText&gt;(Cybot A/S2019)&lt;/DisplayText&gt;&lt;record&gt;&lt;urls&gt;&lt;related-urls&gt;&lt;url&gt;https://www.cookiebot.com/de/&lt;/url&gt;&lt;/related-urls&gt;&lt;/urls&gt;&lt;titles&gt;&lt;title&gt;Online-Tracking, das konform mit DSGVO und ePrivacy ist | Cookiebot&lt;/title&gt;&lt;/titles&gt;&lt;number&gt;11.6.2019&lt;/number&gt;&lt;contributors&gt;&lt;authors&gt;&lt;author&gt;k.A.&lt;/author&gt;&lt;/authors&gt;&lt;/contributors&gt;&lt;added-date format="utc"&gt;1560275352&lt;/added-date&gt;&lt;pub-location&gt;Kopenhagen&lt;/pub-location&gt;&lt;ref-type name="Web Page"&gt;12&lt;/ref-type&gt;&lt;dates&gt;&lt;year&gt;2019&lt;/year&gt;&lt;/dates&gt;&lt;rec-number&gt;89&lt;/rec-number&gt;&lt;publisher&gt;Cybot A/S&lt;/publisher&gt;&lt;last-updated-date format="utc"&gt;1560275508&lt;/last-updated-date&gt;&lt;/record&gt;&lt;/Cite&gt;&lt;/EndNote&gt;</w:instrText>
                            </w:r>
                            <w:r>
                              <w:rPr>
                                <w:lang w:val="de-AT"/>
                              </w:rPr>
                              <w:fldChar w:fldCharType="separate"/>
                            </w:r>
                            <w:r>
                              <w:rPr>
                                <w:noProof/>
                                <w:lang w:val="de-AT"/>
                              </w:rPr>
                              <w:t>(Cybot A/S2019)</w:t>
                            </w:r>
                            <w:bookmarkEnd w:id="11"/>
                            <w:r>
                              <w:rPr>
                                <w:lang w:val="de-AT"/>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DE39FDB" id="_x0000_t202" coordsize="21600,21600" o:spt="202" path="m,l,21600r21600,l21600,xe">
                <v:stroke joinstyle="miter"/>
                <v:path gradientshapeok="t" o:connecttype="rect"/>
              </v:shapetype>
              <v:shape id="Textfeld 3" o:spid="_x0000_s1027" type="#_x0000_t202" style="position:absolute;left:0;text-align:left;margin-left:51.8pt;margin-top:13.95pt;width:349.85pt;height:21.75pt;z-index:-2516561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" stroked="f">
                <v:textbox inset="0,0,0,0">
                  <w:txbxContent>
                    <w:p w14:paraId="11222F08" w14:textId="156A4238" w:rsidR="00BC2425" w:rsidRPr="00507286" w:rsidRDefault="00BC2425" w:rsidP="00507286">
                      <w:pPr>
                        <w:rPr>
                          <w:lang w:val="de-AT"/>
                        </w:rPr>
                      </w:pPr>
                      <w:bookmarkStart w:id="12" w:name="_Toc11619488"/>
                      <w:r>
                        <w:t xml:space="preserve">Abbildung </w:t>
                      </w:r>
                      <w:r>
                        <w:fldChar w:fldCharType="begin"/>
                      </w:r>
                      <w:r>
                        <w:instrText xml:space="preserve"> SEQ Abbildung \* ARABIC </w:instrText>
                      </w:r>
                      <w:r>
                        <w:fldChar w:fldCharType="separate"/>
                      </w:r>
                      <w:r w:rsidR="00A5135A">
                        <w:rPr>
                          <w:noProof/>
                        </w:rPr>
                        <w:t>1</w:t>
                      </w:r>
                      <w:r>
                        <w:fldChar w:fldCharType="end"/>
                      </w:r>
                      <w:r>
                        <w:t xml:space="preserve">: Cookie-Hinweis von "Cookiebot" </w:t>
                      </w:r>
                      <w:r>
                        <w:rPr>
                          <w:lang w:val="de-AT"/>
                        </w:rPr>
                        <w:fldChar w:fldCharType="begin"/>
                      </w:r>
                      <w:r>
                        <w:rPr>
                          <w:lang w:val="de-AT"/>
                        </w:rPr>
                        <w:instrText xml:space="preserve"> ADDIN EN.CITE &lt;EndNote&gt;&lt;Cite ExcludeAuth="1"&gt;&lt;Author&gt;k.A.&lt;/Author&gt;&lt;Year&gt;2019&lt;/Year&gt;&lt;IDText&gt;Online-Tracking, das konform mit DSGVO und ePrivacy ist | Cookiebot&lt;/IDText&gt;&lt;Prefix&gt;Cybot A/S&lt;/Prefix&gt;&lt;DisplayText&gt;(Cybot A/S2019)&lt;/DisplayText&gt;&lt;record&gt;&lt;urls&gt;&lt;related-urls&gt;&lt;url&gt;https://www.cookiebot.com/de/&lt;/url&gt;&lt;/related-urls&gt;&lt;/urls&gt;&lt;titles&gt;&lt;title&gt;Online-Tracking, das konform mit DSGVO und ePrivacy ist | Cookiebot&lt;/title&gt;&lt;/titles&gt;&lt;number&gt;11.6.2019&lt;/number&gt;&lt;contributors&gt;&lt;authors&gt;&lt;author&gt;k.A.&lt;/author&gt;&lt;/authors&gt;&lt;/contributors&gt;&lt;added-date format="utc"&gt;1560275352&lt;/added-date&gt;&lt;pub-location&gt;Kopenhagen&lt;/pub-location&gt;&lt;ref-type name="Web Page"&gt;12&lt;/ref-type&gt;&lt;dates&gt;&lt;year&gt;2019&lt;/year&gt;&lt;/dates&gt;&lt;rec-number&gt;89&lt;/rec-number&gt;&lt;publisher&gt;Cybot A/S&lt;/publisher&gt;&lt;last-updated-date format="utc"&gt;1560275508&lt;/last-updated-date&gt;&lt;/record&gt;&lt;/Cite&gt;&lt;/EndNote&gt;</w:instrText>
                      </w:r>
                      <w:r>
                        <w:rPr>
                          <w:lang w:val="de-AT"/>
                        </w:rPr>
                        <w:fldChar w:fldCharType="separate"/>
                      </w:r>
                      <w:r>
                        <w:rPr>
                          <w:noProof/>
                          <w:lang w:val="de-AT"/>
                        </w:rPr>
                        <w:t>(Cybot A/S2019)</w:t>
                      </w:r>
                      <w:bookmarkEnd w:id="12"/>
                      <w:r>
                        <w:rPr>
                          <w:lang w:val="de-AT"/>
                        </w:rPr>
                        <w:fldChar w:fldCharType="end"/>
                      </w:r>
                    </w:p>
                  </w:txbxContent>
                </v:textbox>
                <w10:wrap type="tight" anchorx="margin"/>
              </v:shape>
            </w:pict>
          </mc:Fallback>
        </mc:AlternateContent>
      </w:r>
    </w:p>
    <w:p w14:paraId="7933CF76" w14:textId="33A64932" w:rsidR="001F791B" w:rsidRPr="001818FC" w:rsidRDefault="001F791B" w:rsidP="001F791B">
      <w:pPr>
        <w:spacing w:after="120"/>
        <w:rPr>
          <w:b/>
          <w:lang w:val="de-AT"/>
        </w:rPr>
      </w:pPr>
      <w:r>
        <w:rPr>
          <w:b/>
          <w:lang w:val="de-AT"/>
        </w:rPr>
        <w:lastRenderedPageBreak/>
        <w:t>Profiling</w:t>
      </w:r>
    </w:p>
    <w:p w14:paraId="53AAE657" w14:textId="1D4601F3" w:rsidR="001F791B" w:rsidRDefault="00AB05E6" w:rsidP="001F791B">
      <w:r>
        <w:rPr>
          <w:lang w:val="de-AT"/>
        </w:rPr>
        <w:t xml:space="preserve">Werden personenbezogene Daten automatisiert zum Zweck der Bestimmung, Vorhersage oder Analyse persönlicher Aspekte, im Speziellen </w:t>
      </w:r>
      <w:r>
        <w:t xml:space="preserve">Arbeitsleistung, wirtschaftliche Situation, Gesundheit, Verhalten, persönliche Vorlieben und Interessen, Zuverlässigkeit, Aufenthaltsort, Ortswechsel einer natürlichen Person, so spricht man nach </w:t>
      </w:r>
      <w:r w:rsidR="00C4182F">
        <w:t>Art</w:t>
      </w:r>
      <w:r>
        <w:t xml:space="preserve"> 4 Abs 4 von „Profiling“. Diese Art der Verarbeitung wird speziell in Artikel 22 behandelt. </w:t>
      </w:r>
    </w:p>
    <w:p w14:paraId="23639512" w14:textId="74BE86DD" w:rsidR="00AB05E6" w:rsidRPr="001818FC" w:rsidRDefault="00AB05E6" w:rsidP="005738DB">
      <w:pPr>
        <w:spacing w:after="200" w:line="276" w:lineRule="auto"/>
        <w:jc w:val="left"/>
        <w:rPr>
          <w:b/>
          <w:lang w:val="de-AT"/>
        </w:rPr>
      </w:pPr>
      <w:r>
        <w:rPr>
          <w:b/>
          <w:lang w:val="de-AT"/>
        </w:rPr>
        <w:t>Pseudonymisierung</w:t>
      </w:r>
    </w:p>
    <w:p w14:paraId="5C90AB55" w14:textId="7804830A" w:rsidR="00AB05E6" w:rsidRDefault="001B5530" w:rsidP="001F791B">
      <w:pPr>
        <w:rPr>
          <w:lang w:val="de-AT"/>
        </w:rPr>
      </w:pPr>
      <w:r>
        <w:rPr>
          <w:lang w:val="de-AT"/>
        </w:rPr>
        <w:t xml:space="preserve">Personenbezogene Daten, die nur noch unter Hinzufügung zusätzlicher Informationen </w:t>
      </w:r>
      <w:r w:rsidR="00C4182F">
        <w:rPr>
          <w:lang w:val="de-AT"/>
        </w:rPr>
        <w:t xml:space="preserve">einer einzelnen natürlichen Person zugerechnet werden können, sind nach Art 4 Abs 5 </w:t>
      </w:r>
      <w:r w:rsidR="00673D4D">
        <w:rPr>
          <w:lang w:val="de-AT"/>
        </w:rPr>
        <w:t xml:space="preserve">einer pseudonymisierenden Verarbeitung unterzogen. Dazu ist es notwendig, dass diese zusätzlichen Informationen </w:t>
      </w:r>
      <w:r w:rsidR="00B35187">
        <w:rPr>
          <w:lang w:val="de-AT"/>
        </w:rPr>
        <w:t xml:space="preserve">nicht gemeinsam mit den </w:t>
      </w:r>
      <w:r w:rsidR="00C32802">
        <w:rPr>
          <w:lang w:val="de-AT"/>
        </w:rPr>
        <w:t>pseudonymisierten personenbezogenen Daten aufbewahrt werden.</w:t>
      </w:r>
    </w:p>
    <w:p w14:paraId="602409DF" w14:textId="220A8EF2" w:rsidR="00861B73" w:rsidRPr="00861B73" w:rsidRDefault="00861B73" w:rsidP="00861B73">
      <w:pPr>
        <w:pStyle w:val="Listenabsatz"/>
        <w:numPr>
          <w:ilvl w:val="0"/>
          <w:numId w:val="31"/>
        </w:numPr>
        <w:rPr>
          <w:lang w:val="de-AT"/>
        </w:rPr>
      </w:pPr>
      <w:r>
        <w:rPr>
          <w:lang w:val="de-AT"/>
        </w:rPr>
        <w:t>Die letzten drei Stellen einer IP</w:t>
      </w:r>
      <w:r w:rsidR="00C47AD0">
        <w:rPr>
          <w:lang w:val="de-AT"/>
        </w:rPr>
        <w:t xml:space="preserve">-Adresse werden durch eine Analyse-Software standardmäßig gegen „0“ getauscht. Eine eindeutige Zuordnung einzelner Nutzer ist nicht mehr möglich </w:t>
      </w:r>
      <w:r w:rsidR="00C47AD0">
        <w:rPr>
          <w:lang w:val="de-AT"/>
        </w:rPr>
        <w:fldChar w:fldCharType="begin"/>
      </w:r>
      <w:r w:rsidR="00F448A0">
        <w:rPr>
          <w:lang w:val="de-AT"/>
        </w:rPr>
        <w:instrText xml:space="preserve"> ADDIN EN.CITE &lt;EndNote&gt;&lt;Cite&gt;&lt;Author&gt;Google&lt;/Author&gt;&lt;Year&gt;2019&lt;/Year&gt;&lt;IDText&gt;IP-Anonymisierung in Analytics&lt;/IDText&gt;&lt;DisplayText&gt;(Google, 2019b)&lt;/DisplayText&gt;&lt;record&gt;&lt;urls&gt;&lt;related-urls&gt;&lt;url&gt;https://support.google.com/analytics/answer/2763052?hl=de&lt;/url&gt;&lt;/related-urls&gt;&lt;/urls&gt;&lt;titles&gt;&lt;title&gt;IP-Anonymisierung in Analytics&lt;/title&gt;&lt;/titles&gt;&lt;number&gt;9.6.2019 &lt;/number&gt;&lt;contributors&gt;&lt;authors&gt;&lt;author&gt;Google&lt;/author&gt;&lt;/authors&gt;&lt;/contributors&gt;&lt;added-date format="utc"&gt;1560278474&lt;/added-date&gt;&lt;ref-type name="Web Page"&gt;12&lt;/ref-type&gt;&lt;dates&gt;&lt;year&gt;2019&lt;/year&gt;&lt;/dates&gt;&lt;rec-number&gt;91&lt;/rec-number&gt;&lt;publisher&gt;Google Ireland Limited&lt;/publisher&gt;&lt;last-updated-date format="utc"&gt;1560278592&lt;/last-updated-date&gt;&lt;/record&gt;&lt;/Cite&gt;&lt;/EndNote&gt;</w:instrText>
      </w:r>
      <w:r w:rsidR="00C47AD0">
        <w:rPr>
          <w:lang w:val="de-AT"/>
        </w:rPr>
        <w:fldChar w:fldCharType="separate"/>
      </w:r>
      <w:r w:rsidR="00F448A0">
        <w:rPr>
          <w:noProof/>
          <w:lang w:val="de-AT"/>
        </w:rPr>
        <w:t>(Google, 2019b)</w:t>
      </w:r>
      <w:r w:rsidR="00C47AD0">
        <w:rPr>
          <w:lang w:val="de-AT"/>
        </w:rPr>
        <w:fldChar w:fldCharType="end"/>
      </w:r>
      <w:r w:rsidR="00C47AD0">
        <w:rPr>
          <w:lang w:val="de-AT"/>
        </w:rPr>
        <w:t>.</w:t>
      </w:r>
    </w:p>
    <w:p w14:paraId="0C332BB7" w14:textId="5BFFA1A2" w:rsidR="00AB05E6" w:rsidRPr="001818FC" w:rsidRDefault="00AB05E6" w:rsidP="00AB05E6">
      <w:pPr>
        <w:spacing w:after="120"/>
        <w:rPr>
          <w:b/>
          <w:lang w:val="de-AT"/>
        </w:rPr>
      </w:pPr>
      <w:r>
        <w:rPr>
          <w:b/>
          <w:lang w:val="de-AT"/>
        </w:rPr>
        <w:t>Dateisystem</w:t>
      </w:r>
    </w:p>
    <w:p w14:paraId="61D528DA" w14:textId="4CE99655" w:rsidR="00075BFC" w:rsidRDefault="00075BFC" w:rsidP="00F6531D">
      <w:pPr>
        <w:rPr>
          <w:lang w:val="de-AT"/>
        </w:rPr>
      </w:pPr>
      <w:r>
        <w:rPr>
          <w:lang w:val="de-AT"/>
        </w:rPr>
        <w:t>Art 4 Abs 6 definiert ein „Dateisystem“ als s</w:t>
      </w:r>
      <w:r w:rsidR="00266148">
        <w:rPr>
          <w:lang w:val="de-AT"/>
        </w:rPr>
        <w:t xml:space="preserve">trukturierte, geordnete Sammlungen personenbezogener Daten, </w:t>
      </w:r>
      <w:r>
        <w:rPr>
          <w:lang w:val="de-AT"/>
        </w:rPr>
        <w:t>wobei es unerheblich ist</w:t>
      </w:r>
      <w:r w:rsidR="00266148">
        <w:rPr>
          <w:lang w:val="de-AT"/>
        </w:rPr>
        <w:t xml:space="preserve"> ob</w:t>
      </w:r>
      <w:r>
        <w:rPr>
          <w:lang w:val="de-AT"/>
        </w:rPr>
        <w:t xml:space="preserve"> diese nach funktionalen oder geografischen Kriterien,</w:t>
      </w:r>
      <w:r w:rsidR="00266148">
        <w:rPr>
          <w:lang w:val="de-AT"/>
        </w:rPr>
        <w:t xml:space="preserve"> zentral</w:t>
      </w:r>
      <w:r>
        <w:rPr>
          <w:lang w:val="de-AT"/>
        </w:rPr>
        <w:t xml:space="preserve"> oder</w:t>
      </w:r>
      <w:r w:rsidR="00266148">
        <w:rPr>
          <w:lang w:val="de-AT"/>
        </w:rPr>
        <w:t xml:space="preserve"> dezentral </w:t>
      </w:r>
      <w:r>
        <w:rPr>
          <w:lang w:val="de-AT"/>
        </w:rPr>
        <w:t>geordnet sind. Sie sind nach bestimmten Kriterien zugänglich.</w:t>
      </w:r>
    </w:p>
    <w:p w14:paraId="38390CC4" w14:textId="28CF8AB5" w:rsidR="0075244F" w:rsidRDefault="0075244F" w:rsidP="0075244F">
      <w:pPr>
        <w:pStyle w:val="Listenabsatz"/>
        <w:numPr>
          <w:ilvl w:val="0"/>
          <w:numId w:val="31"/>
        </w:numPr>
        <w:rPr>
          <w:lang w:val="de-AT"/>
        </w:rPr>
      </w:pPr>
      <w:r>
        <w:rPr>
          <w:lang w:val="de-AT"/>
        </w:rPr>
        <w:t>Kundenmanagement-System (CRM)</w:t>
      </w:r>
    </w:p>
    <w:p w14:paraId="3D08FB60" w14:textId="0948C1A0" w:rsidR="00D92CDA" w:rsidRDefault="00D92CDA" w:rsidP="0075244F">
      <w:pPr>
        <w:pStyle w:val="Listenabsatz"/>
        <w:numPr>
          <w:ilvl w:val="0"/>
          <w:numId w:val="31"/>
        </w:numPr>
        <w:rPr>
          <w:lang w:val="de-AT"/>
        </w:rPr>
      </w:pPr>
      <w:r>
        <w:rPr>
          <w:lang w:val="de-AT"/>
        </w:rPr>
        <w:t>Visitenkartenablage</w:t>
      </w:r>
    </w:p>
    <w:p w14:paraId="65B3B8EA" w14:textId="01AFBA75" w:rsidR="00D10BD2" w:rsidRDefault="00D10BD2">
      <w:pPr>
        <w:spacing w:after="200" w:line="276" w:lineRule="auto"/>
        <w:jc w:val="left"/>
        <w:rPr>
          <w:lang w:val="de-AT"/>
        </w:rPr>
      </w:pPr>
      <w:r>
        <w:rPr>
          <w:lang w:val="de-AT"/>
        </w:rPr>
        <w:br w:type="page"/>
      </w:r>
    </w:p>
    <w:p w14:paraId="498D19D9" w14:textId="1C811ADA" w:rsidR="00085920" w:rsidRPr="00292412" w:rsidRDefault="009D60F7" w:rsidP="00F6531D">
      <w:pPr>
        <w:pStyle w:val="berschrift3"/>
        <w:rPr>
          <w:lang w:val="de-AT"/>
        </w:rPr>
      </w:pPr>
      <w:bookmarkStart w:id="13" w:name="_Toc11865308"/>
      <w:r w:rsidRPr="00292412">
        <w:rPr>
          <w:lang w:val="de-AT"/>
        </w:rPr>
        <w:lastRenderedPageBreak/>
        <w:t>Die Säulen des Datenschutzes</w:t>
      </w:r>
      <w:bookmarkEnd w:id="13"/>
    </w:p>
    <w:p w14:paraId="04714B7A" w14:textId="511A1273" w:rsidR="00E27AFF" w:rsidRDefault="00DB7F33" w:rsidP="009D60F7">
      <w:pPr>
        <w:rPr>
          <w:lang w:val="de-AT"/>
        </w:rPr>
      </w:pPr>
      <w:r>
        <w:rPr>
          <w:lang w:val="de-AT"/>
        </w:rPr>
        <w:t xml:space="preserve">Datenschutzrechtliche Verordnungen stützen sich seit Beginn an auf mehrere Säulen und Grundbedingungen, die ein vereinfachtes Handeln nach den </w:t>
      </w:r>
      <w:r w:rsidR="00292412">
        <w:rPr>
          <w:lang w:val="de-AT"/>
        </w:rPr>
        <w:t>Regularien</w:t>
      </w:r>
      <w:r>
        <w:rPr>
          <w:lang w:val="de-AT"/>
        </w:rPr>
        <w:t xml:space="preserve"> ermöglichen. </w:t>
      </w:r>
      <w:r w:rsidR="00F721CB">
        <w:rPr>
          <w:lang w:val="de-AT"/>
        </w:rPr>
        <w:t>Neben den Forderungen der</w:t>
      </w:r>
      <w:r>
        <w:rPr>
          <w:lang w:val="de-AT"/>
        </w:rPr>
        <w:t xml:space="preserve"> OECD </w:t>
      </w:r>
      <w:r>
        <w:rPr>
          <w:lang w:val="de-AT"/>
        </w:rPr>
        <w:fldChar w:fldCharType="begin"/>
      </w:r>
      <w:r>
        <w:rPr>
          <w:lang w:val="de-AT"/>
        </w:rPr>
        <w:instrText xml:space="preserve"> ADDIN EN.CITE &lt;EndNote&gt;&lt;Cite ExcludeAuth="1"&gt;&lt;Author&gt;OECD&lt;/Author&gt;&lt;Year&gt;2013&lt;/Year&gt;&lt;IDText&gt;The OECD Privacy Framework&lt;/IDText&gt;&lt;DisplayText&gt;(2013)&lt;/DisplayText&gt;&lt;record&gt;&lt;urls&gt;&lt;related-urls&gt;&lt;url&gt;http://www.oecd.org/internet/ieconomy/oecd_privacy_framework.pdf&lt;/url&gt;&lt;/related-urls&gt;&lt;/urls&gt;&lt;titles&gt;&lt;title&gt;The OECD Privacy Framework&lt;/title&gt;&lt;/titles&gt;&lt;contributors&gt;&lt;authors&gt;&lt;author&gt;OECD, Organisation für wirtschaftliche Zusammenarbeit und Entwicklung&lt;/author&gt;&lt;/authors&gt;&lt;/contributors&gt;&lt;added-date format="utc"&gt;1559822789&lt;/added-date&gt;&lt;ref-type name="Generic"&gt;13&lt;/ref-type&gt;&lt;dates&gt;&lt;year&gt;2013&lt;/year&gt;&lt;/dates&gt;&lt;rec-number&gt;65&lt;/rec-number&gt;&lt;last-updated-date format="utc"&gt;1559823439&lt;/last-updated-date&gt;&lt;/record&gt;&lt;/Cite&gt;&lt;/EndNote&gt;</w:instrText>
      </w:r>
      <w:r>
        <w:rPr>
          <w:lang w:val="de-AT"/>
        </w:rPr>
        <w:fldChar w:fldCharType="separate"/>
      </w:r>
      <w:r>
        <w:rPr>
          <w:noProof/>
          <w:lang w:val="de-AT"/>
        </w:rPr>
        <w:t>(2013)</w:t>
      </w:r>
      <w:r>
        <w:rPr>
          <w:lang w:val="de-AT"/>
        </w:rPr>
        <w:fldChar w:fldCharType="end"/>
      </w:r>
      <w:r>
        <w:rPr>
          <w:lang w:val="de-AT"/>
        </w:rPr>
        <w:t xml:space="preserve"> bezüglich Transparenz, Zweckbindung </w:t>
      </w:r>
      <w:r w:rsidR="005433EC">
        <w:rPr>
          <w:lang w:val="de-AT"/>
        </w:rPr>
        <w:t>und Einwilligung</w:t>
      </w:r>
      <w:r w:rsidR="00F721CB">
        <w:rPr>
          <w:lang w:val="de-AT"/>
        </w:rPr>
        <w:t xml:space="preserve"> gibt es auch andere, die Datenschutz auf mehreren Säulen begründet sehen wollen. Der deutsche Rechtswissenschaftler </w:t>
      </w:r>
      <w:r w:rsidR="00E614DD">
        <w:rPr>
          <w:lang w:val="de-AT"/>
        </w:rPr>
        <w:t xml:space="preserve">Dr. Johann Bizer versuchte </w:t>
      </w:r>
      <w:r w:rsidR="00F721CB">
        <w:rPr>
          <w:lang w:val="de-AT"/>
        </w:rPr>
        <w:t xml:space="preserve">bereits 2007 die Einführung von „Sieben Goldenen Regeln“ zur Vereinfachung der Vermittlung von Datenschutzkompetenzen </w:t>
      </w:r>
      <w:r w:rsidR="00F721CB">
        <w:rPr>
          <w:lang w:val="de-AT"/>
        </w:rPr>
        <w:fldChar w:fldCharType="begin"/>
      </w:r>
      <w:r w:rsidR="00F721CB">
        <w:rPr>
          <w:lang w:val="de-AT"/>
        </w:rPr>
        <w:instrText xml:space="preserve"> ADDIN EN.CITE &lt;EndNote&gt;&lt;Cite&gt;&lt;Author&gt;Bizer&lt;/Author&gt;&lt;Year&gt;2007&lt;/Year&gt;&lt;IDText&gt;Sieben Goldene Regeln des Datenschutzes&lt;/IDText&gt;&lt;DisplayText&gt;(Bizer, 2007)&lt;/DisplayText&gt;&lt;record&gt;&lt;dates&gt;&lt;pub-dates&gt;&lt;date&gt;May 01&lt;/date&gt;&lt;/pub-dates&gt;&lt;year&gt;2007&lt;/year&gt;&lt;/dates&gt;&lt;urls&gt;&lt;related-urls&gt;&lt;url&gt;https://doi.org/10.1007/s11623-007-0133-x&lt;/url&gt;&lt;/related-urls&gt;&lt;/urls&gt;&lt;isbn&gt;1862-2607&lt;/isbn&gt;&lt;work-type&gt;journal article&lt;/work-type&gt;&lt;titles&gt;&lt;title&gt;Sieben Goldene Regeln des Datenschutzes&lt;/title&gt;&lt;secondary-title&gt;Datenschutz und Datensicherheit - DuD&lt;/secondary-title&gt;&lt;/titles&gt;&lt;pages&gt;350-356&lt;/pages&gt;&lt;number&gt;5&lt;/number&gt;&lt;contributors&gt;&lt;authors&gt;&lt;author&gt;Bizer, Johann&lt;/author&gt;&lt;/authors&gt;&lt;/contributors&gt;&lt;added-date format="utc"&gt;1560276859&lt;/added-date&gt;&lt;ref-type name="Journal Article"&gt;17&lt;/ref-type&gt;&lt;rec-number&gt;90&lt;/rec-number&gt;&lt;last-updated-date format="utc"&gt;1560276859&lt;/last-updated-date&gt;&lt;label&gt;Bizer2007&lt;/label&gt;&lt;electronic-resource-num&gt;10.1007/s11623-007-0133-x&lt;/electronic-resource-num&gt;&lt;volume&gt;31&lt;/volume&gt;&lt;/record&gt;&lt;/Cite&gt;&lt;/EndNote&gt;</w:instrText>
      </w:r>
      <w:r w:rsidR="00F721CB">
        <w:rPr>
          <w:lang w:val="de-AT"/>
        </w:rPr>
        <w:fldChar w:fldCharType="separate"/>
      </w:r>
      <w:r w:rsidR="00F721CB">
        <w:rPr>
          <w:noProof/>
          <w:lang w:val="de-AT"/>
        </w:rPr>
        <w:t>(Bizer, 2007)</w:t>
      </w:r>
      <w:r w:rsidR="00F721CB">
        <w:rPr>
          <w:lang w:val="de-AT"/>
        </w:rPr>
        <w:fldChar w:fldCharType="end"/>
      </w:r>
      <w:r w:rsidR="00F721CB">
        <w:rPr>
          <w:lang w:val="de-AT"/>
        </w:rPr>
        <w:t>.</w:t>
      </w:r>
      <w:r w:rsidR="00F33EEF">
        <w:rPr>
          <w:lang w:val="de-AT"/>
        </w:rPr>
        <w:t xml:space="preserve"> </w:t>
      </w:r>
    </w:p>
    <w:p w14:paraId="7C8042E2" w14:textId="6CCDAF01" w:rsidR="00E27AFF" w:rsidRDefault="00B66BE2" w:rsidP="009D60F7">
      <w:pPr>
        <w:rPr>
          <w:lang w:val="de-AT"/>
        </w:rPr>
      </w:pPr>
      <w:r>
        <w:rPr>
          <w:lang w:val="de-AT"/>
        </w:rPr>
        <w:t xml:space="preserve">Nach Bizer </w:t>
      </w:r>
      <w:r>
        <w:rPr>
          <w:lang w:val="de-AT"/>
        </w:rPr>
        <w:fldChar w:fldCharType="begin"/>
      </w:r>
      <w:r>
        <w:rPr>
          <w:lang w:val="de-AT"/>
        </w:rPr>
        <w:instrText xml:space="preserve"> ADDIN EN.CITE &lt;EndNote&gt;&lt;Cite ExcludeAuth="1"&gt;&lt;Author&gt;Bizer&lt;/Author&gt;&lt;Year&gt;2007&lt;/Year&gt;&lt;IDText&gt;Sieben Goldene Regeln des Datenschutzes&lt;/IDText&gt;&lt;Pages&gt;350-355&lt;/Pages&gt;&lt;DisplayText&gt;(2007, S. 350-355)&lt;/DisplayText&gt;&lt;record&gt;&lt;dates&gt;&lt;pub-dates&gt;&lt;date&gt;May 01&lt;/date&gt;&lt;/pub-dates&gt;&lt;year&gt;2007&lt;/year&gt;&lt;/dates&gt;&lt;urls&gt;&lt;related-urls&gt;&lt;url&gt;https://doi.org/10.1007/s11623-007-0133-x&lt;/url&gt;&lt;/related-urls&gt;&lt;/urls&gt;&lt;isbn&gt;1862-2607&lt;/isbn&gt;&lt;work-type&gt;journal article&lt;/work-type&gt;&lt;titles&gt;&lt;title&gt;Sieben Goldene Regeln des Datenschutzes&lt;/title&gt;&lt;secondary-title&gt;Datenschutz und Datensicherheit - DuD&lt;/secondary-title&gt;&lt;/titles&gt;&lt;pages&gt;350-356&lt;/pages&gt;&lt;number&gt;5&lt;/number&gt;&lt;contributors&gt;&lt;authors&gt;&lt;author&gt;Bizer, Johann&lt;/author&gt;&lt;/authors&gt;&lt;/contributors&gt;&lt;added-date format="utc"&gt;1560276859&lt;/added-date&gt;&lt;ref-type name="Journal Article"&gt;17&lt;/ref-type&gt;&lt;rec-number&gt;90&lt;/rec-number&gt;&lt;last-updated-date format="utc"&gt;1560276859&lt;/last-updated-date&gt;&lt;label&gt;Bizer2007&lt;/label&gt;&lt;electronic-resource-num&gt;10.1007/s11623-007-0133-x&lt;/electronic-resource-num&gt;&lt;volume&gt;31&lt;/volume&gt;&lt;/record&gt;&lt;/Cite&gt;&lt;/EndNote&gt;</w:instrText>
      </w:r>
      <w:r>
        <w:rPr>
          <w:lang w:val="de-AT"/>
        </w:rPr>
        <w:fldChar w:fldCharType="separate"/>
      </w:r>
      <w:r>
        <w:rPr>
          <w:noProof/>
          <w:lang w:val="de-AT"/>
        </w:rPr>
        <w:t>(2007, S. 350-355)</w:t>
      </w:r>
      <w:r>
        <w:rPr>
          <w:lang w:val="de-AT"/>
        </w:rPr>
        <w:fldChar w:fldCharType="end"/>
      </w:r>
      <w:r>
        <w:rPr>
          <w:lang w:val="de-AT"/>
        </w:rPr>
        <w:t xml:space="preserve"> ließ sich</w:t>
      </w:r>
      <w:r w:rsidR="00F538B1">
        <w:rPr>
          <w:lang w:val="de-AT"/>
        </w:rPr>
        <w:t xml:space="preserve"> </w:t>
      </w:r>
      <w:r>
        <w:rPr>
          <w:lang w:val="de-AT"/>
        </w:rPr>
        <w:t>das damals geltendes deutsches Datenschutzrecht in sieben Säulen unterteilen, die eine Verarbeitung ermöglichen:</w:t>
      </w:r>
    </w:p>
    <w:p w14:paraId="4A1A1C65" w14:textId="35A3CAA7" w:rsidR="00B66BE2" w:rsidRDefault="00B66BE2" w:rsidP="00B66BE2">
      <w:pPr>
        <w:pStyle w:val="Listenabsatz"/>
        <w:numPr>
          <w:ilvl w:val="0"/>
          <w:numId w:val="29"/>
        </w:numPr>
        <w:rPr>
          <w:lang w:val="de-AT"/>
        </w:rPr>
      </w:pPr>
      <w:r>
        <w:rPr>
          <w:lang w:val="de-AT"/>
        </w:rPr>
        <w:t>Rechtmäßigkeit</w:t>
      </w:r>
    </w:p>
    <w:p w14:paraId="67A23385" w14:textId="38301A06" w:rsidR="00B66BE2" w:rsidRDefault="00B66BE2" w:rsidP="00B66BE2">
      <w:pPr>
        <w:pStyle w:val="Listenabsatz"/>
        <w:numPr>
          <w:ilvl w:val="0"/>
          <w:numId w:val="29"/>
        </w:numPr>
        <w:rPr>
          <w:lang w:val="de-AT"/>
        </w:rPr>
      </w:pPr>
      <w:r>
        <w:rPr>
          <w:lang w:val="de-AT"/>
        </w:rPr>
        <w:t>Einwilligung</w:t>
      </w:r>
    </w:p>
    <w:p w14:paraId="1FA22E3F" w14:textId="6E5D775F" w:rsidR="00B66BE2" w:rsidRDefault="00B66BE2" w:rsidP="00B66BE2">
      <w:pPr>
        <w:pStyle w:val="Listenabsatz"/>
        <w:numPr>
          <w:ilvl w:val="0"/>
          <w:numId w:val="29"/>
        </w:numPr>
        <w:rPr>
          <w:lang w:val="de-AT"/>
        </w:rPr>
      </w:pPr>
      <w:r>
        <w:rPr>
          <w:lang w:val="de-AT"/>
        </w:rPr>
        <w:t>Zweckbindung</w:t>
      </w:r>
    </w:p>
    <w:p w14:paraId="12B961E0" w14:textId="02431A76" w:rsidR="00B66BE2" w:rsidRDefault="00B66BE2" w:rsidP="00B66BE2">
      <w:pPr>
        <w:pStyle w:val="Listenabsatz"/>
        <w:numPr>
          <w:ilvl w:val="0"/>
          <w:numId w:val="29"/>
        </w:numPr>
        <w:rPr>
          <w:lang w:val="de-AT"/>
        </w:rPr>
      </w:pPr>
      <w:r>
        <w:rPr>
          <w:lang w:val="de-AT"/>
        </w:rPr>
        <w:t>Erforderlichkeit</w:t>
      </w:r>
    </w:p>
    <w:p w14:paraId="635ADAA3" w14:textId="10BCF35A" w:rsidR="00B66BE2" w:rsidRDefault="00B66BE2" w:rsidP="00B66BE2">
      <w:pPr>
        <w:pStyle w:val="Listenabsatz"/>
        <w:numPr>
          <w:ilvl w:val="0"/>
          <w:numId w:val="29"/>
        </w:numPr>
        <w:rPr>
          <w:lang w:val="de-AT"/>
        </w:rPr>
      </w:pPr>
      <w:r>
        <w:rPr>
          <w:lang w:val="de-AT"/>
        </w:rPr>
        <w:t>Transparenz</w:t>
      </w:r>
    </w:p>
    <w:p w14:paraId="3BD0772C" w14:textId="674BDB81" w:rsidR="00B66BE2" w:rsidRDefault="00B66BE2" w:rsidP="00B66BE2">
      <w:pPr>
        <w:pStyle w:val="Listenabsatz"/>
        <w:numPr>
          <w:ilvl w:val="0"/>
          <w:numId w:val="29"/>
        </w:numPr>
        <w:rPr>
          <w:lang w:val="de-AT"/>
        </w:rPr>
      </w:pPr>
      <w:r>
        <w:rPr>
          <w:lang w:val="de-AT"/>
        </w:rPr>
        <w:t>Datensicherheit</w:t>
      </w:r>
    </w:p>
    <w:p w14:paraId="6430E0C4" w14:textId="132384BF" w:rsidR="00B66BE2" w:rsidRDefault="00B66BE2" w:rsidP="00B66BE2">
      <w:pPr>
        <w:pStyle w:val="Listenabsatz"/>
        <w:numPr>
          <w:ilvl w:val="0"/>
          <w:numId w:val="29"/>
        </w:numPr>
        <w:rPr>
          <w:lang w:val="de-AT"/>
        </w:rPr>
      </w:pPr>
      <w:r>
        <w:rPr>
          <w:lang w:val="de-AT"/>
        </w:rPr>
        <w:t>Kontrolle</w:t>
      </w:r>
    </w:p>
    <w:p w14:paraId="5138AE4B" w14:textId="64E44391" w:rsidR="00B66BE2" w:rsidRDefault="00F33EEF" w:rsidP="00B66BE2">
      <w:pPr>
        <w:rPr>
          <w:lang w:val="de-AT"/>
        </w:rPr>
      </w:pPr>
      <w:r>
        <w:rPr>
          <w:lang w:val="de-AT"/>
        </w:rPr>
        <w:t xml:space="preserve">Die europäische </w:t>
      </w:r>
      <w:r w:rsidR="000D7C37">
        <w:rPr>
          <w:lang w:val="de-AT"/>
        </w:rPr>
        <w:t xml:space="preserve">Verordnung 2016/679/EU greift die von Bizer genannten Prinzipien in gleicher oder ähnlicher Form wieder auf und erläutert sie in Artikel </w:t>
      </w:r>
      <w:r w:rsidR="000C64FD">
        <w:rPr>
          <w:lang w:val="de-AT"/>
        </w:rPr>
        <w:t>DSGVO</w:t>
      </w:r>
      <w:r w:rsidR="009413DF">
        <w:rPr>
          <w:lang w:val="de-AT"/>
        </w:rPr>
        <w:t xml:space="preserve"> und erweitert diese.</w:t>
      </w:r>
      <w:r w:rsidR="00D51053">
        <w:rPr>
          <w:lang w:val="de-AT"/>
        </w:rPr>
        <w:t xml:space="preserve"> Die in den Artikeln </w:t>
      </w:r>
    </w:p>
    <w:p w14:paraId="4BA4317C" w14:textId="6EE068D6" w:rsidR="00B66BE2" w:rsidRDefault="00B700C5" w:rsidP="005F25A1">
      <w:pPr>
        <w:pStyle w:val="berschrift4"/>
        <w:rPr>
          <w:lang w:val="de-AT"/>
        </w:rPr>
      </w:pPr>
      <w:r>
        <w:rPr>
          <w:lang w:val="de-AT"/>
        </w:rPr>
        <w:t>Rechtmäßigkeit</w:t>
      </w:r>
      <w:r w:rsidR="006F2DAB">
        <w:rPr>
          <w:lang w:val="de-AT"/>
        </w:rPr>
        <w:t>, Verarbeitung nach Treu und Glauben</w:t>
      </w:r>
      <w:r w:rsidR="009413DF">
        <w:rPr>
          <w:lang w:val="de-AT"/>
        </w:rPr>
        <w:t>, Transparenz</w:t>
      </w:r>
    </w:p>
    <w:p w14:paraId="07DE2153" w14:textId="0E3C21F4" w:rsidR="005F25A1" w:rsidRDefault="00F13E77" w:rsidP="005F25A1">
      <w:pPr>
        <w:rPr>
          <w:lang w:val="de-AT"/>
        </w:rPr>
      </w:pPr>
      <w:r>
        <w:rPr>
          <w:lang w:val="de-AT"/>
        </w:rPr>
        <w:t xml:space="preserve">Art 5 Abs 1a erläutert, dass die Verarbeitung nach den Prinzipien der Rechtmäßigkeit, verständlichen Nachvollziehbarkeit für die sie betreffenden Personen und nach Treu und Glauben geschehen muss. Der Begriff „nach Treu und Glauben“ ist beispielsweise im </w:t>
      </w:r>
      <w:r w:rsidR="009B4A79">
        <w:rPr>
          <w:lang w:val="de-AT"/>
        </w:rPr>
        <w:t xml:space="preserve">ABGB im </w:t>
      </w:r>
      <w:r w:rsidR="005511E8">
        <w:rPr>
          <w:lang w:val="de-AT"/>
        </w:rPr>
        <w:t>ö</w:t>
      </w:r>
      <w:r>
        <w:rPr>
          <w:lang w:val="de-AT"/>
        </w:rPr>
        <w:t xml:space="preserve">sterreichischen </w:t>
      </w:r>
      <w:r w:rsidR="005511E8">
        <w:rPr>
          <w:lang w:val="de-AT"/>
        </w:rPr>
        <w:t xml:space="preserve">Recht als eine Ausübung einer Absicht, die dem üblichen Rechtsgebrauch entspricht, definiert </w:t>
      </w:r>
      <w:r w:rsidR="005511E8">
        <w:rPr>
          <w:lang w:val="de-AT"/>
        </w:rPr>
        <w:fldChar w:fldCharType="begin"/>
      </w:r>
      <w:r w:rsidR="005511E8">
        <w:rPr>
          <w:lang w:val="de-AT"/>
        </w:rPr>
        <w:instrText xml:space="preserve"> ADDIN EN.CITE &lt;EndNote&gt;&lt;Cite&gt;&lt;Author&gt;Österreich&lt;/Author&gt;&lt;Year&gt;1811&lt;/Year&gt;&lt;IDText&gt;Allgemeines bürgerliches Gesetzbuch für die gesammten deutschen Erbländer der Oesterreichischen&lt;/IDText&gt;&lt;Prefix&gt;§ 914 &lt;/Prefix&gt;&lt;Pages&gt;115&lt;/Pages&gt;&lt;DisplayText&gt;(§ 914 Österreich, 1811, S. 115)&lt;/DisplayText&gt;&lt;record&gt;&lt;urls&gt;&lt;related-urls&gt;&lt;url&gt;https://www.ris.bka.gv.at/GeltendeFassung/Bundesnormen/10001622/ABGB%2c%20Fassung%20vom%2012.06.2019.pdf&lt;/url&gt;&lt;/related-urls&gt;&lt;/urls&gt;&lt;titles&gt;&lt;title&gt;Allgemeines bürgerliches Gesetzbuch für die gesammten deutschen Erbländer der Oesterreichischen&amp;#xA;Monarchie StF: JGS Nr. 946/1811&lt;/title&gt;&lt;/titles&gt;&lt;access-date&gt;12.6.2019&lt;/access-date&gt;&lt;contributors&gt;&lt;authors&gt;&lt;author&gt;Österreich&lt;/author&gt;&lt;/authors&gt;&lt;/contributors&gt;&lt;added-date format="utc"&gt;1560359538&lt;/added-date&gt;&lt;ref-type name="Legal Rule or Regulation"&gt;50&lt;/ref-type&gt;&lt;dates&gt;&lt;year&gt;1811&lt;/year&gt;&lt;/dates&gt;&lt;rec-number&gt;92&lt;/rec-number&gt;&lt;last-updated-date format="utc"&gt;1560359778&lt;/last-updated-date&gt;&lt;/record&gt;&lt;/Cite&gt;&lt;/EndNote&gt;</w:instrText>
      </w:r>
      <w:r w:rsidR="005511E8">
        <w:rPr>
          <w:lang w:val="de-AT"/>
        </w:rPr>
        <w:fldChar w:fldCharType="separate"/>
      </w:r>
      <w:r w:rsidR="005511E8">
        <w:rPr>
          <w:noProof/>
          <w:lang w:val="de-AT"/>
        </w:rPr>
        <w:t>(§ 914 Österreich, 1811, S. 115)</w:t>
      </w:r>
      <w:r w:rsidR="005511E8">
        <w:rPr>
          <w:lang w:val="de-AT"/>
        </w:rPr>
        <w:fldChar w:fldCharType="end"/>
      </w:r>
      <w:r w:rsidR="005511E8">
        <w:rPr>
          <w:lang w:val="de-AT"/>
        </w:rPr>
        <w:t>. Es muss also bei Ausübung einer Handlung eine rechtskonforme Nutzung stattfinden, wobei eine wörtliche Interpretation in dem Sinne nicht angenommen werden darf.</w:t>
      </w:r>
      <w:r w:rsidR="009413DF">
        <w:rPr>
          <w:lang w:val="de-AT"/>
        </w:rPr>
        <w:t xml:space="preserve"> Der gesetzgebende Absatz möchte damit sicherstehen, dass eine Verarbeitung personenbezogener Daten eines Betroffenen auf rechtlicher Basis und durch einen zuverlässigen Verantwortlichen geschieht, der transparent mit ebenjener Verarbeitung umgeht.</w:t>
      </w:r>
    </w:p>
    <w:p w14:paraId="33EF4217" w14:textId="59F6458D" w:rsidR="00D51053" w:rsidRDefault="00D51053" w:rsidP="005F25A1">
      <w:pPr>
        <w:rPr>
          <w:lang w:val="de-AT"/>
        </w:rPr>
      </w:pPr>
      <w:r>
        <w:rPr>
          <w:lang w:val="de-AT"/>
        </w:rPr>
        <w:lastRenderedPageBreak/>
        <w:t>Die Rechtmäßigkeit der Verarbeitung selbst unterliegt Artikel 6. Dieser Artikel nennt sechs Bedingungen zur Erfüllung einer rechtmäßigen Verarbeitung:</w:t>
      </w:r>
    </w:p>
    <w:p w14:paraId="57D705EB" w14:textId="71065FDD" w:rsidR="00D51053" w:rsidRDefault="00D51053" w:rsidP="00D51053">
      <w:pPr>
        <w:pStyle w:val="Listenabsatz"/>
        <w:numPr>
          <w:ilvl w:val="0"/>
          <w:numId w:val="33"/>
        </w:numPr>
        <w:rPr>
          <w:lang w:val="de-AT"/>
        </w:rPr>
      </w:pPr>
      <w:r>
        <w:rPr>
          <w:lang w:val="de-AT"/>
        </w:rPr>
        <w:t>Einwilligung durch die betroffene Person</w:t>
      </w:r>
    </w:p>
    <w:p w14:paraId="72E70B2B" w14:textId="3074A616" w:rsidR="00D51053" w:rsidRDefault="00D51053" w:rsidP="00D51053">
      <w:pPr>
        <w:pStyle w:val="Listenabsatz"/>
        <w:numPr>
          <w:ilvl w:val="0"/>
          <w:numId w:val="33"/>
        </w:numPr>
        <w:rPr>
          <w:lang w:val="de-AT"/>
        </w:rPr>
      </w:pPr>
      <w:r>
        <w:rPr>
          <w:lang w:val="de-AT"/>
        </w:rPr>
        <w:t>Vertragserfüllung oder Durchführung vorvertraglicher Maßnahmen</w:t>
      </w:r>
    </w:p>
    <w:p w14:paraId="0614679F" w14:textId="20836CCB" w:rsidR="00D51053" w:rsidRDefault="00D51053" w:rsidP="00D51053">
      <w:pPr>
        <w:pStyle w:val="Listenabsatz"/>
        <w:numPr>
          <w:ilvl w:val="0"/>
          <w:numId w:val="33"/>
        </w:numPr>
        <w:rPr>
          <w:lang w:val="de-AT"/>
        </w:rPr>
      </w:pPr>
      <w:r>
        <w:rPr>
          <w:lang w:val="de-AT"/>
        </w:rPr>
        <w:t>Rechtliche Verpflichtung nach Unionsrecht oder Recht des Mitgliedsstaates</w:t>
      </w:r>
      <w:r w:rsidR="001B097F">
        <w:rPr>
          <w:lang w:val="de-AT"/>
        </w:rPr>
        <w:t xml:space="preserve"> (siehe Abs 3)</w:t>
      </w:r>
    </w:p>
    <w:p w14:paraId="25D53279" w14:textId="34A5E35C" w:rsidR="00D51053" w:rsidRDefault="00597B9E" w:rsidP="00D51053">
      <w:pPr>
        <w:pStyle w:val="Listenabsatz"/>
        <w:numPr>
          <w:ilvl w:val="0"/>
          <w:numId w:val="33"/>
        </w:numPr>
        <w:rPr>
          <w:lang w:val="de-AT"/>
        </w:rPr>
      </w:pPr>
      <w:r>
        <w:rPr>
          <w:lang w:val="de-AT"/>
        </w:rPr>
        <w:t>Erfordernis zum Schutz lebenswichtiger Interessen der betroffenen oder anderer natürlicher Personen</w:t>
      </w:r>
    </w:p>
    <w:p w14:paraId="6524F776" w14:textId="77777777" w:rsidR="00D602AB" w:rsidRDefault="00781FA9" w:rsidP="00D51053">
      <w:pPr>
        <w:pStyle w:val="Listenabsatz"/>
        <w:numPr>
          <w:ilvl w:val="0"/>
          <w:numId w:val="33"/>
        </w:numPr>
        <w:rPr>
          <w:lang w:val="de-AT"/>
        </w:rPr>
      </w:pPr>
      <w:r>
        <w:rPr>
          <w:lang w:val="de-AT"/>
        </w:rPr>
        <w:t>Aufgaben im öffentlichen Interesse oder öffentlicher Gewalt, sofern diese dem Verantwortlichen übertragen wurde</w:t>
      </w:r>
    </w:p>
    <w:p w14:paraId="5B102174" w14:textId="7EEB62AA" w:rsidR="00597B9E" w:rsidRPr="00D51053" w:rsidRDefault="008E1156" w:rsidP="00D51053">
      <w:pPr>
        <w:pStyle w:val="Listenabsatz"/>
        <w:numPr>
          <w:ilvl w:val="0"/>
          <w:numId w:val="33"/>
        </w:numPr>
        <w:rPr>
          <w:lang w:val="de-AT"/>
        </w:rPr>
      </w:pPr>
      <w:r>
        <w:rPr>
          <w:lang w:val="de-AT"/>
        </w:rPr>
        <w:t>Berechtigtes Interesse des Verantwortlichen oder Dritten, wobei die Grundfreiheiten und -rechte betroffener Personen überwiegen</w:t>
      </w:r>
      <w:r w:rsidR="00781FA9">
        <w:rPr>
          <w:lang w:val="de-AT"/>
        </w:rPr>
        <w:t xml:space="preserve"> </w:t>
      </w:r>
    </w:p>
    <w:p w14:paraId="66BE29B2" w14:textId="2DCE9F69" w:rsidR="006F2DAB" w:rsidRDefault="009413DF" w:rsidP="006F2DAB">
      <w:pPr>
        <w:pStyle w:val="berschrift4"/>
        <w:rPr>
          <w:lang w:val="de-AT"/>
        </w:rPr>
      </w:pPr>
      <w:r>
        <w:rPr>
          <w:lang w:val="de-AT"/>
        </w:rPr>
        <w:t>Zweckbindung</w:t>
      </w:r>
    </w:p>
    <w:p w14:paraId="6AC63BE9" w14:textId="52361112" w:rsidR="009413DF" w:rsidRPr="009413DF" w:rsidRDefault="00F768E3" w:rsidP="009413DF">
      <w:pPr>
        <w:rPr>
          <w:lang w:val="de-AT"/>
        </w:rPr>
      </w:pPr>
      <w:r>
        <w:rPr>
          <w:lang w:val="de-AT"/>
        </w:rPr>
        <w:t xml:space="preserve">Eine Zweckbindung der Verarbeitung personenbezogener Daten soll durch die </w:t>
      </w:r>
      <w:r w:rsidR="00292412">
        <w:rPr>
          <w:lang w:val="de-AT"/>
        </w:rPr>
        <w:t xml:space="preserve">Einschränkung </w:t>
      </w:r>
      <w:r>
        <w:rPr>
          <w:lang w:val="de-AT"/>
        </w:rPr>
        <w:t xml:space="preserve">in </w:t>
      </w:r>
      <w:r w:rsidR="00042869">
        <w:rPr>
          <w:lang w:val="de-AT"/>
        </w:rPr>
        <w:t xml:space="preserve">DSGVO Art 5 </w:t>
      </w:r>
      <w:r>
        <w:rPr>
          <w:lang w:val="de-AT"/>
        </w:rPr>
        <w:t xml:space="preserve">Abs 1b geschehen. </w:t>
      </w:r>
      <w:r w:rsidR="000C35E6">
        <w:rPr>
          <w:lang w:val="de-AT"/>
        </w:rPr>
        <w:t xml:space="preserve">Erhobene personenbezogene Daten dürfen nach der Verordnung nur für eindeutige und festgelegte </w:t>
      </w:r>
      <w:r w:rsidR="003F275F">
        <w:rPr>
          <w:lang w:val="de-AT"/>
        </w:rPr>
        <w:t>zulässige</w:t>
      </w:r>
      <w:r w:rsidR="000C35E6">
        <w:rPr>
          <w:lang w:val="de-AT"/>
        </w:rPr>
        <w:t xml:space="preserve"> Zwecke (weiter)verarbeitet werden. Dies soll sicherstellen, dass betroffene</w:t>
      </w:r>
      <w:r w:rsidR="003F275F">
        <w:rPr>
          <w:lang w:val="de-AT"/>
        </w:rPr>
        <w:t xml:space="preserve"> Datensätze nicht illegitim für andere Zwecke, die dem Betroffenen nicht bekannt oder nicht durch ihn genehmigt wurden, missbraucht werden.</w:t>
      </w:r>
    </w:p>
    <w:p w14:paraId="2BCC4912" w14:textId="7E087C9F" w:rsidR="004A4BA6" w:rsidRDefault="004A4BA6" w:rsidP="004A4BA6">
      <w:pPr>
        <w:pStyle w:val="berschrift4"/>
        <w:rPr>
          <w:lang w:val="de-AT"/>
        </w:rPr>
      </w:pPr>
      <w:r>
        <w:rPr>
          <w:lang w:val="de-AT"/>
        </w:rPr>
        <w:t>Datenminimierung</w:t>
      </w:r>
    </w:p>
    <w:p w14:paraId="26A1DD58" w14:textId="042B8D7E" w:rsidR="00D10BD2" w:rsidRDefault="00A133BC" w:rsidP="004A4BA6">
      <w:pPr>
        <w:rPr>
          <w:lang w:val="de-AT"/>
        </w:rPr>
      </w:pPr>
      <w:r>
        <w:rPr>
          <w:lang w:val="de-AT"/>
        </w:rPr>
        <w:t>Die DSGVO erlaubt</w:t>
      </w:r>
      <w:r w:rsidR="003356BB">
        <w:rPr>
          <w:lang w:val="de-AT"/>
        </w:rPr>
        <w:t xml:space="preserve"> in Art 5 Abs 1c</w:t>
      </w:r>
      <w:r>
        <w:rPr>
          <w:lang w:val="de-AT"/>
        </w:rPr>
        <w:t xml:space="preserve"> eine Verarbeitung personenbezogener Daten, sofern diese dem notwendigen Zweck angemessen und erheblich geschieht. Des Weiteren muss die Verarbeitung möglichst reduziert geschehen und darf nicht über den nötigen Umfang hinaus geschehen</w:t>
      </w:r>
      <w:r w:rsidR="003356BB">
        <w:rPr>
          <w:lang w:val="de-AT"/>
        </w:rPr>
        <w:t xml:space="preserve">. Als „erheblich“ wird in dieser Arbeit ein bestimmbares Maß angenommen, da dieser Begriff in den meisten Rechtsnormen als unbestimmter Rechtsbegriff gehandhabt wird und kontextuell ausgelegt wird. </w:t>
      </w:r>
    </w:p>
    <w:p w14:paraId="15DFC7A9" w14:textId="77777777" w:rsidR="00D10BD2" w:rsidRDefault="00D10BD2">
      <w:pPr>
        <w:spacing w:after="200" w:line="276" w:lineRule="auto"/>
        <w:jc w:val="left"/>
        <w:rPr>
          <w:lang w:val="de-AT"/>
        </w:rPr>
      </w:pPr>
      <w:r>
        <w:rPr>
          <w:lang w:val="de-AT"/>
        </w:rPr>
        <w:br w:type="page"/>
      </w:r>
    </w:p>
    <w:p w14:paraId="2C54D8FE" w14:textId="30462976" w:rsidR="004A4BA6" w:rsidRDefault="004A4BA6" w:rsidP="004A4BA6">
      <w:pPr>
        <w:pStyle w:val="berschrift4"/>
        <w:rPr>
          <w:lang w:val="de-AT"/>
        </w:rPr>
      </w:pPr>
      <w:r>
        <w:rPr>
          <w:lang w:val="de-AT"/>
        </w:rPr>
        <w:lastRenderedPageBreak/>
        <w:t>Richtigkeit</w:t>
      </w:r>
    </w:p>
    <w:p w14:paraId="0EB15B6D" w14:textId="7CD24722" w:rsidR="00177238" w:rsidRPr="00177238" w:rsidRDefault="00563377" w:rsidP="00177238">
      <w:pPr>
        <w:rPr>
          <w:lang w:val="de-AT"/>
        </w:rPr>
      </w:pPr>
      <w:r>
        <w:rPr>
          <w:lang w:val="de-AT"/>
        </w:rPr>
        <w:t>Als</w:t>
      </w:r>
      <w:r w:rsidR="00615D4D">
        <w:rPr>
          <w:lang w:val="de-AT"/>
        </w:rPr>
        <w:t xml:space="preserve"> Säule der Datenschutzgrundverordnung soll </w:t>
      </w:r>
      <w:r>
        <w:rPr>
          <w:lang w:val="de-AT"/>
        </w:rPr>
        <w:t xml:space="preserve">die Richtigkeit personenbezogener Daten </w:t>
      </w:r>
      <w:r w:rsidR="00615D4D">
        <w:rPr>
          <w:lang w:val="de-AT"/>
        </w:rPr>
        <w:t xml:space="preserve">sichergestellt werden, indem eine Verarbeitung </w:t>
      </w:r>
      <w:r>
        <w:rPr>
          <w:lang w:val="de-AT"/>
        </w:rPr>
        <w:t>ein</w:t>
      </w:r>
      <w:r w:rsidR="00194BBE">
        <w:rPr>
          <w:lang w:val="de-AT"/>
        </w:rPr>
        <w:t>e sachliche Richtigkeit erfordert. Diesbezüglich wird in Art 5 Abs 1d die Notwendigkeit festgehalten, Daten, die für die vorgesehene Verarbeitung unrichtig sind, entweder zu berichtigen oder sofort zu löschen. Dabei ist vom Verantwortlichen jede angemessene Maßnahme zu treffen, um der Rechtsvorschrift gerecht zu werden.</w:t>
      </w:r>
    </w:p>
    <w:p w14:paraId="0263019A" w14:textId="709DB25E" w:rsidR="004A4BA6" w:rsidRDefault="004A4BA6" w:rsidP="004A4BA6">
      <w:pPr>
        <w:pStyle w:val="berschrift4"/>
        <w:rPr>
          <w:lang w:val="de-AT"/>
        </w:rPr>
      </w:pPr>
      <w:r>
        <w:rPr>
          <w:lang w:val="de-AT"/>
        </w:rPr>
        <w:t>Speicherbegrenzung</w:t>
      </w:r>
    </w:p>
    <w:p w14:paraId="6CD0BEED" w14:textId="0A7BD320" w:rsidR="00177238" w:rsidRPr="00177238" w:rsidRDefault="000543A7" w:rsidP="00177238">
      <w:pPr>
        <w:rPr>
          <w:lang w:val="de-AT"/>
        </w:rPr>
      </w:pPr>
      <w:r>
        <w:rPr>
          <w:lang w:val="de-AT"/>
        </w:rPr>
        <w:t xml:space="preserve">Unter einer Begrenzung des Speichers </w:t>
      </w:r>
      <w:r w:rsidR="00385572">
        <w:rPr>
          <w:lang w:val="de-AT"/>
        </w:rPr>
        <w:t xml:space="preserve">verstehen die </w:t>
      </w:r>
      <w:r w:rsidR="00292412">
        <w:rPr>
          <w:lang w:val="de-AT"/>
        </w:rPr>
        <w:t>Autorinnen und Autoren</w:t>
      </w:r>
      <w:r w:rsidR="00385572">
        <w:rPr>
          <w:lang w:val="de-AT"/>
        </w:rPr>
        <w:t xml:space="preserve"> der DSGVO </w:t>
      </w:r>
      <w:r w:rsidR="00CD1887">
        <w:rPr>
          <w:lang w:val="de-AT"/>
        </w:rPr>
        <w:t xml:space="preserve">in Art 5 Abs 1e </w:t>
      </w:r>
      <w:r w:rsidR="00385572">
        <w:rPr>
          <w:lang w:val="de-AT"/>
        </w:rPr>
        <w:t xml:space="preserve">die zeitlich limitierte Aufbewahrung personenbezogener Daten. Eine Verarbeitung ist insofern nur zulässig, als eine Überschreitung der Speicherung über die erforderliche Verarbeitungsdauer </w:t>
      </w:r>
      <w:r w:rsidR="00CD1887">
        <w:rPr>
          <w:lang w:val="de-AT"/>
        </w:rPr>
        <w:t>nur für d</w:t>
      </w:r>
      <w:r w:rsidR="00385572">
        <w:rPr>
          <w:lang w:val="de-AT"/>
        </w:rPr>
        <w:t>e</w:t>
      </w:r>
      <w:r w:rsidR="00CD1887">
        <w:rPr>
          <w:lang w:val="de-AT"/>
        </w:rPr>
        <w:t>n</w:t>
      </w:r>
      <w:r w:rsidR="00385572">
        <w:rPr>
          <w:lang w:val="de-AT"/>
        </w:rPr>
        <w:t xml:space="preserve"> Schutz von Rechten und Freiheiten betroffener Personen</w:t>
      </w:r>
      <w:r w:rsidR="00CD1887">
        <w:rPr>
          <w:lang w:val="de-AT"/>
        </w:rPr>
        <w:t xml:space="preserve">. Forschungszwecke wissenschaftlicher, historischer oder statistischer Natur sowie </w:t>
      </w:r>
      <w:r w:rsidR="00385572">
        <w:rPr>
          <w:lang w:val="de-AT"/>
        </w:rPr>
        <w:t xml:space="preserve">Archivzwecke des öffentlichen Interesses </w:t>
      </w:r>
      <w:r w:rsidR="00CD1887">
        <w:rPr>
          <w:lang w:val="de-AT"/>
        </w:rPr>
        <w:t>sind ebenfalls erlaubt, wobei die Verordnung jeden genannten Ausnahmefall in Artikel 89 spezifiziert.</w:t>
      </w:r>
      <w:r w:rsidR="0054350B">
        <w:rPr>
          <w:lang w:val="de-AT"/>
        </w:rPr>
        <w:t xml:space="preserve"> </w:t>
      </w:r>
    </w:p>
    <w:p w14:paraId="49A56342" w14:textId="16033638" w:rsidR="004A4BA6" w:rsidRDefault="004A4BA6" w:rsidP="004A4BA6">
      <w:pPr>
        <w:pStyle w:val="berschrift4"/>
        <w:rPr>
          <w:lang w:val="de-AT"/>
        </w:rPr>
      </w:pPr>
      <w:r>
        <w:rPr>
          <w:lang w:val="de-AT"/>
        </w:rPr>
        <w:t>Integrität, Vertraulichkeit</w:t>
      </w:r>
    </w:p>
    <w:p w14:paraId="73C845E2" w14:textId="4DFCBBE2" w:rsidR="00177238" w:rsidRPr="00177238" w:rsidRDefault="00596ADA" w:rsidP="00177238">
      <w:pPr>
        <w:rPr>
          <w:lang w:val="de-AT"/>
        </w:rPr>
      </w:pPr>
      <w:r>
        <w:rPr>
          <w:lang w:val="de-AT"/>
        </w:rPr>
        <w:t>Art 5 Abs 1f legt rechtliche Grundsätze für eine Verarbeitung in dem Sinne fest, dass Daten-Sicherheit in einem angemessenen Maß gewährleistet sein muss. Dabei ist die Sicherheit in Integrität und Vertraulichkeit unterteilbar. Integrität beschreibt die Verhinderung unabsichtlicher Zerstörung, Beeinträchtigung oder Verlust. Vertraulichkeit den Schutz vor unbefugter Verarbeitung. Diese Prinzipien sind dabei technisch und organisatorisch sicherzustellen.</w:t>
      </w:r>
    </w:p>
    <w:p w14:paraId="3982D9CB" w14:textId="660EAE0A" w:rsidR="001553DE" w:rsidRDefault="001553DE" w:rsidP="001553DE">
      <w:pPr>
        <w:pStyle w:val="berschrift4"/>
        <w:rPr>
          <w:lang w:val="de-AT"/>
        </w:rPr>
      </w:pPr>
      <w:r>
        <w:rPr>
          <w:lang w:val="de-AT"/>
        </w:rPr>
        <w:t>Rechenschaftspflicht</w:t>
      </w:r>
    </w:p>
    <w:p w14:paraId="4E373729" w14:textId="0DC853BA" w:rsidR="004A4BA6" w:rsidRDefault="004E3120" w:rsidP="004A4BA6">
      <w:pPr>
        <w:rPr>
          <w:lang w:val="de-AT"/>
        </w:rPr>
      </w:pPr>
      <w:r>
        <w:rPr>
          <w:lang w:val="de-AT"/>
        </w:rPr>
        <w:t xml:space="preserve">Um die Unterwerfung an die vorhergehend definierten Grundsätze zu gewährleisten fordert Abs 2 eine Rechenschaftspflicht </w:t>
      </w:r>
      <w:r w:rsidR="00B219DB">
        <w:rPr>
          <w:lang w:val="de-AT"/>
        </w:rPr>
        <w:t>durch Verpflichtung von Verantwortlichen. Diese haben eine Einhaltung ihrerseits nachzuweisen.</w:t>
      </w:r>
    </w:p>
    <w:p w14:paraId="4DA57D7F" w14:textId="60947904" w:rsidR="00D10BD2" w:rsidRDefault="00212C33" w:rsidP="004A4BA6">
      <w:pPr>
        <w:rPr>
          <w:lang w:val="de-AT"/>
        </w:rPr>
      </w:pPr>
      <w:r>
        <w:rPr>
          <w:lang w:val="de-AT"/>
        </w:rPr>
        <w:t xml:space="preserve">Nach Gola et al </w:t>
      </w:r>
      <w:r>
        <w:rPr>
          <w:lang w:val="de-AT"/>
        </w:rPr>
        <w:fldChar w:fldCharType="begin"/>
      </w:r>
      <w:r>
        <w:rPr>
          <w:lang w:val="de-AT"/>
        </w:rPr>
        <w:instrText xml:space="preserve"> ADDIN EN.CITE &lt;EndNote&gt;&lt;Cite ExcludeAuth="1"&gt;&lt;Author&gt;Gola&lt;/Author&gt;&lt;Year&gt;2017&lt;/Year&gt;&lt;IDText&gt;Datenschutz-Grundverordnung im Überblick : Erläuterungen, Schaubilder und Organisationshilfen für die Datenschutzpraxis&lt;/IDText&gt;&lt;Pages&gt;36&lt;/Pages&gt;&lt;DisplayText&gt;(2017, S. 36)&lt;/DisplayText&gt;&lt;record&gt;&lt;keywords&gt;&lt;keyword&gt;Quelle Quelle&lt;/keyword&gt;&lt;keyword&gt;Europäische Union, Datenschutz-Grundverordnung&lt;/keyword&gt;&lt;keyword&gt;Europäische Union&lt;/keyword&gt;&lt;keyword&gt;Datenschutz&lt;/keyword&gt;&lt;/keywords&gt;&lt;titles&gt;&lt;title&gt;Datenschutz-Grundverordnung im Überblick : Erläuterungen, Schaubilder und Organisationshilfen für die Datenschutzpraxis&lt;/title&gt;&lt;/titles&gt;&lt;pages&gt;118 Seiten&lt;/pages&gt;&lt;contributors&gt;&lt;authors&gt;&lt;author&gt;Gola, Peter&lt;/author&gt;&lt;author&gt;Jaspers, Andreas&lt;/author&gt;&lt;author&gt;Müthlein, Thomas&lt;/author&gt;&lt;author&gt;Schwartmann, Rolf&lt;/author&gt;&lt;/authors&gt;&lt;/contributors&gt;&lt;edition&gt;2. Auflage&lt;/edition&gt;&lt;added-date format="utc"&gt;1560365964&lt;/added-date&gt;&lt;pub-location&gt;Frechen&lt;/pub-location&gt;&lt;ref-type name="Book"&gt;6&lt;/ref-type&gt;&lt;dates&gt;&lt;year&gt;2017&lt;/year&gt;&lt;/dates&gt;&lt;rec-number&gt;93&lt;/rec-number&gt;&lt;publisher&gt;[Frechen] : Datakontext&lt;/publisher&gt;&lt;last-updated-date format="utc"&gt;1560365964&lt;/last-updated-date&gt;&lt;/record&gt;&lt;/Cite&gt;&lt;/EndNote&gt;</w:instrText>
      </w:r>
      <w:r>
        <w:rPr>
          <w:lang w:val="de-AT"/>
        </w:rPr>
        <w:fldChar w:fldCharType="separate"/>
      </w:r>
      <w:r>
        <w:rPr>
          <w:noProof/>
          <w:lang w:val="de-AT"/>
        </w:rPr>
        <w:t>(2017, S. 36)</w:t>
      </w:r>
      <w:r>
        <w:rPr>
          <w:lang w:val="de-AT"/>
        </w:rPr>
        <w:fldChar w:fldCharType="end"/>
      </w:r>
      <w:r>
        <w:rPr>
          <w:lang w:val="de-AT"/>
        </w:rPr>
        <w:t xml:space="preserve"> ist, entgegen landläufiger Meinung, ein Auftragsverarbeiter </w:t>
      </w:r>
      <w:r w:rsidR="000C64FD">
        <w:rPr>
          <w:lang w:val="de-AT"/>
        </w:rPr>
        <w:t xml:space="preserve">bei Einsetzung durch einen Verantwortlichen, </w:t>
      </w:r>
      <w:r>
        <w:rPr>
          <w:lang w:val="de-AT"/>
        </w:rPr>
        <w:t>nicht nur dieser</w:t>
      </w:r>
      <w:r w:rsidR="000C64FD">
        <w:rPr>
          <w:lang w:val="de-AT"/>
        </w:rPr>
        <w:t xml:space="preserve"> </w:t>
      </w:r>
      <w:r w:rsidR="0090340C">
        <w:rPr>
          <w:lang w:val="de-AT"/>
        </w:rPr>
        <w:t xml:space="preserve">Auftragsverarbeiter </w:t>
      </w:r>
      <w:r>
        <w:rPr>
          <w:lang w:val="de-AT"/>
        </w:rPr>
        <w:t>dem</w:t>
      </w:r>
      <w:r w:rsidR="000C64FD">
        <w:rPr>
          <w:lang w:val="de-AT"/>
        </w:rPr>
        <w:t xml:space="preserve"> Betroffenen</w:t>
      </w:r>
      <w:r>
        <w:rPr>
          <w:lang w:val="de-AT"/>
        </w:rPr>
        <w:t xml:space="preserve"> </w:t>
      </w:r>
      <w:r w:rsidR="000C64FD">
        <w:rPr>
          <w:lang w:val="de-AT"/>
        </w:rPr>
        <w:t>Rechenschaft schuldig</w:t>
      </w:r>
      <w:r>
        <w:rPr>
          <w:lang w:val="de-AT"/>
        </w:rPr>
        <w:t>, vielmehr haften beide solidarisch</w:t>
      </w:r>
      <w:r w:rsidR="000C64FD">
        <w:rPr>
          <w:lang w:val="de-AT"/>
        </w:rPr>
        <w:t xml:space="preserve">. Dies bedeutet, dass </w:t>
      </w:r>
      <w:r w:rsidR="000D19CD">
        <w:rPr>
          <w:lang w:val="de-AT"/>
        </w:rPr>
        <w:t>Betroffene</w:t>
      </w:r>
      <w:r w:rsidR="000C64FD">
        <w:rPr>
          <w:lang w:val="de-AT"/>
        </w:rPr>
        <w:t xml:space="preserve"> im Schadenfall gegenüber einem </w:t>
      </w:r>
      <w:r w:rsidR="000C64FD">
        <w:rPr>
          <w:lang w:val="de-AT"/>
        </w:rPr>
        <w:lastRenderedPageBreak/>
        <w:t>Auftragsverarbeiter</w:t>
      </w:r>
      <w:r w:rsidR="000D19CD">
        <w:rPr>
          <w:lang w:val="de-AT"/>
        </w:rPr>
        <w:t xml:space="preserve"> und einem Verantwortlichen</w:t>
      </w:r>
      <w:r w:rsidR="000C64FD">
        <w:rPr>
          <w:lang w:val="de-AT"/>
        </w:rPr>
        <w:t xml:space="preserve"> </w:t>
      </w:r>
      <w:r w:rsidR="000D19CD">
        <w:rPr>
          <w:lang w:val="de-AT"/>
        </w:rPr>
        <w:t xml:space="preserve">Schadenersatzforderungen geltend machen </w:t>
      </w:r>
      <w:r w:rsidR="00292412">
        <w:rPr>
          <w:lang w:val="de-AT"/>
        </w:rPr>
        <w:t>können</w:t>
      </w:r>
      <w:r>
        <w:rPr>
          <w:lang w:val="de-AT"/>
        </w:rPr>
        <w:t xml:space="preserve">. </w:t>
      </w:r>
    </w:p>
    <w:p w14:paraId="3AF38211" w14:textId="77777777" w:rsidR="00292412" w:rsidRPr="004A4BA6" w:rsidRDefault="00292412" w:rsidP="004A4BA6">
      <w:pPr>
        <w:rPr>
          <w:lang w:val="de-AT"/>
        </w:rPr>
      </w:pPr>
    </w:p>
    <w:p w14:paraId="268AC67C" w14:textId="4D391541" w:rsidR="005F7935" w:rsidRPr="004651D2" w:rsidRDefault="005F7935" w:rsidP="005F7935">
      <w:pPr>
        <w:pStyle w:val="berschrift3"/>
        <w:rPr>
          <w:lang w:val="de-AT"/>
        </w:rPr>
      </w:pPr>
      <w:bookmarkStart w:id="14" w:name="_Toc11865309"/>
      <w:r w:rsidRPr="004651D2">
        <w:rPr>
          <w:lang w:val="de-AT"/>
        </w:rPr>
        <w:t>Sanktionen</w:t>
      </w:r>
      <w:r w:rsidR="00D57D71">
        <w:rPr>
          <w:lang w:val="de-AT"/>
        </w:rPr>
        <w:t xml:space="preserve"> und Geldbußen</w:t>
      </w:r>
      <w:bookmarkEnd w:id="14"/>
    </w:p>
    <w:p w14:paraId="78407427" w14:textId="77DBE83A" w:rsidR="005F7935" w:rsidRDefault="004651D2" w:rsidP="005F7935">
      <w:pPr>
        <w:rPr>
          <w:lang w:val="de-AT"/>
        </w:rPr>
      </w:pPr>
      <w:r w:rsidRPr="004651D2">
        <w:rPr>
          <w:lang w:val="de-AT"/>
        </w:rPr>
        <w:t>Eine wichtige Neuerung der D</w:t>
      </w:r>
      <w:r>
        <w:rPr>
          <w:lang w:val="de-AT"/>
        </w:rPr>
        <w:t xml:space="preserve">atenschutzgrundverordnung im Vergleich zu </w:t>
      </w:r>
      <w:r w:rsidR="00CF3FFB">
        <w:rPr>
          <w:lang w:val="de-AT"/>
        </w:rPr>
        <w:t>früheren Verordnungen, wie der vorhergehenden Richtlinie 95/56/EG</w:t>
      </w:r>
      <w:r w:rsidR="00D57D71">
        <w:rPr>
          <w:lang w:val="de-AT"/>
        </w:rPr>
        <w:t xml:space="preserve"> stellen die Sanktionen und die Verhängung der Geldbußen dar. Während die Bekanntmachung von Sanktionen, die durch einzelne Mitgliedsstaaten erlassen werden, in Artikel 84 DSGVO geregelt werden, spezifiziert Artikel 83 DSGVO allgemeine Bedingungen für Geldbußen.</w:t>
      </w:r>
    </w:p>
    <w:p w14:paraId="4E0C968E" w14:textId="45B07FBC" w:rsidR="00D51053" w:rsidRDefault="00D51053" w:rsidP="005F7935">
      <w:pPr>
        <w:rPr>
          <w:lang w:val="de-AT"/>
        </w:rPr>
      </w:pPr>
      <w:r>
        <w:rPr>
          <w:lang w:val="de-AT"/>
        </w:rPr>
        <w:t xml:space="preserve">Geldstrafen </w:t>
      </w:r>
      <w:r w:rsidR="00E84383">
        <w:rPr>
          <w:lang w:val="de-AT"/>
        </w:rPr>
        <w:t>müssen nach Art 83 Abs 1 so verhängt werden, dass sie wirksam, verhältnismäßig und abschreckend sind.</w:t>
      </w:r>
      <w:r w:rsidR="00D10BD2">
        <w:rPr>
          <w:lang w:val="de-AT"/>
        </w:rPr>
        <w:t xml:space="preserve"> Bei der Verhängung werden nach Abs 2 unter anderem Faktoren wie Vorsatz, Fahrlässigkeit, einschlägige frühere Verstöße, die betroffenen Kategorien personenbezogener Daten oder die Zusammenarbeit mit der verantwortlichen Aufsichtsbehörde in die Umfangsberechnung einbezogen.</w:t>
      </w:r>
    </w:p>
    <w:p w14:paraId="0BD23F32" w14:textId="709328A5" w:rsidR="00D10BD2" w:rsidRDefault="00D10BD2" w:rsidP="005F7935">
      <w:pPr>
        <w:rPr>
          <w:lang w:val="de-AT"/>
        </w:rPr>
      </w:pPr>
      <w:r w:rsidRPr="00D10BD2">
        <w:rPr>
          <w:lang w:val="de-AT"/>
        </w:rPr>
        <w:t>DSGVO Art 83 Abs 4f spez</w:t>
      </w:r>
      <w:r>
        <w:rPr>
          <w:lang w:val="de-AT"/>
        </w:rPr>
        <w:t>ifiziert die Höhe der zu verhängenden Sanktionen und teilt in zwei Kategorien</w:t>
      </w:r>
      <w:r w:rsidR="00797306">
        <w:rPr>
          <w:lang w:val="de-AT"/>
        </w:rPr>
        <w:t>, bei denen jeweils nach dem höheren Betrag vorgegangen wird:</w:t>
      </w:r>
    </w:p>
    <w:p w14:paraId="1F213055" w14:textId="28B8E535" w:rsidR="00D10BD2" w:rsidRDefault="00D10BD2" w:rsidP="00D10BD2">
      <w:pPr>
        <w:pStyle w:val="Listenabsatz"/>
        <w:numPr>
          <w:ilvl w:val="0"/>
          <w:numId w:val="31"/>
        </w:numPr>
        <w:rPr>
          <w:lang w:val="de-AT"/>
        </w:rPr>
      </w:pPr>
      <w:r w:rsidRPr="00D10BD2">
        <w:rPr>
          <w:lang w:val="de-AT"/>
        </w:rPr>
        <w:t>bis 10 000 000 EUR oder bis 2% des weltweit erzielten Gesamtumsatzes</w:t>
      </w:r>
      <w:r>
        <w:rPr>
          <w:lang w:val="de-AT"/>
        </w:rPr>
        <w:t xml:space="preserve"> (bei Unternehmen)</w:t>
      </w:r>
    </w:p>
    <w:p w14:paraId="0EAAD3A9" w14:textId="356A9169" w:rsidR="00D10BD2" w:rsidRDefault="00B70A5C" w:rsidP="00D10BD2">
      <w:pPr>
        <w:pStyle w:val="Listenabsatz"/>
        <w:numPr>
          <w:ilvl w:val="0"/>
          <w:numId w:val="31"/>
        </w:numPr>
        <w:rPr>
          <w:lang w:val="de-AT"/>
        </w:rPr>
      </w:pPr>
      <w:r>
        <w:rPr>
          <w:lang w:val="de-AT"/>
        </w:rPr>
        <w:t>bis 20 000 000 EUR oder bis 4% des weltweit erzielten Gesamtumsatzes (bei Unternehmen)</w:t>
      </w:r>
    </w:p>
    <w:p w14:paraId="4F341CF2" w14:textId="59ADA783" w:rsidR="00775488" w:rsidRDefault="00965C94" w:rsidP="005F7935">
      <w:pPr>
        <w:rPr>
          <w:lang w:val="de-AT"/>
        </w:rPr>
      </w:pPr>
      <w:r>
        <w:rPr>
          <w:lang w:val="de-AT"/>
        </w:rPr>
        <w:t xml:space="preserve">Der Mitgliedsstaat Österreich hat bei Einführung der Datenschutzgrundverordnung durch Anpassung seines Datenschutzgesetzes (DSG) eine Ergänzung hinzugefügt. Im Gegensatz zu anderen Vertragsunterzeichnern sind nach § 11 DSG Erstverstöße durch die Datenschutzbehörde nicht zu direkt mit Strafen zu belegen; vielmehr soll die Datenschutzbehörde ihre Abhilfebefugnisse nutzen und Verwarnen </w:t>
      </w:r>
      <w:r>
        <w:rPr>
          <w:lang w:val="de-AT"/>
        </w:rPr>
        <w:fldChar w:fldCharType="begin"/>
      </w:r>
      <w:r>
        <w:rPr>
          <w:lang w:val="de-AT"/>
        </w:rPr>
        <w:instrText xml:space="preserve"> ADDIN EN.CITE &lt;EndNote&gt;&lt;Cite&gt;&lt;Author&gt;Österreich&lt;/Author&gt;&lt;Year&gt;2019&lt;/Year&gt;&lt;IDText&gt;Bundesgesetz zum Schutz natürlicher Personen bei der Verarbeitung personenbezogener Daten&lt;/IDText&gt;&lt;Pages&gt;9&lt;/Pages&gt;&lt;DisplayText&gt;(Österreich, 2019, S. 9)&lt;/DisplayText&gt;&lt;record&gt;&lt;titles&gt;&lt;title&gt;Bundesgesetz zum Schutz natürlicher Personen bei der Verarbeitung personenbezogener Daten&amp;#xA;(Datenschutzgesetz – DSG)&lt;/title&gt;&lt;/titles&gt;&lt;contributors&gt;&lt;authors&gt;&lt;author&gt;Österreich&lt;/author&gt;&lt;/authors&gt;&lt;/contributors&gt;&lt;added-date format="utc"&gt;1560414547&lt;/added-date&gt;&lt;ref-type name="Legal Rule or Regulation"&gt;50&lt;/ref-type&gt;&lt;dates&gt;&lt;year&gt;2019&lt;/year&gt;&lt;/dates&gt;&lt;rec-number&gt;94&lt;/rec-number&gt;&lt;publisher&gt;Bundesgesetzblatt für die Republik Österreich&lt;/publisher&gt;&lt;last-updated-date format="utc"&gt;1560414765&lt;/last-updated-date&gt;&lt;/record&gt;&lt;/Cite&gt;&lt;/EndNote&gt;</w:instrText>
      </w:r>
      <w:r>
        <w:rPr>
          <w:lang w:val="de-AT"/>
        </w:rPr>
        <w:fldChar w:fldCharType="separate"/>
      </w:r>
      <w:r>
        <w:rPr>
          <w:noProof/>
          <w:lang w:val="de-AT"/>
        </w:rPr>
        <w:t>(Österreich, 2019, S. 9)</w:t>
      </w:r>
      <w:r>
        <w:rPr>
          <w:lang w:val="de-AT"/>
        </w:rPr>
        <w:fldChar w:fldCharType="end"/>
      </w:r>
      <w:r>
        <w:rPr>
          <w:lang w:val="de-AT"/>
        </w:rPr>
        <w:t xml:space="preserve">. </w:t>
      </w:r>
    </w:p>
    <w:p w14:paraId="760021DB" w14:textId="063D9877" w:rsidR="005738DB" w:rsidRDefault="005738DB">
      <w:pPr>
        <w:spacing w:after="200" w:line="276" w:lineRule="auto"/>
        <w:jc w:val="left"/>
        <w:rPr>
          <w:lang w:val="de-AT"/>
        </w:rPr>
      </w:pPr>
      <w:r>
        <w:rPr>
          <w:lang w:val="de-AT"/>
        </w:rPr>
        <w:br w:type="page"/>
      </w:r>
    </w:p>
    <w:p w14:paraId="4681B995" w14:textId="77777777" w:rsidR="00F6531D" w:rsidRPr="004651D2" w:rsidRDefault="00F6531D" w:rsidP="00F6531D">
      <w:pPr>
        <w:pStyle w:val="berschrift3"/>
        <w:rPr>
          <w:lang w:val="de-AT"/>
        </w:rPr>
      </w:pPr>
      <w:bookmarkStart w:id="15" w:name="_Toc11865310"/>
      <w:r w:rsidRPr="004651D2">
        <w:rPr>
          <w:lang w:val="de-AT"/>
        </w:rPr>
        <w:lastRenderedPageBreak/>
        <w:t>Recht auf Vergessenwerden</w:t>
      </w:r>
      <w:bookmarkEnd w:id="15"/>
    </w:p>
    <w:p w14:paraId="6ECDF482" w14:textId="0EC5A2D2" w:rsidR="008F7D0C" w:rsidRPr="008F7D0C" w:rsidRDefault="008F7D0C" w:rsidP="008F7D0C">
      <w:pPr>
        <w:rPr>
          <w:rFonts w:ascii="Arial" w:hAnsi="Arial" w:cs="Arial"/>
          <w:color w:val="222222"/>
          <w:shd w:val="clear" w:color="auto" w:fill="FFFFFF"/>
        </w:rPr>
      </w:pPr>
      <w:r>
        <w:rPr>
          <w:lang w:val="de-AT"/>
        </w:rPr>
        <w:t>Die grundsätzliche Idee</w:t>
      </w:r>
      <w:r w:rsidR="00C22D2B">
        <w:rPr>
          <w:lang w:val="de-AT"/>
        </w:rPr>
        <w:t xml:space="preserve"> des Rechts</w:t>
      </w:r>
      <w:r>
        <w:rPr>
          <w:lang w:val="de-AT"/>
        </w:rPr>
        <w:t xml:space="preserve"> auf Vergessenwerden stammt aus vorhergehenden, analogen </w:t>
      </w:r>
      <w:r w:rsidR="00C22D2B">
        <w:rPr>
          <w:lang w:val="de-AT"/>
        </w:rPr>
        <w:t>Zeiten</w:t>
      </w:r>
      <w:r>
        <w:rPr>
          <w:lang w:val="de-AT"/>
        </w:rPr>
        <w:t xml:space="preserve">, in denen personenbezogene Informationen und Daten nicht persistent gespeichert und relativ frei verfügbar waren. Es findet große Unterstützung durch einigen </w:t>
      </w:r>
      <w:r w:rsidR="00292412">
        <w:rPr>
          <w:lang w:val="de-AT"/>
        </w:rPr>
        <w:t>Expertinnen und Experten</w:t>
      </w:r>
      <w:r>
        <w:rPr>
          <w:lang w:val="de-AT"/>
        </w:rPr>
        <w:t>, wie dem Rech</w:t>
      </w:r>
      <w:r w:rsidR="00D57D71">
        <w:rPr>
          <w:lang w:val="de-AT"/>
        </w:rPr>
        <w:t>t</w:t>
      </w:r>
      <w:r>
        <w:rPr>
          <w:lang w:val="de-AT"/>
        </w:rPr>
        <w:t xml:space="preserve">swissenschaftler Prof. Dr. Viktor Mayer-Schönberger, die ein Verfallsdatum für digitale Dateien fordern </w:t>
      </w:r>
      <w:r>
        <w:rPr>
          <w:lang w:val="de-AT"/>
        </w:rPr>
        <w:fldChar w:fldCharType="begin"/>
      </w:r>
      <w:r>
        <w:rPr>
          <w:lang w:val="de-AT"/>
        </w:rPr>
        <w:instrText xml:space="preserve"> ADDIN EN.CITE &lt;EndNote&gt;&lt;Cite&gt;&lt;Author&gt;Pluta&lt;/Author&gt;&lt;Year&gt;2008&lt;/Year&gt;&lt;IDText&gt;Interview: &amp;quot;Daten brauchen ein Verfallsdatum&amp;quot;&lt;/IDText&gt;&lt;DisplayText&gt;(Pluta, 2008)&lt;/DisplayText&gt;&lt;record&gt;&lt;urls&gt;&lt;related-urls&gt;&lt;url&gt;https://www.golem.de/0804/58721.html&lt;/url&gt;&lt;/related-urls&gt;&lt;/urls&gt;&lt;titles&gt;&lt;title&gt;Interview: &amp;quot;Daten brauchen ein Verfallsdatum&amp;quot;&lt;/title&gt;&lt;secondary-title&gt;Golem.de&lt;/secondary-title&gt;&lt;/titles&gt;&lt;access-date&gt;1.6.2019&lt;/access-date&gt;&lt;contributors&gt;&lt;authors&gt;&lt;author&gt;Pluta, Werner&lt;/author&gt;&lt;/authors&gt;&lt;/contributors&gt;&lt;added-date format="utc"&gt;1560177178&lt;/added-date&gt;&lt;ref-type name="Newspaper Article"&gt;23&lt;/ref-type&gt;&lt;dates&gt;&lt;year&gt;2008&lt;/year&gt;&lt;/dates&gt;&lt;rec-number&gt;82&lt;/rec-number&gt;&lt;last-updated-date format="utc"&gt;1560177256&lt;/last-updated-date&gt;&lt;/record&gt;&lt;/Cite&gt;&lt;/EndNote&gt;</w:instrText>
      </w:r>
      <w:r>
        <w:rPr>
          <w:lang w:val="de-AT"/>
        </w:rPr>
        <w:fldChar w:fldCharType="separate"/>
      </w:r>
      <w:r>
        <w:rPr>
          <w:noProof/>
          <w:lang w:val="de-AT"/>
        </w:rPr>
        <w:t>(Pluta, 2008)</w:t>
      </w:r>
      <w:r>
        <w:rPr>
          <w:lang w:val="de-AT"/>
        </w:rPr>
        <w:fldChar w:fldCharType="end"/>
      </w:r>
      <w:r>
        <w:rPr>
          <w:lang w:val="de-AT"/>
        </w:rPr>
        <w:t>.</w:t>
      </w:r>
      <w:r w:rsidRPr="008F7D0C">
        <w:rPr>
          <w:lang w:val="de-AT"/>
        </w:rPr>
        <w:t xml:space="preserve"> </w:t>
      </w:r>
      <w:r>
        <w:rPr>
          <w:lang w:val="de-AT"/>
        </w:rPr>
        <w:t xml:space="preserve">Bereits in </w:t>
      </w:r>
      <w:r w:rsidRPr="00145556">
        <w:rPr>
          <w:i/>
          <w:lang w:val="de-AT"/>
        </w:rPr>
        <w:t xml:space="preserve">Direktive </w:t>
      </w:r>
      <w:r w:rsidRPr="00145556">
        <w:rPr>
          <w:i/>
        </w:rPr>
        <w:t>95/46/EG</w:t>
      </w:r>
      <w:r>
        <w:t xml:space="preserve"> von 1995 wurden Richtlinien definiert, unter denen personenbezogene Daten zu löschen sind </w:t>
      </w:r>
      <w:r>
        <w:fldChar w:fldCharType="begin"/>
      </w:r>
      <w:r>
        <w:instrText xml:space="preserve"> ADDIN EN.CITE &lt;EndNote&gt;&lt;Cite&gt;&lt;Author&gt;Europäisches Parlament&lt;/Author&gt;&lt;Year&gt;1995&lt;/Year&gt;&lt;IDText&gt;Richtlinie 95/46/EG des Europäischen Parlaments und des Rates vom 24. Oktober 1995 zum Schutz natürlicher Personen bei der Verarbeitung personenbezogener Daten und zum freien Datenverkehr&lt;/IDText&gt;&lt;Pages&gt;42&lt;/Pages&gt;&lt;DisplayText&gt;(Europäisches Parlament &amp;amp; Europarat, 1995, S. 42)&lt;/DisplayText&gt;&lt;record&gt;&lt;urls&gt;&lt;related-urls&gt;&lt;url&gt;https://eur-lex.europa.eu/legal-content/DE/TXT/PDF/?uri=CELEX:31995L0046&amp;amp;from=DE&lt;/url&gt;&lt;/related-urls&gt;&lt;/urls&gt;&lt;titles&gt;&lt;title&gt;Richtlinie 95/46/EG des Europäischen Parlaments und des Rates vom 24. Oktober 1995 zum Schutz natürlicher Personen bei der Verarbeitung personenbezogener Daten und zum freien Datenverkehr&lt;/title&gt;&lt;/titles&gt;&lt;access-date&gt;1.6.2019&lt;/access-date&gt;&lt;contributors&gt;&lt;authors&gt;&lt;author&gt;Europäisches Parlament,&lt;/author&gt;&lt;author&gt;Europarat&lt;/author&gt;&lt;/authors&gt;&lt;/contributors&gt;&lt;added-date format="utc"&gt;1560006485&lt;/added-date&gt;&lt;ref-type name="Legal Rule or Regulation"&gt;50&lt;/ref-type&gt;&lt;dates&gt;&lt;year&gt;1995&lt;/year&gt;&lt;/dates&gt;&lt;rec-number&gt;74&lt;/rec-number&gt;&lt;last-updated-date format="utc"&gt;1560157662&lt;/last-updated-date&gt;&lt;/record&gt;&lt;/Cite&gt;&lt;/EndNote&gt;</w:instrText>
      </w:r>
      <w:r>
        <w:fldChar w:fldCharType="separate"/>
      </w:r>
      <w:r>
        <w:rPr>
          <w:noProof/>
        </w:rPr>
        <w:t>(Europäisches Parlament &amp; Europarat, 1995, S. 42)</w:t>
      </w:r>
      <w:r>
        <w:fldChar w:fldCharType="end"/>
      </w:r>
      <w:r>
        <w:t>.</w:t>
      </w:r>
      <w:r>
        <w:rPr>
          <w:rFonts w:ascii="Arial" w:hAnsi="Arial" w:cs="Arial"/>
          <w:color w:val="222222"/>
          <w:shd w:val="clear" w:color="auto" w:fill="FFFFFF"/>
        </w:rPr>
        <w:t xml:space="preserve"> </w:t>
      </w:r>
    </w:p>
    <w:p w14:paraId="3A842A7E" w14:textId="7F91BC8F" w:rsidR="008F7D0C" w:rsidRDefault="008F7D0C" w:rsidP="009D60F7">
      <w:pPr>
        <w:rPr>
          <w:lang w:val="de-AT"/>
        </w:rPr>
      </w:pPr>
      <w:r>
        <w:rPr>
          <w:lang w:val="de-AT"/>
        </w:rPr>
        <w:t>Obwohl schon</w:t>
      </w:r>
      <w:r w:rsidR="009D60F7">
        <w:rPr>
          <w:lang w:val="de-AT"/>
        </w:rPr>
        <w:t xml:space="preserve"> </w:t>
      </w:r>
      <w:r>
        <w:rPr>
          <w:lang w:val="de-AT"/>
        </w:rPr>
        <w:t xml:space="preserve">vor der seit </w:t>
      </w:r>
      <w:r w:rsidR="00145556">
        <w:rPr>
          <w:lang w:val="de-AT"/>
        </w:rPr>
        <w:t xml:space="preserve">25.5.2018 </w:t>
      </w:r>
      <w:r>
        <w:rPr>
          <w:lang w:val="de-AT"/>
        </w:rPr>
        <w:t>anzuwendenden</w:t>
      </w:r>
      <w:r w:rsidR="00145556">
        <w:rPr>
          <w:lang w:val="de-AT"/>
        </w:rPr>
        <w:t xml:space="preserve"> </w:t>
      </w:r>
      <w:r w:rsidR="009D60F7" w:rsidRPr="008F7D0C">
        <w:rPr>
          <w:lang w:val="de-AT"/>
        </w:rPr>
        <w:t>DSGVO</w:t>
      </w:r>
      <w:r w:rsidR="009D60F7">
        <w:rPr>
          <w:lang w:val="de-AT"/>
        </w:rPr>
        <w:t xml:space="preserve"> </w:t>
      </w:r>
      <w:r>
        <w:rPr>
          <w:lang w:val="de-AT"/>
        </w:rPr>
        <w:t>diskutiert</w:t>
      </w:r>
      <w:r w:rsidR="00B440B1">
        <w:rPr>
          <w:lang w:val="de-AT"/>
        </w:rPr>
        <w:t>, ist</w:t>
      </w:r>
      <w:r>
        <w:rPr>
          <w:lang w:val="de-AT"/>
        </w:rPr>
        <w:t xml:space="preserve"> das Konzept</w:t>
      </w:r>
      <w:r w:rsidR="00B440B1">
        <w:rPr>
          <w:lang w:val="de-AT"/>
        </w:rPr>
        <w:t xml:space="preserve"> in der aktuellen Fassung nicht </w:t>
      </w:r>
      <w:r>
        <w:rPr>
          <w:lang w:val="de-AT"/>
        </w:rPr>
        <w:t>allumfassend</w:t>
      </w:r>
      <w:r w:rsidR="00B440B1">
        <w:rPr>
          <w:lang w:val="de-AT"/>
        </w:rPr>
        <w:t xml:space="preserve"> geregelt</w:t>
      </w:r>
      <w:r>
        <w:rPr>
          <w:lang w:val="de-AT"/>
        </w:rPr>
        <w:t xml:space="preserve">. </w:t>
      </w:r>
      <w:r w:rsidR="00C75C8F">
        <w:rPr>
          <w:lang w:val="de-AT"/>
        </w:rPr>
        <w:t>Trotz der Einbettung der Idee durch</w:t>
      </w:r>
      <w:r>
        <w:rPr>
          <w:lang w:val="de-AT"/>
        </w:rPr>
        <w:t xml:space="preserve"> Europarat und Europäische</w:t>
      </w:r>
      <w:r w:rsidR="00C75C8F">
        <w:rPr>
          <w:lang w:val="de-AT"/>
        </w:rPr>
        <w:t>s</w:t>
      </w:r>
      <w:r>
        <w:rPr>
          <w:lang w:val="de-AT"/>
        </w:rPr>
        <w:t xml:space="preserve"> Parlament </w:t>
      </w:r>
      <w:r>
        <w:rPr>
          <w:lang w:val="de-AT"/>
        </w:rPr>
        <w:fldChar w:fldCharType="begin"/>
      </w:r>
      <w:r>
        <w:rPr>
          <w:lang w:val="de-AT"/>
        </w:rPr>
        <w:instrText xml:space="preserve"> ADDIN EN.CITE &lt;EndNote&gt;&lt;Cite ExcludeAuth="1"&gt;&lt;Author&gt;Europarat&lt;/Author&gt;&lt;Year&gt;2016&lt;/Year&gt;&lt;IDText&gt;Verordnung (EU) 2016/679 des Europäischen Parlaments und des Rates vom 27. April 2016 zum Schutz natürlicher Personen bei der Verarbeitung personenbezogener Daten, zum freien Datenverkehr und zur Aufhebung der Richtlinie 95/46/EG (Datenschutz-Grundverordnung)&lt;/IDText&gt;&lt;DisplayText&gt;(2016)&lt;/DisplayText&gt;&lt;record&gt;&lt;urls&gt;&lt;related-urls&gt;&lt;url&gt;https://eur-lex.europa.eu/legal-content/DE/TXT/PDF/?uri=CELEX:32016R0679&amp;amp;from=DE&lt;/url&gt;&lt;/related-urls&gt;&lt;/urls&gt;&lt;titles&gt;&lt;title&gt;Verordnung (EU) 2016/679 des Europäischen Parlaments und des Rates vom 27. April 2016 zum Schutz natürlicher Personen bei der Verarbeitung personenbezogener Daten, zum freien Datenverkehr und zur Aufhebung der Richtlinie 95/46/EG (Datenschutz-Grundverordnung)&lt;/title&gt;&lt;/titles&gt;&lt;contributors&gt;&lt;authors&gt;&lt;author&gt;Europarat&lt;/author&gt;&lt;author&gt;Europäisches Parlament,&lt;/author&gt;&lt;/authors&gt;&lt;/contributors&gt;&lt;added-date format="utc"&gt;1560157823&lt;/added-date&gt;&lt;ref-type name="Legal Rule or Regulation"&gt;50&lt;/ref-type&gt;&lt;dates&gt;&lt;year&gt;2016&lt;/year&gt;&lt;/dates&gt;&lt;rec-number&gt;75&lt;/rec-number&gt;&lt;last-updated-date format="utc"&gt;1560166279&lt;/last-updated-date&gt;&lt;/record&gt;&lt;/Cite&gt;&lt;/EndNote&gt;</w:instrText>
      </w:r>
      <w:r>
        <w:rPr>
          <w:lang w:val="de-AT"/>
        </w:rPr>
        <w:fldChar w:fldCharType="separate"/>
      </w:r>
      <w:r>
        <w:rPr>
          <w:noProof/>
          <w:lang w:val="de-AT"/>
        </w:rPr>
        <w:t>(2016)</w:t>
      </w:r>
      <w:r>
        <w:rPr>
          <w:lang w:val="de-AT"/>
        </w:rPr>
        <w:fldChar w:fldCharType="end"/>
      </w:r>
      <w:r>
        <w:rPr>
          <w:lang w:val="de-AT"/>
        </w:rPr>
        <w:t xml:space="preserve"> in Artikel 17 (Recht auf Löschung „Recht auf Vergessenwerden“)</w:t>
      </w:r>
      <w:r w:rsidR="00C75C8F">
        <w:rPr>
          <w:lang w:val="de-AT"/>
        </w:rPr>
        <w:t>, in dem man</w:t>
      </w:r>
      <w:r>
        <w:rPr>
          <w:lang w:val="de-AT"/>
        </w:rPr>
        <w:t xml:space="preserve"> sich explizit darauf bezieht, gibt es gemäß einiger Datenschützer immer noch Handlungsbedarf</w:t>
      </w:r>
      <w:r w:rsidR="00B440B1">
        <w:rPr>
          <w:lang w:val="de-AT"/>
        </w:rPr>
        <w:t xml:space="preserve">. </w:t>
      </w:r>
    </w:p>
    <w:p w14:paraId="674AEAB6" w14:textId="5373A13C" w:rsidR="00BE2030" w:rsidRDefault="008F7D0C" w:rsidP="009D60F7">
      <w:pPr>
        <w:rPr>
          <w:lang w:val="de-AT"/>
        </w:rPr>
      </w:pPr>
      <w:r>
        <w:rPr>
          <w:lang w:val="de-AT"/>
        </w:rPr>
        <w:t xml:space="preserve">DatenschützerInnen und RechtsaktivistInnen fordern, wie eingangs erwähnt, ein Verfallsdatum für digitale Daten. Diese Forderung wurde </w:t>
      </w:r>
      <w:r w:rsidR="00BE2030">
        <w:rPr>
          <w:lang w:val="de-AT"/>
        </w:rPr>
        <w:t xml:space="preserve">in einem frühen Entwurfsstadium der DSGVO in den Verordnungs-Entwurf eingepflegt, jedoch später wieder auf Widerstand durch Politik, Wirtschaft und durch NetzaktivistInnen verworfen, nachdem die </w:t>
      </w:r>
      <w:r w:rsidR="00BE2030" w:rsidRPr="00BE2030">
        <w:rPr>
          <w:lang w:val="de-AT"/>
        </w:rPr>
        <w:t>Europäische Agentur für Netz- und Informationssicherheit</w:t>
      </w:r>
      <w:r w:rsidR="00BE2030">
        <w:rPr>
          <w:lang w:val="de-AT"/>
        </w:rPr>
        <w:t xml:space="preserve"> es im Vorhinein in einem Bericht im damals vorliegenden Vorschlag als </w:t>
      </w:r>
      <w:r w:rsidR="00E21463">
        <w:rPr>
          <w:lang w:val="de-AT"/>
        </w:rPr>
        <w:t>nicht umsetzbar ansah. Vielmehr forderte die Agentur interdisziplinäre Herangehensweise an eine für sie komplexe Thematik</w:t>
      </w:r>
      <w:r w:rsidR="006D5932">
        <w:rPr>
          <w:lang w:val="de-AT"/>
        </w:rPr>
        <w:t xml:space="preserve"> </w:t>
      </w:r>
      <w:r w:rsidR="006D5932">
        <w:rPr>
          <w:lang w:val="de-AT"/>
        </w:rPr>
        <w:fldChar w:fldCharType="begin"/>
      </w:r>
      <w:r w:rsidR="006D5932">
        <w:rPr>
          <w:lang w:val="de-AT"/>
        </w:rPr>
        <w:instrText xml:space="preserve"> ADDIN EN.CITE &lt;EndNote&gt;&lt;Cite&gt;&lt;Author&gt;Druschel&lt;/Author&gt;&lt;Year&gt;2011&lt;/Year&gt;&lt;IDText&gt;The Right to be forgotten - between expectations and reality&lt;/IDText&gt;&lt;DisplayText&gt;(Druschel et al., 2011)&lt;/DisplayText&gt;&lt;record&gt;&lt;titles&gt;&lt;title&gt;The Right to be forgotten - between expectations and reality&lt;/title&gt;&lt;/titles&gt;&lt;contributors&gt;&lt;authors&gt;&lt;author&gt;Druschel, Peter&lt;/author&gt;&lt;author&gt;Backes, Michael&lt;/author&gt;&lt;author&gt;Tirtea,  Rodica&lt;/author&gt;&lt;/authors&gt;&lt;/contributors&gt;&lt;added-date format="utc"&gt;1560178702&lt;/added-date&gt;&lt;pub-location&gt;Heraklion&lt;/pub-location&gt;&lt;ref-type name="Report"&gt;27&lt;/ref-type&gt;&lt;dates&gt;&lt;year&gt;2011&lt;/year&gt;&lt;/dates&gt;&lt;rec-number&gt;84&lt;/rec-number&gt;&lt;publisher&gt;ENISA,  Europäische Agentur für Netz- und Informationssicherheit &lt;/publisher&gt;&lt;last-updated-date format="utc"&gt;1560181177&lt;/last-updated-date&gt;&lt;/record&gt;&lt;/Cite&gt;&lt;/EndNote&gt;</w:instrText>
      </w:r>
      <w:r w:rsidR="006D5932">
        <w:rPr>
          <w:lang w:val="de-AT"/>
        </w:rPr>
        <w:fldChar w:fldCharType="separate"/>
      </w:r>
      <w:r w:rsidR="006D5932">
        <w:rPr>
          <w:noProof/>
          <w:lang w:val="de-AT"/>
        </w:rPr>
        <w:t>(Druschel et al., 2011)</w:t>
      </w:r>
      <w:r w:rsidR="006D5932">
        <w:rPr>
          <w:lang w:val="de-AT"/>
        </w:rPr>
        <w:fldChar w:fldCharType="end"/>
      </w:r>
      <w:r w:rsidR="00E21463">
        <w:rPr>
          <w:lang w:val="de-AT"/>
        </w:rPr>
        <w:t>.</w:t>
      </w:r>
    </w:p>
    <w:p w14:paraId="0ACC1550" w14:textId="485DF307" w:rsidR="00E21463" w:rsidRDefault="00C95724" w:rsidP="009D60F7">
      <w:pPr>
        <w:rPr>
          <w:lang w:val="de-AT"/>
        </w:rPr>
      </w:pPr>
      <w:r>
        <w:rPr>
          <w:lang w:val="de-AT"/>
        </w:rPr>
        <w:t xml:space="preserve">Auch andere prominente Akteure kritisieren europäische Vorstöße als entweder naiv oder nicht </w:t>
      </w:r>
      <w:r w:rsidR="00BA7479">
        <w:rPr>
          <w:lang w:val="de-AT"/>
        </w:rPr>
        <w:t>weitreichend genug</w:t>
      </w:r>
      <w:r>
        <w:rPr>
          <w:lang w:val="de-AT"/>
        </w:rPr>
        <w:t xml:space="preserve">. Der ehemalige Bundesvorsitzende der Piratenpartei Sebastian Nerz sah die Entwürfe der </w:t>
      </w:r>
      <w:r w:rsidR="00F74F02">
        <w:rPr>
          <w:lang w:val="de-AT"/>
        </w:rPr>
        <w:t xml:space="preserve">Europäischen </w:t>
      </w:r>
      <w:r>
        <w:rPr>
          <w:lang w:val="de-AT"/>
        </w:rPr>
        <w:t xml:space="preserve">Kommission als Zeichen naiven Technikverständnisses an und gab zu Bedenken, dass eine </w:t>
      </w:r>
      <w:r w:rsidR="00252EBC">
        <w:rPr>
          <w:lang w:val="de-AT"/>
        </w:rPr>
        <w:t>k</w:t>
      </w:r>
      <w:r>
        <w:rPr>
          <w:lang w:val="de-AT"/>
        </w:rPr>
        <w:t>urzfristige Löschung gar nicht möglich sei.</w:t>
      </w:r>
      <w:r w:rsidR="00EB20DA">
        <w:rPr>
          <w:lang w:val="de-AT"/>
        </w:rPr>
        <w:t xml:space="preserve"> Konkrete Lösungsvorschläge nannte er laut einem Bericht in dem Online-Magazin FOCUS Online </w:t>
      </w:r>
      <w:r w:rsidR="00EB20DA">
        <w:rPr>
          <w:lang w:val="de-AT"/>
        </w:rPr>
        <w:fldChar w:fldCharType="begin"/>
      </w:r>
      <w:r w:rsidR="00252EBC">
        <w:rPr>
          <w:lang w:val="de-AT"/>
        </w:rPr>
        <w:instrText xml:space="preserve"> ADDIN EN.CITE &lt;EndNote&gt;&lt;Cite ExcludeAuth="1"&gt;&lt;Author&gt;rk/dpa&lt;/Author&gt;&lt;Year&gt;2012&lt;/Year&gt;&lt;IDText&gt;Kritik an EU-Kommissarin Reding -    „Recht auf Vergessen“ finden Piraten „naiv“&lt;/IDText&gt;&lt;DisplayText&gt;(2012)&lt;/DisplayText&gt;&lt;record&gt;&lt;urls&gt;&lt;related-urls&gt;&lt;url&gt;https://www.focus.de/politik/ausland/kritik-an-eu-kommissarin-reding-recht-auf-vergessen-finden-piraten-naiv_aid_706930.html&lt;/url&gt;&lt;/related-urls&gt;&lt;/urls&gt;&lt;titles&gt;&lt;title&gt;Kritik an EU-Kommissarin Reding -    „Recht auf Vergessen“ finden Piraten „naiv“&lt;/title&gt;&lt;secondary-title&gt;FOCUS Online&lt;/secondary-title&gt;&lt;/titles&gt;&lt;access-date&gt;29.5.2019&lt;/access-date&gt;&lt;contributors&gt;&lt;authors&gt;&lt;author&gt;rk/dpa&lt;/author&gt;&lt;/authors&gt;&lt;/contributors&gt;&lt;added-date format="utc"&gt;1560179309&lt;/added-date&gt;&lt;ref-type name="Newspaper Article"&gt;23&lt;/ref-type&gt;&lt;dates&gt;&lt;year&gt;2012&lt;/year&gt;&lt;/dates&gt;&lt;rec-number&gt;85&lt;/rec-number&gt;&lt;last-updated-date format="utc"&gt;1560179723&lt;/last-updated-date&gt;&lt;/record&gt;&lt;/Cite&gt;&lt;/EndNote&gt;</w:instrText>
      </w:r>
      <w:r w:rsidR="00EB20DA">
        <w:rPr>
          <w:lang w:val="de-AT"/>
        </w:rPr>
        <w:fldChar w:fldCharType="separate"/>
      </w:r>
      <w:r w:rsidR="00252EBC">
        <w:rPr>
          <w:noProof/>
          <w:lang w:val="de-AT"/>
        </w:rPr>
        <w:t>(2012)</w:t>
      </w:r>
      <w:r w:rsidR="00EB20DA">
        <w:rPr>
          <w:lang w:val="de-AT"/>
        </w:rPr>
        <w:fldChar w:fldCharType="end"/>
      </w:r>
      <w:r w:rsidR="00EB20DA">
        <w:rPr>
          <w:lang w:val="de-AT"/>
        </w:rPr>
        <w:t xml:space="preserve"> nicht.</w:t>
      </w:r>
    </w:p>
    <w:p w14:paraId="1C4895D4" w14:textId="621F625B" w:rsidR="00191252" w:rsidRPr="00191252" w:rsidRDefault="00EB20DA" w:rsidP="00775488">
      <w:pPr>
        <w:rPr>
          <w:lang w:val="de-AT"/>
        </w:rPr>
      </w:pPr>
      <w:r>
        <w:rPr>
          <w:lang w:val="de-AT"/>
        </w:rPr>
        <w:t xml:space="preserve">Am 13. Mai 2014 urteilte der Europäische Gerichtshof, dass Google als Datenverarbeiter im Sinne der Richtlinie 95/46/EG agierte und </w:t>
      </w:r>
      <w:r w:rsidR="00553B65">
        <w:rPr>
          <w:lang w:val="de-AT"/>
        </w:rPr>
        <w:t xml:space="preserve">Sucheinträge zu Einzelpersonen für europäische NutzerInnen aus den Suchergebnissen entfernen muss, sofern die Auflistung jener Links nicht mit der Richtlinie vereinbar ist. Dies gilt jedoch nicht für NutzerInnen, die nicht aus dem EWR kommen oder von außerhalb auf </w:t>
      </w:r>
      <w:r w:rsidR="00553B65">
        <w:rPr>
          <w:lang w:val="de-AT"/>
        </w:rPr>
        <w:lastRenderedPageBreak/>
        <w:t xml:space="preserve">diese Suchergebnisse zugreifen oder wenn es sich um Personen des öffentlichen Lebens handelt, bei der die Öffentlichkeit ein überwiegendes Berechtigtes Interesse an ebenjenen Informationen hat </w:t>
      </w:r>
      <w:r w:rsidR="00553B65">
        <w:rPr>
          <w:lang w:val="de-AT"/>
        </w:rPr>
        <w:fldChar w:fldCharType="begin"/>
      </w:r>
      <w:r w:rsidR="00A416BF">
        <w:rPr>
          <w:lang w:val="de-AT"/>
        </w:rPr>
        <w:instrText xml:space="preserve"> ADDIN EN.CITE &lt;EndNote&gt;&lt;Cite&gt;&lt;Author&gt;Gerichtshof der Europäischen Union&lt;/Author&gt;&lt;Year&gt;2014&lt;/Year&gt;&lt;IDText&gt;Der Betreiber einer Internetsuchmaschine ist bei personenbezogenen Daten, die auf&lt;/IDText&gt;&lt;Pages&gt;3&lt;/Pages&gt;&lt;DisplayText&gt;(Gerichtshof der Europäischen Union, 2014, S. 3)&lt;/DisplayText&gt;&lt;record&gt;&lt;urls&gt;&lt;related-urls&gt;&lt;url&gt;https://curia.europa.eu/jcms/upload/docs/application/pdf/2014-05/cp140070de.pdf&lt;/url&gt;&lt;/related-urls&gt;&lt;/urls&gt;&lt;titles&gt;&lt;title&gt;Der Betreiber einer Internetsuchmaschine ist bei personenbezogenen Daten, die auf&amp;#xA;von Dritten veröffentlichten Internetseiten erscheinen, für die von ihm&amp;#xA;vorgenommene Verarbeitung verantwortlich&lt;/title&gt;&lt;/titles&gt;&lt;access-date&gt;1.6.2019&lt;/access-date&gt;&lt;contributors&gt;&lt;authors&gt;&lt;author&gt;Gerichtshof der Europäischen Union,&lt;/author&gt;&lt;/authors&gt;&lt;/contributors&gt;&lt;added-date format="utc"&gt;1560180817&lt;/added-date&gt;&lt;ref-type name="Press Release"&gt;63&lt;/ref-type&gt;&lt;dates&gt;&lt;year&gt;2014&lt;/year&gt;&lt;/dates&gt;&lt;rec-number&gt;86&lt;/rec-number&gt;&lt;last-updated-date format="utc"&gt;1560180871&lt;/last-updated-date&gt;&lt;/record&gt;&lt;/Cite&gt;&lt;/EndNote&gt;</w:instrText>
      </w:r>
      <w:r w:rsidR="00553B65">
        <w:rPr>
          <w:lang w:val="de-AT"/>
        </w:rPr>
        <w:fldChar w:fldCharType="separate"/>
      </w:r>
      <w:r w:rsidR="00A416BF">
        <w:rPr>
          <w:noProof/>
          <w:lang w:val="de-AT"/>
        </w:rPr>
        <w:t>(Gerichtshof der Europäischen Union, 2014, S. 3)</w:t>
      </w:r>
      <w:r w:rsidR="00553B65">
        <w:rPr>
          <w:lang w:val="de-AT"/>
        </w:rPr>
        <w:fldChar w:fldCharType="end"/>
      </w:r>
      <w:r w:rsidR="00553B65">
        <w:rPr>
          <w:lang w:val="de-AT"/>
        </w:rPr>
        <w:t>.</w:t>
      </w:r>
      <w:r w:rsidR="002A1DBD" w:rsidRPr="00FF4E9B">
        <w:rPr>
          <w:lang w:val="de-AT"/>
        </w:rPr>
        <w:br w:type="page"/>
      </w:r>
    </w:p>
    <w:p w14:paraId="231942A4" w14:textId="77777777" w:rsidR="002D7A47" w:rsidRPr="003518AE" w:rsidRDefault="000E1E19" w:rsidP="002A1DBD">
      <w:pPr>
        <w:pStyle w:val="berschrift1"/>
      </w:pPr>
      <w:bookmarkStart w:id="16" w:name="_Toc11865311"/>
      <w:r>
        <w:lastRenderedPageBreak/>
        <w:t>Historischer Abriss</w:t>
      </w:r>
      <w:r w:rsidR="007D3B83">
        <w:t xml:space="preserve"> – Vorläufer und Nachfolger</w:t>
      </w:r>
      <w:bookmarkEnd w:id="16"/>
    </w:p>
    <w:p w14:paraId="1B1E6552" w14:textId="77777777" w:rsidR="00466F0C" w:rsidRPr="003518AE" w:rsidRDefault="00BE6DF8" w:rsidP="001F2463">
      <w:pPr>
        <w:pStyle w:val="berschrift2"/>
        <w:rPr>
          <w:lang w:val="de-DE"/>
        </w:rPr>
      </w:pPr>
      <w:bookmarkStart w:id="17" w:name="_Toc11865312"/>
      <w:r>
        <w:rPr>
          <w:lang w:val="de-DE"/>
        </w:rPr>
        <w:t>Beginn Datenschutzrechtlicher Überlegungen</w:t>
      </w:r>
      <w:bookmarkEnd w:id="17"/>
      <w:r w:rsidR="00492267">
        <w:rPr>
          <w:lang w:val="de-DE"/>
        </w:rPr>
        <w:t xml:space="preserve"> </w:t>
      </w:r>
    </w:p>
    <w:p w14:paraId="7821C929" w14:textId="7D3AE48F" w:rsidR="00F87680" w:rsidRDefault="004E4726" w:rsidP="004E4726">
      <w:pPr>
        <w:rPr>
          <w:lang w:val="de-AT"/>
        </w:rPr>
      </w:pPr>
      <w:r>
        <w:rPr>
          <w:lang w:val="de-AT"/>
        </w:rPr>
        <w:t xml:space="preserve">Durch die Entstehung der Europäischen Wirtschaftsgemeinschaft Mitte des 20. Jahrhunderts </w:t>
      </w:r>
      <w:r w:rsidR="00562675">
        <w:rPr>
          <w:lang w:val="de-AT"/>
        </w:rPr>
        <w:t xml:space="preserve">und den technologischen Fortschritt im Bereich der elektronischen Datenverarbeitung </w:t>
      </w:r>
      <w:r>
        <w:rPr>
          <w:lang w:val="de-AT"/>
        </w:rPr>
        <w:t>begannen staatliche und privatwirtschaftliche Organisationen vermehrt, Daten untereinander auszutauschen. Dieser Umstand wurde bereits in den 19</w:t>
      </w:r>
      <w:r w:rsidR="00F87680">
        <w:rPr>
          <w:lang w:val="de-AT"/>
        </w:rPr>
        <w:t>5</w:t>
      </w:r>
      <w:r>
        <w:rPr>
          <w:lang w:val="de-AT"/>
        </w:rPr>
        <w:t xml:space="preserve">0er-Jahren vom Europäischen Rat anerkannt. Eine vermutlich erstmalige Berücksichtigung des persönlichen Datenschutzes fand </w:t>
      </w:r>
      <w:r w:rsidR="00F87680">
        <w:rPr>
          <w:lang w:val="de-AT"/>
        </w:rPr>
        <w:t xml:space="preserve">ausdrücklich in der Europäischen Menschenrechtskonvention statt, die in Artikel 8 </w:t>
      </w:r>
      <w:r w:rsidR="0059786D">
        <w:rPr>
          <w:lang w:val="de-AT"/>
        </w:rPr>
        <w:t>Abs</w:t>
      </w:r>
      <w:r w:rsidR="00F87680">
        <w:rPr>
          <w:lang w:val="de-AT"/>
        </w:rPr>
        <w:t xml:space="preserve"> 1 klarstellte:</w:t>
      </w:r>
    </w:p>
    <w:p w14:paraId="432F29F2" w14:textId="77777777" w:rsidR="00F87680" w:rsidRDefault="00F87680" w:rsidP="00F87680">
      <w:pPr>
        <w:pStyle w:val="Zitat"/>
        <w:jc w:val="center"/>
        <w:rPr>
          <w:lang w:val="de-AT"/>
        </w:rPr>
      </w:pPr>
      <w:r>
        <w:t xml:space="preserve">„Jedermann hat Anspruch auf Achtung seines Privat- und Familienlebens, seiner Wohnung und seines Briefverkehrs.“ </w:t>
      </w:r>
      <w:r>
        <w:fldChar w:fldCharType="begin"/>
      </w:r>
      <w:r>
        <w:instrText xml:space="preserve"> ADDIN EN.CITE &lt;EndNote&gt;&lt;Cite&gt;&lt;Author&gt;Österreich&lt;/Author&gt;&lt;Year&gt;1958&lt;/Year&gt;&lt;IDText&gt;210. Konvention zum Schutze der Menschenrechte und Grundfreiheiten&lt;/IDText&gt;&lt;Pages&gt;7&lt;/Pages&gt;&lt;DisplayText&gt;(Österreich, 1958, S. 7)&lt;/DisplayText&gt;&lt;record&gt;&lt;urls&gt;&lt;related-urls&gt;&lt;url&gt;https://www.ris.bka.gv.at/Dokumente/BgblPdf/1958_210_0/1958_210_0.pdf&lt;/url&gt;&lt;/related-urls&gt;&lt;/urls&gt;&lt;titles&gt;&lt;title&gt;210. Konvention zum Schutze der Menschenrechte und Grundfreiheiten&lt;/title&gt;&lt;secondary-title&gt;Bundesgesetzblatt für die Republik Österreich&lt;/secondary-title&gt;&lt;/titles&gt;&lt;contributors&gt;&lt;authors&gt;&lt;author&gt;Österreich&lt;/author&gt;&lt;/authors&gt;&lt;/contributors&gt;&lt;added-date format="utc"&gt;1559658146&lt;/added-date&gt;&lt;ref-type name="Journal Article"&gt;17&lt;/ref-type&gt;&lt;dates&gt;&lt;year&gt;1958&lt;/year&gt;&lt;/dates&gt;&lt;rec-number&gt;62&lt;/rec-number&gt;&lt;last-updated-date format="utc"&gt;1559659232&lt;/last-updated-date&gt;&lt;/record&gt;&lt;/Cite&gt;&lt;/EndNote&gt;</w:instrText>
      </w:r>
      <w:r>
        <w:fldChar w:fldCharType="separate"/>
      </w:r>
      <w:r>
        <w:rPr>
          <w:noProof/>
        </w:rPr>
        <w:t>(Österreich, 1958, S. 7)</w:t>
      </w:r>
      <w:r>
        <w:fldChar w:fldCharType="end"/>
      </w:r>
    </w:p>
    <w:p w14:paraId="03691317" w14:textId="3773A077" w:rsidR="004E4726" w:rsidRDefault="00F87680" w:rsidP="004E4726">
      <w:pPr>
        <w:rPr>
          <w:lang w:val="de-AT"/>
        </w:rPr>
      </w:pPr>
      <w:r>
        <w:rPr>
          <w:lang w:val="de-AT"/>
        </w:rPr>
        <w:t>I</w:t>
      </w:r>
      <w:r w:rsidR="004E4726">
        <w:rPr>
          <w:lang w:val="de-AT"/>
        </w:rPr>
        <w:t xml:space="preserve">ndikativ </w:t>
      </w:r>
      <w:r>
        <w:rPr>
          <w:lang w:val="de-AT"/>
        </w:rPr>
        <w:t xml:space="preserve">wurde auch </w:t>
      </w:r>
      <w:r w:rsidR="004E4726">
        <w:rPr>
          <w:lang w:val="de-AT"/>
        </w:rPr>
        <w:t>in der</w:t>
      </w:r>
      <w:r w:rsidR="00934AB5">
        <w:rPr>
          <w:lang w:val="de-AT"/>
        </w:rPr>
        <w:t xml:space="preserve"> 1966 </w:t>
      </w:r>
      <w:r w:rsidR="004E4726">
        <w:rPr>
          <w:lang w:val="de-AT"/>
        </w:rPr>
        <w:t xml:space="preserve">ratifizierten </w:t>
      </w:r>
      <w:r w:rsidR="00934AB5">
        <w:rPr>
          <w:lang w:val="de-AT"/>
        </w:rPr>
        <w:t>Erstv</w:t>
      </w:r>
      <w:r w:rsidR="004E4726">
        <w:rPr>
          <w:lang w:val="de-AT"/>
        </w:rPr>
        <w:t xml:space="preserve">ersion des UN-Zivilpaktes (lang: „Internationaler Pakt über bürgerliche und politische Rechte“) </w:t>
      </w:r>
      <w:r>
        <w:rPr>
          <w:lang w:val="de-AT"/>
        </w:rPr>
        <w:t>dem Recht auf Privatsphäre Raum gegeben</w:t>
      </w:r>
      <w:r w:rsidR="004E4726">
        <w:rPr>
          <w:lang w:val="de-AT"/>
        </w:rPr>
        <w:t>. Dieser, von Österreich 1978 ratifizierte, Pakt enthielt eine Passage</w:t>
      </w:r>
      <w:r>
        <w:rPr>
          <w:lang w:val="de-AT"/>
        </w:rPr>
        <w:t xml:space="preserve">, </w:t>
      </w:r>
      <w:r w:rsidR="004E4726">
        <w:rPr>
          <w:lang w:val="de-AT"/>
        </w:rPr>
        <w:t xml:space="preserve">namentlich Artikel 17 </w:t>
      </w:r>
      <w:r w:rsidR="0059786D">
        <w:rPr>
          <w:lang w:val="de-AT"/>
        </w:rPr>
        <w:t>Abs</w:t>
      </w:r>
      <w:r>
        <w:rPr>
          <w:lang w:val="de-AT"/>
        </w:rPr>
        <w:t xml:space="preserve"> 1 und </w:t>
      </w:r>
      <w:r w:rsidR="0059786D">
        <w:rPr>
          <w:lang w:val="de-AT"/>
        </w:rPr>
        <w:t>Abs</w:t>
      </w:r>
      <w:r>
        <w:rPr>
          <w:lang w:val="de-AT"/>
        </w:rPr>
        <w:t xml:space="preserve"> 2, </w:t>
      </w:r>
      <w:r w:rsidR="004E4726">
        <w:rPr>
          <w:lang w:val="de-AT"/>
        </w:rPr>
        <w:t xml:space="preserve">die festhielt, dass niemand willkürliche oder rechtswidrige Eingriffe in private Sphären (Privatleben, Familie, Wohnung oder Schriftverkehr) erdulden müssen solle </w:t>
      </w:r>
      <w:r w:rsidR="004E4726">
        <w:rPr>
          <w:lang w:val="de-AT"/>
        </w:rPr>
        <w:fldChar w:fldCharType="begin"/>
      </w:r>
      <w:r w:rsidR="004E4726">
        <w:rPr>
          <w:lang w:val="de-AT"/>
        </w:rPr>
        <w:instrText xml:space="preserve"> ADDIN EN.CITE &lt;EndNote&gt;&lt;Cite&gt;&lt;Author&gt;Österreich&lt;/Author&gt;&lt;Year&gt;1978&lt;/Year&gt;&lt;IDText&gt;591. Internationaler Pakt über bürgerliche und politische Rechte samt Vorbehalten&lt;/IDText&gt;&lt;Pages&gt;31&lt;/Pages&gt;&lt;DisplayText&gt;(Österreich, 1978, S. 31)&lt;/DisplayText&gt;&lt;record&gt;&lt;urls&gt;&lt;related-urls&gt;&lt;url&gt;https://www.ris.bka.gv.at/Dokumente/BgblPdf/1978_591_0/1978_591_0.pdf&lt;/url&gt;&lt;/related-urls&gt;&lt;/urls&gt;&lt;titles&gt;&lt;title&gt;591. Internationaler Pakt über bürgerliche und politische Rechte samt Vorbehalten&lt;/title&gt;&lt;secondary-title&gt;1978_591_0&lt;/secondary-title&gt;&lt;/titles&gt;&lt;contributors&gt;&lt;authors&gt;&lt;author&gt;Österreich&lt;/author&gt;&lt;/authors&gt;&lt;/contributors&gt;&lt;added-date format="utc"&gt;1559646006&lt;/added-date&gt;&lt;pub-location&gt;Wien&lt;/pub-location&gt;&lt;ref-type name="Legal Rule or Regulation"&gt;50&lt;/ref-type&gt;&lt;dates&gt;&lt;year&gt;1978&lt;/year&gt;&lt;/dates&gt;&lt;rec-number&gt;61&lt;/rec-number&gt;&lt;last-updated-date format="utc"&gt;1559646347&lt;/last-updated-date&gt;&lt;contributors&gt;&lt;secondary-authors&gt;&lt;author&gt;Bundesgesetzblatt für die Republik Österreich&lt;/author&gt;&lt;/secondary-authors&gt;&lt;/contributors&gt;&lt;/record&gt;&lt;/Cite&gt;&lt;/EndNote&gt;</w:instrText>
      </w:r>
      <w:r w:rsidR="004E4726">
        <w:rPr>
          <w:lang w:val="de-AT"/>
        </w:rPr>
        <w:fldChar w:fldCharType="separate"/>
      </w:r>
      <w:r w:rsidR="004E4726">
        <w:rPr>
          <w:noProof/>
          <w:lang w:val="de-AT"/>
        </w:rPr>
        <w:t>(Österreich, 1978, S. 31)</w:t>
      </w:r>
      <w:r w:rsidR="004E4726">
        <w:rPr>
          <w:lang w:val="de-AT"/>
        </w:rPr>
        <w:fldChar w:fldCharType="end"/>
      </w:r>
      <w:r w:rsidR="004E4726">
        <w:rPr>
          <w:lang w:val="de-AT"/>
        </w:rPr>
        <w:t xml:space="preserve">. Auch wenn es zeitgleich bereits andere internationale Vorstöße auf außereuropäischer Ebene gab, wird in dieser Arbeit </w:t>
      </w:r>
      <w:r w:rsidR="00492267">
        <w:rPr>
          <w:lang w:val="de-AT"/>
        </w:rPr>
        <w:t>primär</w:t>
      </w:r>
      <w:r w:rsidR="004E4726">
        <w:rPr>
          <w:lang w:val="de-AT"/>
        </w:rPr>
        <w:t xml:space="preserve"> auf europäische</w:t>
      </w:r>
      <w:r w:rsidR="00492267">
        <w:rPr>
          <w:lang w:val="de-AT"/>
        </w:rPr>
        <w:t xml:space="preserve"> </w:t>
      </w:r>
      <w:r w:rsidR="004E4726">
        <w:rPr>
          <w:lang w:val="de-AT"/>
        </w:rPr>
        <w:t>Richtlinien</w:t>
      </w:r>
      <w:r w:rsidR="00492267">
        <w:rPr>
          <w:lang w:val="de-AT"/>
        </w:rPr>
        <w:t xml:space="preserve">, Verordnungen und Vorschläge </w:t>
      </w:r>
      <w:r w:rsidR="004E4726">
        <w:rPr>
          <w:lang w:val="de-AT"/>
        </w:rPr>
        <w:t>eingegangen.</w:t>
      </w:r>
    </w:p>
    <w:p w14:paraId="710E1B97" w14:textId="662ABD27" w:rsidR="00E53DA5" w:rsidRDefault="00E53DA5" w:rsidP="004E4726">
      <w:pPr>
        <w:rPr>
          <w:lang w:val="de-AT"/>
        </w:rPr>
      </w:pPr>
      <w:r>
        <w:rPr>
          <w:lang w:val="de-AT"/>
        </w:rPr>
        <w:t xml:space="preserve">Während der „UN-Zivilpakt“ </w:t>
      </w:r>
      <w:r w:rsidR="00D97E0B">
        <w:rPr>
          <w:lang w:val="de-AT"/>
        </w:rPr>
        <w:t xml:space="preserve">1966 </w:t>
      </w:r>
      <w:r>
        <w:rPr>
          <w:lang w:val="de-AT"/>
        </w:rPr>
        <w:t>erstmals von einem abstrakten Recht zum Schutz von Privatsphäre sprach, erkannte</w:t>
      </w:r>
      <w:r w:rsidR="00BE6DF8">
        <w:rPr>
          <w:lang w:val="de-AT"/>
        </w:rPr>
        <w:t xml:space="preserve"> der</w:t>
      </w:r>
      <w:r>
        <w:rPr>
          <w:lang w:val="de-AT"/>
        </w:rPr>
        <w:t xml:space="preserve"> </w:t>
      </w:r>
      <w:r w:rsidR="00BE6DF8">
        <w:rPr>
          <w:lang w:val="de-AT"/>
        </w:rPr>
        <w:t xml:space="preserve">Europarat </w:t>
      </w:r>
      <w:r w:rsidR="00934AB5">
        <w:rPr>
          <w:lang w:val="de-AT"/>
        </w:rPr>
        <w:t xml:space="preserve">bereits früh einen Handlungsbedarf. </w:t>
      </w:r>
      <w:r w:rsidR="00BE6DF8">
        <w:rPr>
          <w:lang w:val="de-AT"/>
        </w:rPr>
        <w:t>Aufgrund des nur langsamen Vorankommens</w:t>
      </w:r>
      <w:r w:rsidR="00934AB5">
        <w:rPr>
          <w:lang w:val="de-AT"/>
        </w:rPr>
        <w:t xml:space="preserve"> der Legislative transeuropäischer Entitäten und signifikanter Mängel im Schutz der Privatsphäre europäischer Bürger, sprach die Parlamentarische Versammlung </w:t>
      </w:r>
      <w:r w:rsidR="00BE6DF8">
        <w:rPr>
          <w:lang w:val="de-AT"/>
        </w:rPr>
        <w:t>eine Empfehlung zur Untersuchung der gegebenen Umstände und zu einer Vereinheitlichung und Verbesserung des Schutzes des Rechts auf Privatsphäre aus. Dies geschah unter anderem auch aus Furch</w:t>
      </w:r>
      <w:r w:rsidR="00492267">
        <w:rPr>
          <w:lang w:val="de-AT"/>
        </w:rPr>
        <w:t>t</w:t>
      </w:r>
      <w:r w:rsidR="00BE6DF8">
        <w:rPr>
          <w:lang w:val="de-AT"/>
        </w:rPr>
        <w:t>, die geltende Lage könne Artikel 8 der Europäischen Menschenrechts</w:t>
      </w:r>
      <w:r w:rsidR="00F80874">
        <w:rPr>
          <w:lang w:val="de-AT"/>
        </w:rPr>
        <w:t>konvention</w:t>
      </w:r>
      <w:r w:rsidR="00BE6DF8">
        <w:rPr>
          <w:lang w:val="de-AT"/>
        </w:rPr>
        <w:t xml:space="preserve"> nicht gerecht werden und somit potentiell einen Verstoß gegen diese verursachen</w:t>
      </w:r>
      <w:r w:rsidR="006D5932">
        <w:rPr>
          <w:lang w:val="de-AT"/>
        </w:rPr>
        <w:t xml:space="preserve"> </w:t>
      </w:r>
      <w:r w:rsidR="006D5932">
        <w:rPr>
          <w:lang w:val="de-AT"/>
        </w:rPr>
        <w:fldChar w:fldCharType="begin"/>
      </w:r>
      <w:r w:rsidR="006D5932">
        <w:rPr>
          <w:lang w:val="de-AT"/>
        </w:rPr>
        <w:instrText xml:space="preserve"> ADDIN EN.CITE &lt;EndNote&gt;&lt;Cite&gt;&lt;Author&gt;Europarat&lt;/Author&gt;&lt;Year&gt;1968&lt;/Year&gt;&lt;IDText&gt;Recommendation 509 (1968) - Human rights and modern scientific and technological developments&lt;/IDText&gt;&lt;DisplayText&gt;(Europarat, 1968)&lt;/DisplayText&gt;&lt;record&gt;&lt;urls&gt;&lt;related-urls&gt;&lt;url&gt;http://semantic-pace.net/tools/pdf.aspx?doc=aHR0cDovL2Fzc2VtYmx5LmNvZS5pbnQvbncveG1sL1hSZWYvWDJILURXLWV4dHIuYXNwP2ZpbGVpZD0xNDU0NiZsYW5nPUVO&amp;amp;xsl=aHR0cDovL3NlbWFudGljcGFjZS5uZXQvWHNsdC9QZGYvWFJlZi1XRC1BVC1YTUwyUERGLnhzbA==&amp;amp;xsltparams=ZmlsZWlkPTE0NTQ2&lt;/url&gt;&lt;/related-urls&gt;&lt;/urls&gt;&lt;titles&gt;&lt;title&gt;Recommendation 509 (1968) - Human rights and modern scientific and technological developments&lt;/title&gt;&lt;/titles&gt;&lt;contributors&gt;&lt;authors&gt;&lt;author&gt;Europarat&lt;/author&gt;&lt;/authors&gt;&lt;/contributors&gt;&lt;added-date format="utc"&gt;1559662173&lt;/added-date&gt;&lt;ref-type name="Journal Article"&gt;17&lt;/ref-type&gt;&lt;dates&gt;&lt;year&gt;1968&lt;/year&gt;&lt;/dates&gt;&lt;rec-number&gt;63&lt;/rec-number&gt;&lt;last-updated-date format="utc"&gt;1560166609&lt;/last-updated-date&gt;&lt;/record&gt;&lt;/Cite&gt;&lt;/EndNote&gt;</w:instrText>
      </w:r>
      <w:r w:rsidR="006D5932">
        <w:rPr>
          <w:lang w:val="de-AT"/>
        </w:rPr>
        <w:fldChar w:fldCharType="separate"/>
      </w:r>
      <w:r w:rsidR="006D5932">
        <w:rPr>
          <w:noProof/>
          <w:lang w:val="de-AT"/>
        </w:rPr>
        <w:t>(Europarat, 1968)</w:t>
      </w:r>
      <w:r w:rsidR="006D5932">
        <w:rPr>
          <w:lang w:val="de-AT"/>
        </w:rPr>
        <w:fldChar w:fldCharType="end"/>
      </w:r>
      <w:r w:rsidR="00BE6DF8">
        <w:rPr>
          <w:lang w:val="de-AT"/>
        </w:rPr>
        <w:t>.</w:t>
      </w:r>
    </w:p>
    <w:p w14:paraId="45455F93" w14:textId="77777777" w:rsidR="006A727D" w:rsidRDefault="00492267" w:rsidP="004E4726">
      <w:pPr>
        <w:rPr>
          <w:lang w:val="de-AT"/>
        </w:rPr>
      </w:pPr>
      <w:r>
        <w:rPr>
          <w:lang w:val="de-AT"/>
        </w:rPr>
        <w:t>Erstmalig in nationales Recht umgesetzt wurde der Schutz personenbezogener Daten im teilsouveränen Gliedstaat Hessen. Am 13. Oktober 1970 trat d</w:t>
      </w:r>
      <w:r w:rsidR="003E5129">
        <w:rPr>
          <w:lang w:val="de-AT"/>
        </w:rPr>
        <w:t xml:space="preserve">as </w:t>
      </w:r>
      <w:r w:rsidR="00664C5D">
        <w:rPr>
          <w:lang w:val="de-AT"/>
        </w:rPr>
        <w:t xml:space="preserve">„Hessische </w:t>
      </w:r>
      <w:r w:rsidR="00664C5D">
        <w:rPr>
          <w:lang w:val="de-AT"/>
        </w:rPr>
        <w:lastRenderedPageBreak/>
        <w:t>Datenschutzgesetz“ (HDSG) mit</w:t>
      </w:r>
      <w:r w:rsidR="00CC3B00">
        <w:rPr>
          <w:lang w:val="de-AT"/>
        </w:rPr>
        <w:t xml:space="preserve"> Geltungsbereich für alle öffentliche Stellen und juristische Person in Kraft und gilt als Vorreiter für internationale Richtlinien. Dieses Gesetz enthielt erstmals Begriffsbezeichnungen wie „personenbezogene Daten“</w:t>
      </w:r>
      <w:r w:rsidR="00CC3B00">
        <w:rPr>
          <w:lang w:val="de-AT"/>
        </w:rPr>
        <w:tab/>
        <w:t>oder „Datenverarbeitung“</w:t>
      </w:r>
      <w:r w:rsidR="0092503D">
        <w:rPr>
          <w:lang w:val="de-AT"/>
        </w:rPr>
        <w:t xml:space="preserve">. Es wurde immer wieder erweitert und erweitert, schlussendlich am 25. Mai 2018 </w:t>
      </w:r>
      <w:r w:rsidR="00BC2EA3">
        <w:rPr>
          <w:lang w:val="de-AT"/>
        </w:rPr>
        <w:t xml:space="preserve">durch die DSGVO </w:t>
      </w:r>
      <w:r w:rsidR="0092503D">
        <w:rPr>
          <w:lang w:val="de-AT"/>
        </w:rPr>
        <w:t>abgelöst</w:t>
      </w:r>
      <w:r w:rsidR="00BC2EA3">
        <w:rPr>
          <w:lang w:val="de-AT"/>
        </w:rPr>
        <w:t xml:space="preserve"> </w:t>
      </w:r>
      <w:r w:rsidR="00BC2EA3">
        <w:rPr>
          <w:lang w:val="de-AT"/>
        </w:rPr>
        <w:fldChar w:fldCharType="begin"/>
      </w:r>
      <w:r w:rsidR="00BC2EA3">
        <w:rPr>
          <w:lang w:val="de-AT"/>
        </w:rPr>
        <w:instrText xml:space="preserve"> ADDIN EN.CITE &lt;EndNote&gt;&lt;Cite&gt;&lt;Author&gt;Hessen&lt;/Author&gt;&lt;Year&gt;1998&lt;/Year&gt;&lt;IDText&gt;Hessisches Datenschutzgesetz (HDSG)&lt;/IDText&gt;&lt;DisplayText&gt;(Hessen, 1998)&lt;/DisplayText&gt;&lt;record&gt;&lt;titles&gt;&lt;title&gt;Hessisches Datenschutzgesetz (HDSG)&lt;/title&gt;&lt;secondary-title&gt;300-28&lt;/secondary-title&gt;&lt;/titles&gt;&lt;contributors&gt;&lt;authors&gt;&lt;author&gt;Hessen&lt;/author&gt;&lt;/authors&gt;&lt;/contributors&gt;&lt;added-date format="utc"&gt;1559819719&lt;/added-date&gt;&lt;ref-type name="Legal Rule or Regulation"&gt;50&lt;/ref-type&gt;&lt;dates&gt;&lt;year&gt;1998&lt;/year&gt;&lt;/dates&gt;&lt;rec-number&gt;64&lt;/rec-number&gt;&lt;last-updated-date format="utc"&gt;1559819955&lt;/last-updated-date&gt;&lt;/record&gt;&lt;/Cite&gt;&lt;/EndNote&gt;</w:instrText>
      </w:r>
      <w:r w:rsidR="00BC2EA3">
        <w:rPr>
          <w:lang w:val="de-AT"/>
        </w:rPr>
        <w:fldChar w:fldCharType="separate"/>
      </w:r>
      <w:r w:rsidR="00BC2EA3">
        <w:rPr>
          <w:noProof/>
          <w:lang w:val="de-AT"/>
        </w:rPr>
        <w:t>(Hessen, 1998)</w:t>
      </w:r>
      <w:r w:rsidR="00BC2EA3">
        <w:rPr>
          <w:lang w:val="de-AT"/>
        </w:rPr>
        <w:fldChar w:fldCharType="end"/>
      </w:r>
      <w:r w:rsidR="0092503D">
        <w:rPr>
          <w:lang w:val="de-AT"/>
        </w:rPr>
        <w:t>.</w:t>
      </w:r>
    </w:p>
    <w:p w14:paraId="11705DA7" w14:textId="77777777" w:rsidR="00882407" w:rsidRDefault="00D746E1" w:rsidP="004E4726">
      <w:r>
        <w:rPr>
          <w:lang w:val="de-AT"/>
        </w:rPr>
        <w:t xml:space="preserve">In den 1970ern entwickelte die „Organisation für wirtschaftliche Zusammenarbeit und Entwicklung“ (auch OECD) eine Richtlinie für </w:t>
      </w:r>
      <w:r w:rsidR="00882407">
        <w:rPr>
          <w:lang w:val="de-AT"/>
        </w:rPr>
        <w:t xml:space="preserve">Privatsphäre und trat dabei für den Respekt der Privatsphäre als Voraussetzung für transnationalen Datenschutz ein </w:t>
      </w:r>
      <w:r w:rsidR="00882407">
        <w:rPr>
          <w:lang w:val="de-AT"/>
        </w:rPr>
        <w:fldChar w:fldCharType="begin"/>
      </w:r>
      <w:r w:rsidR="006A727D">
        <w:rPr>
          <w:lang w:val="de-AT"/>
        </w:rPr>
        <w:instrText xml:space="preserve"> ADDIN EN.CITE &lt;EndNote&gt;&lt;Cite&gt;&lt;Author&gt;OECD&lt;/Author&gt;&lt;Year&gt;2013&lt;/Year&gt;&lt;IDText&gt;The OECD Privacy Framework&lt;/IDText&gt;&lt;Pages&gt;3&lt;/Pages&gt;&lt;DisplayText&gt;(OECD, 2013, S. 3)&lt;/DisplayText&gt;&lt;record&gt;&lt;urls&gt;&lt;related-urls&gt;&lt;url&gt;http://www.oecd.org/internet/ieconomy/oecd_privacy_framework.pdf&lt;/url&gt;&lt;/related-urls&gt;&lt;/urls&gt;&lt;titles&gt;&lt;title&gt;The OECD Privacy Framework&lt;/title&gt;&lt;/titles&gt;&lt;contributors&gt;&lt;authors&gt;&lt;author&gt;OECD, Organisation für wirtschaftliche Zusammenarbeit und Entwicklung&lt;/author&gt;&lt;/authors&gt;&lt;/contributors&gt;&lt;added-date format="utc"&gt;1559822789&lt;/added-date&gt;&lt;ref-type name="Generic"&gt;13&lt;/ref-type&gt;&lt;dates&gt;&lt;year&gt;2013&lt;/year&gt;&lt;/dates&gt;&lt;rec-number&gt;65&lt;/rec-number&gt;&lt;last-updated-date format="utc"&gt;1559822844&lt;/last-updated-date&gt;&lt;/record&gt;&lt;/Cite&gt;&lt;/EndNote&gt;</w:instrText>
      </w:r>
      <w:r w:rsidR="00882407">
        <w:rPr>
          <w:lang w:val="de-AT"/>
        </w:rPr>
        <w:fldChar w:fldCharType="separate"/>
      </w:r>
      <w:r w:rsidR="006A727D">
        <w:rPr>
          <w:noProof/>
          <w:lang w:val="de-AT"/>
        </w:rPr>
        <w:t>(OECD, 2013, S. 3)</w:t>
      </w:r>
      <w:r w:rsidR="00882407">
        <w:rPr>
          <w:lang w:val="de-AT"/>
        </w:rPr>
        <w:fldChar w:fldCharType="end"/>
      </w:r>
      <w:r w:rsidR="00882407">
        <w:rPr>
          <w:lang w:val="de-AT"/>
        </w:rPr>
        <w:t xml:space="preserve">. </w:t>
      </w:r>
      <w:r w:rsidR="00882407">
        <w:t>„</w:t>
      </w:r>
      <w:r w:rsidR="00882407" w:rsidRPr="00882407">
        <w:t>Leitlinien für den Schutz des Persönlichkeitsbereichs und den grenzüberschreitenden Verkehr personenbezogener Daten</w:t>
      </w:r>
      <w:r w:rsidR="00882407">
        <w:t>“ stellen dabei aber keine rechtsverbindliche Richtlinie, sondern nur eine Handlungsempfehlung dar. Die bis heute in mehreren Versionen (zuletzt) 2013 überarbeiteten Empfehlungen der Organisation haben damit keinen rechtsverbindlichen Charakter.</w:t>
      </w:r>
      <w:r w:rsidR="006A727D">
        <w:t xml:space="preserve"> Anzumerken ist, dass die ursprüngliche Empfehlung, beziehungsweise der Anhang, Begriffsbestimmungen enthielt, die noch heute so oder zumindest ähnlich verwendet werden </w:t>
      </w:r>
      <w:r w:rsidR="00441D21">
        <w:t xml:space="preserve">und dass in die Richtlinien die in Kapitel 1 besprochenen Säulen des Datenschutzes auf diese zurückzuführen ist </w:t>
      </w:r>
      <w:r w:rsidR="006A727D">
        <w:fldChar w:fldCharType="begin"/>
      </w:r>
      <w:r w:rsidR="006A727D">
        <w:instrText xml:space="preserve"> ADDIN EN.CITE &lt;EndNote&gt;&lt;Cite&gt;&lt;Author&gt;OECD&lt;/Author&gt;&lt;Year&gt;1980&lt;/Year&gt;&lt;IDText&gt;Annex to the recommendation of the Council of 23 September 1980&lt;/IDText&gt;&lt;DisplayText&gt;(OECD, 1980)&lt;/DisplayText&gt;&lt;record&gt;&lt;urls&gt;&lt;related-urls&gt;&lt;url&gt;https://habeasdatacolombia.uniandes.edu.co/wp-content/uploads/OECD_Privacy_Guidelines_1980.pdf&lt;/url&gt;&lt;/related-urls&gt;&lt;/urls&gt;&lt;titles&gt;&lt;title&gt;Annex to the recommendation of the Council of 23 September 1980&lt;/title&gt;&lt;/titles&gt;&lt;contributors&gt;&lt;authors&gt;&lt;author&gt;OECD, Organisation für wirtschaftliche Zusammenarbeit und Entwicklung&lt;/author&gt;&lt;/authors&gt;&lt;/contributors&gt;&lt;added-date format="utc"&gt;1559823421&lt;/added-date&gt;&lt;ref-type name="Generic"&gt;13&lt;/ref-type&gt;&lt;dates&gt;&lt;year&gt;1980&lt;/year&gt;&lt;/dates&gt;&lt;rec-number&gt;66&lt;/rec-number&gt;&lt;last-updated-date format="utc"&gt;1559823621&lt;/last-updated-date&gt;&lt;/record&gt;&lt;/Cite&gt;&lt;/EndNote&gt;</w:instrText>
      </w:r>
      <w:r w:rsidR="006A727D">
        <w:fldChar w:fldCharType="separate"/>
      </w:r>
      <w:r w:rsidR="006A727D">
        <w:rPr>
          <w:noProof/>
        </w:rPr>
        <w:t>(OECD, 1980)</w:t>
      </w:r>
      <w:r w:rsidR="006A727D">
        <w:fldChar w:fldCharType="end"/>
      </w:r>
      <w:r w:rsidR="006A727D">
        <w:t xml:space="preserve">. </w:t>
      </w:r>
    </w:p>
    <w:p w14:paraId="1EC57B94" w14:textId="77777777" w:rsidR="006A727D" w:rsidRDefault="006A727D" w:rsidP="004E4726">
      <w:pPr>
        <w:rPr>
          <w:lang w:val="de-AT"/>
        </w:rPr>
      </w:pPr>
    </w:p>
    <w:p w14:paraId="1922A12E" w14:textId="43F0C610" w:rsidR="00E13EC2" w:rsidRPr="008B5AAA" w:rsidRDefault="008B5AAA" w:rsidP="008B5AAA">
      <w:pPr>
        <w:pStyle w:val="berschrift2"/>
        <w:rPr>
          <w:lang w:val="de-DE"/>
        </w:rPr>
      </w:pPr>
      <w:bookmarkStart w:id="18" w:name="_Toc11865313"/>
      <w:r>
        <w:rPr>
          <w:lang w:val="de-AT"/>
        </w:rPr>
        <w:t xml:space="preserve">Konvention 108 </w:t>
      </w:r>
      <w:r w:rsidR="00DD3CDA">
        <w:rPr>
          <w:lang w:val="de-AT"/>
        </w:rPr>
        <w:t>–</w:t>
      </w:r>
      <w:r>
        <w:rPr>
          <w:lang w:val="de-AT"/>
        </w:rPr>
        <w:t xml:space="preserve"> </w:t>
      </w:r>
      <w:r w:rsidR="00632F9E" w:rsidRPr="008B5AAA">
        <w:rPr>
          <w:lang w:val="de-DE"/>
        </w:rPr>
        <w:t>Übereinkommen</w:t>
      </w:r>
      <w:r w:rsidR="00DD3CDA">
        <w:rPr>
          <w:lang w:val="de-DE"/>
        </w:rPr>
        <w:t xml:space="preserve"> </w:t>
      </w:r>
      <w:r w:rsidR="00632F9E" w:rsidRPr="008B5AAA">
        <w:rPr>
          <w:lang w:val="de-DE"/>
        </w:rPr>
        <w:t>zum Schutz des Menschen bei der automatischen Verarbeitung personenbezogener Daten</w:t>
      </w:r>
      <w:bookmarkEnd w:id="18"/>
    </w:p>
    <w:p w14:paraId="608E0EF7" w14:textId="77777777" w:rsidR="00087C53" w:rsidRDefault="006A727D" w:rsidP="00087C53">
      <w:r>
        <w:t>Nachdem d</w:t>
      </w:r>
      <w:r w:rsidR="006F1896">
        <w:t xml:space="preserve">er Europäische Rat bereits in den Jahren 1974 und 1975 auf ratsinterne Nachfrage Berichte zur datenschutzrechtlichen Situation in der Union angefertigt hatte und der Konsens gefunden wurde, dass Datenschutz auch wirtschaftlich von Bedeutung sei, setzte man erste Schritte zur Verabschiedung </w:t>
      </w:r>
      <w:r w:rsidR="001D35AD">
        <w:t>einer europäischen Direktive</w:t>
      </w:r>
      <w:r w:rsidR="006F1896">
        <w:t xml:space="preserve"> </w:t>
      </w:r>
      <w:r w:rsidR="006F1896">
        <w:fldChar w:fldCharType="begin"/>
      </w:r>
      <w:r w:rsidR="003C5079">
        <w:instrText xml:space="preserve"> ADDIN EN.CITE &lt;EndNote&gt;&lt;Cite&gt;&lt;Author&gt;Evans&lt;/Author&gt;&lt;Year&gt;1981&lt;/Year&gt;&lt;IDText&gt;European Data Protection Law&lt;/IDText&gt;&lt;Pages&gt;575 f&lt;/Pages&gt;&lt;DisplayText&gt;(Evans, 1981, S. 575 f)&lt;/DisplayText&gt;&lt;record&gt;&lt;urls&gt;&lt;related-urls&gt;&lt;url&gt;http://www.jstor.org/stable/839754&lt;/url&gt;&lt;/related-urls&gt;&lt;/urls&gt;&lt;isbn&gt;0002919X&lt;/isbn&gt;&lt;titles&gt;&lt;title&gt;European Data Protection Law&lt;/title&gt;&lt;/titles&gt;&lt;pages&gt;571-582&lt;/pages&gt;&lt;number&gt;4&lt;/number&gt;&lt;contributors&gt;&lt;authors&gt;&lt;author&gt;Evans, A. C.&lt;/author&gt;&lt;/authors&gt;&lt;/contributors&gt;&lt;added-date format="utc"&gt;1559824612&lt;/added-date&gt;&lt;ref-type name="Journal Article"&gt;17&lt;/ref-type&gt;&lt;dates&gt;&lt;year&gt;1981&lt;/year&gt;&lt;/dates&gt;&lt;remote-database-provider&gt;JSTOR http://www.jstor.org&lt;/remote-database-provider&gt;&lt;rec-number&gt;67&lt;/rec-number&gt;&lt;last-updated-date format="utc"&gt;1559824970&lt;/last-updated-date&gt;&lt;volume&gt;29&lt;/volume&gt;&lt;remote-database-name&gt;JSTOR&lt;/remote-database-name&gt;&lt;/record&gt;&lt;/Cite&gt;&lt;/EndNote&gt;</w:instrText>
      </w:r>
      <w:r w:rsidR="006F1896">
        <w:fldChar w:fldCharType="separate"/>
      </w:r>
      <w:r w:rsidR="003C5079">
        <w:rPr>
          <w:noProof/>
        </w:rPr>
        <w:t>(Evans, 1981, S. 575 f)</w:t>
      </w:r>
      <w:r w:rsidR="006F1896">
        <w:fldChar w:fldCharType="end"/>
      </w:r>
      <w:r w:rsidR="006F1896">
        <w:t xml:space="preserve">. Dazu wurden </w:t>
      </w:r>
      <w:r w:rsidR="001D35AD">
        <w:t>auch die Mitglieder angehalten, bereits vorliegende Entwürfe für Gesetzestexte einzureichen, um eine Basis zu finden.</w:t>
      </w:r>
    </w:p>
    <w:p w14:paraId="44E10ED8" w14:textId="4F908318" w:rsidR="00EC4A9B" w:rsidRDefault="00632F9E" w:rsidP="00087C53">
      <w:r>
        <w:t xml:space="preserve">Die Bemühungen führten dazu, dass der </w:t>
      </w:r>
      <w:r w:rsidR="00292412">
        <w:t>Europarat</w:t>
      </w:r>
      <w:r>
        <w:t xml:space="preserve"> das „</w:t>
      </w:r>
      <w:r w:rsidRPr="00632F9E">
        <w:t>Übereinkommen zum Schutz des Menschen bei der automatischen Verarbeitung personenbezogener Daten</w:t>
      </w:r>
      <w:r>
        <w:t xml:space="preserve">“ </w:t>
      </w:r>
      <w:r w:rsidR="00292412">
        <w:t xml:space="preserve">am 28. Jänner 1981 </w:t>
      </w:r>
      <w:r>
        <w:t xml:space="preserve">verabschiedete. Die 1985 </w:t>
      </w:r>
      <w:r w:rsidR="00377C64">
        <w:t xml:space="preserve">mit 27 Artikeln </w:t>
      </w:r>
      <w:r>
        <w:t xml:space="preserve">in Kraft getretene Konvention 108 verpflichtete alle unterzeichnenden Mitglieder der Europäischen Union </w:t>
      </w:r>
      <w:r w:rsidR="00D64494">
        <w:t xml:space="preserve">erstmals dazu, </w:t>
      </w:r>
      <w:r w:rsidR="00FE17C5">
        <w:t>einheitliche Datenschutzvorschriften einzuführen.</w:t>
      </w:r>
      <w:r w:rsidR="00EC4A9B">
        <w:t xml:space="preserve"> Dennoch erlaubte es die</w:t>
      </w:r>
      <w:r w:rsidR="00714A1C">
        <w:t xml:space="preserve"> Erstfassung der</w:t>
      </w:r>
      <w:r w:rsidR="00EC4A9B">
        <w:t xml:space="preserve"> Konvention einzelnen Staaten, </w:t>
      </w:r>
      <w:r w:rsidR="00714A1C">
        <w:t xml:space="preserve">bestimmte </w:t>
      </w:r>
      <w:r w:rsidR="00EC4A9B">
        <w:t xml:space="preserve">Arten der Datensammlung </w:t>
      </w:r>
      <w:r w:rsidR="00EC4A9B">
        <w:lastRenderedPageBreak/>
        <w:t xml:space="preserve">auszuschließen, sofern sie nicht bisher in nationaler Gesetzgebung inkludiert war </w:t>
      </w:r>
      <w:r w:rsidR="00EC4A9B">
        <w:fldChar w:fldCharType="begin"/>
      </w:r>
      <w:r w:rsidR="003C5079">
        <w:instrText xml:space="preserve"> ADDIN EN.CITE &lt;EndNote&gt;&lt;Cite&gt;&lt;Author&gt;Europarat&lt;/Author&gt;&lt;Year&gt;1981&lt;/Year&gt;&lt;IDText&gt;Konvention 108 - Übereinkommen zum Schutz des Menschen bei der automatischen&lt;/IDText&gt;&lt;Pages&gt;3 f&lt;/Pages&gt;&lt;DisplayText&gt;(Europarat, 1981, S. 3 f)&lt;/DisplayText&gt;&lt;record&gt;&lt;urls&gt;&lt;related-urls&gt;&lt;url&gt;https://rm.coe.int/1680078b38&lt;/url&gt;&lt;/related-urls&gt;&lt;/urls&gt;&lt;titles&gt;&lt;title&gt;Konvention 108 - Übereinkommen zum Schutz des Menschen bei der automatischen&amp;#xA;Verarbeitung personenbezogener Daten&lt;/title&gt;&lt;/titles&gt;&lt;contributors&gt;&lt;authors&gt;&lt;author&gt;Europarat&lt;/author&gt;&lt;/authors&gt;&lt;/contributors&gt;&lt;added-date format="utc"&gt;1559827374&lt;/added-date&gt;&lt;pub-location&gt;Straßburg&lt;/pub-location&gt;&lt;ref-type name="Legal Rule or Regulation"&gt;50&lt;/ref-type&gt;&lt;dates&gt;&lt;year&gt;1981&lt;/year&gt;&lt;/dates&gt;&lt;rec-number&gt;68&lt;/rec-number&gt;&lt;last-updated-date format="utc"&gt;1559827449&lt;/last-updated-date&gt;&lt;contributors&gt;&lt;secondary-authors&gt;&lt;author&gt;Europarat&lt;/author&gt;&lt;/secondary-authors&gt;&lt;/contributors&gt;&lt;/record&gt;&lt;/Cite&gt;&lt;/EndNote&gt;</w:instrText>
      </w:r>
      <w:r w:rsidR="00EC4A9B">
        <w:fldChar w:fldCharType="separate"/>
      </w:r>
      <w:r w:rsidR="003C5079">
        <w:rPr>
          <w:noProof/>
        </w:rPr>
        <w:t>(Europarat, 1981, S. 3 f)</w:t>
      </w:r>
      <w:r w:rsidR="00EC4A9B">
        <w:fldChar w:fldCharType="end"/>
      </w:r>
      <w:r w:rsidR="00EC4A9B">
        <w:t xml:space="preserve">. </w:t>
      </w:r>
    </w:p>
    <w:p w14:paraId="09034AA4" w14:textId="77777777" w:rsidR="00D64494" w:rsidRDefault="00EC4A9B" w:rsidP="00087C53">
      <w:r>
        <w:t>Dies kann als Versuch der Vereinheitlichung bei gleichzeitigem Einführen eines Mindeststandards gesehen werden.</w:t>
      </w:r>
    </w:p>
    <w:p w14:paraId="5E5324B5" w14:textId="77777777" w:rsidR="007604FD" w:rsidRDefault="00377C64" w:rsidP="007604FD">
      <w:r>
        <w:t xml:space="preserve">Eine wichtige Einschränkung bei Konvention 108 ist die </w:t>
      </w:r>
      <w:r w:rsidR="00D72787">
        <w:t xml:space="preserve">ursprüngliche </w:t>
      </w:r>
      <w:r>
        <w:t>Beschränkung des Geltungsbereichs auf „automatisierte Verarbeitung“</w:t>
      </w:r>
      <w:r w:rsidR="00D72787">
        <w:t>, sie behandelte also keine manuelle Datenerfassung und Datenverarbeitung</w:t>
      </w:r>
      <w:r w:rsidR="007604FD">
        <w:t xml:space="preserve"> </w:t>
      </w:r>
      <w:r w:rsidR="00714A1C">
        <w:fldChar w:fldCharType="begin"/>
      </w:r>
      <w:r w:rsidR="007604FD">
        <w:instrText xml:space="preserve"> ADDIN EN.CITE &lt;EndNote&gt;&lt;Cite&gt;&lt;Author&gt;Europarat&lt;/Author&gt;&lt;Year&gt;1981&lt;/Year&gt;&lt;IDText&gt;Konvention 108 - Übereinkommen zum Schutz des Menschen bei der automatischen&lt;/IDText&gt;&lt;Pages&gt;2&lt;/Pages&gt;&lt;DisplayText&gt;(Europarat, 1981, S. 2)&lt;/DisplayText&gt;&lt;record&gt;&lt;urls&gt;&lt;related-urls&gt;&lt;url&gt;https://rm.coe.int/1680078b38&lt;/url&gt;&lt;/related-urls&gt;&lt;/urls&gt;&lt;titles&gt;&lt;title&gt;Konvention 108 - Übereinkommen zum Schutz des Menschen bei der automatischen&amp;#xA;Verarbeitung personenbezogener Daten&lt;/title&gt;&lt;/titles&gt;&lt;contributors&gt;&lt;authors&gt;&lt;author&gt;Europarat&lt;/author&gt;&lt;/authors&gt;&lt;/contributors&gt;&lt;added-date format="utc"&gt;1559827374&lt;/added-date&gt;&lt;pub-location&gt;Straßburg&lt;/pub-location&gt;&lt;ref-type name="Legal Rule or Regulation"&gt;50&lt;/ref-type&gt;&lt;dates&gt;&lt;year&gt;1981&lt;/year&gt;&lt;/dates&gt;&lt;rec-number&gt;68&lt;/rec-number&gt;&lt;last-updated-date format="utc"&gt;1559827449&lt;/last-updated-date&gt;&lt;contributors&gt;&lt;secondary-authors&gt;&lt;author&gt;Europarat&lt;/author&gt;&lt;/secondary-authors&gt;&lt;/contributors&gt;&lt;/record&gt;&lt;/Cite&gt;&lt;/EndNote&gt;</w:instrText>
      </w:r>
      <w:r w:rsidR="00714A1C">
        <w:fldChar w:fldCharType="separate"/>
      </w:r>
      <w:r w:rsidR="007604FD">
        <w:rPr>
          <w:noProof/>
        </w:rPr>
        <w:t>(Europarat, 1981, S. 2)</w:t>
      </w:r>
      <w:r w:rsidR="00714A1C">
        <w:fldChar w:fldCharType="end"/>
      </w:r>
      <w:r w:rsidR="00D72787">
        <w:t>.</w:t>
      </w:r>
    </w:p>
    <w:p w14:paraId="36B41742" w14:textId="77777777" w:rsidR="007604FD" w:rsidRDefault="007604FD" w:rsidP="007604FD">
      <w:r>
        <w:t xml:space="preserve">Die durch den Europarat </w:t>
      </w:r>
      <w:r>
        <w:fldChar w:fldCharType="begin"/>
      </w:r>
      <w:r w:rsidR="003C5079">
        <w:instrText xml:space="preserve"> ADDIN EN.CITE &lt;EndNote&gt;&lt;Cite ExcludeAuth="1"&gt;&lt;Author&gt;Europarat&lt;/Author&gt;&lt;Year&gt;1981&lt;/Year&gt;&lt;IDText&gt;Konvention 108 - Übereinkommen zum Schutz des Menschen bei der automatischen&lt;/IDText&gt;&lt;Pages&gt;3 f&lt;/Pages&gt;&lt;DisplayText&gt;(1981, S. 3 f)&lt;/DisplayText&gt;&lt;record&gt;&lt;urls&gt;&lt;related-urls&gt;&lt;url&gt;https://rm.coe.int/1680078b38&lt;/url&gt;&lt;/related-urls&gt;&lt;/urls&gt;&lt;titles&gt;&lt;title&gt;Konvention 108 - Übereinkommen zum Schutz des Menschen bei der automatischen&amp;#xA;Verarbeitung personenbezogener Daten&lt;/title&gt;&lt;/titles&gt;&lt;contributors&gt;&lt;authors&gt;&lt;author&gt;Europarat&lt;/author&gt;&lt;/authors&gt;&lt;/contributors&gt;&lt;added-date format="utc"&gt;1559827374&lt;/added-date&gt;&lt;pub-location&gt;Straßburg&lt;/pub-location&gt;&lt;ref-type name="Legal Rule or Regulation"&gt;50&lt;/ref-type&gt;&lt;dates&gt;&lt;year&gt;1981&lt;/year&gt;&lt;/dates&gt;&lt;rec-number&gt;68&lt;/rec-number&gt;&lt;last-updated-date format="utc"&gt;1559827449&lt;/last-updated-date&gt;&lt;contributors&gt;&lt;secondary-authors&gt;&lt;author&gt;Europarat&lt;/author&gt;&lt;/secondary-authors&gt;&lt;/contributors&gt;&lt;/record&gt;&lt;/Cite&gt;&lt;/EndNote&gt;</w:instrText>
      </w:r>
      <w:r>
        <w:fldChar w:fldCharType="separate"/>
      </w:r>
      <w:r w:rsidR="003C5079">
        <w:rPr>
          <w:noProof/>
        </w:rPr>
        <w:t>(1981, S. 3 f)</w:t>
      </w:r>
      <w:r>
        <w:fldChar w:fldCharType="end"/>
      </w:r>
      <w:r>
        <w:t xml:space="preserve"> beschlossene Konvention enthielt erstmals einige, aus Kapitel 1 bekannte, Säulen des Datenschutzes</w:t>
      </w:r>
      <w:r w:rsidR="003C5079">
        <w:t>, die Betroffenen bestimmte Rechte einräumten</w:t>
      </w:r>
      <w:r>
        <w:t>:</w:t>
      </w:r>
    </w:p>
    <w:p w14:paraId="35ED2135" w14:textId="6EA9B8AD" w:rsidR="007604FD" w:rsidRPr="007604FD" w:rsidRDefault="007604FD" w:rsidP="007604FD">
      <w:pPr>
        <w:pStyle w:val="Listenabsatz"/>
        <w:numPr>
          <w:ilvl w:val="0"/>
          <w:numId w:val="28"/>
        </w:numPr>
      </w:pPr>
      <w:r w:rsidRPr="007604FD">
        <w:t>Rechtmäßigkeit</w:t>
      </w:r>
      <w:r w:rsidR="003C5079">
        <w:t xml:space="preserve"> (</w:t>
      </w:r>
      <w:r w:rsidR="00C4182F">
        <w:t>Art</w:t>
      </w:r>
      <w:r w:rsidR="003C5079">
        <w:t xml:space="preserve"> 5a)</w:t>
      </w:r>
    </w:p>
    <w:p w14:paraId="651FCD1C" w14:textId="77777777" w:rsidR="007604FD" w:rsidRDefault="007604FD" w:rsidP="007604FD">
      <w:pPr>
        <w:pStyle w:val="Listenabsatz"/>
        <w:numPr>
          <w:ilvl w:val="0"/>
          <w:numId w:val="28"/>
        </w:numPr>
      </w:pPr>
      <w:r w:rsidRPr="007604FD">
        <w:t>Zweckbindung</w:t>
      </w:r>
      <w:r w:rsidR="003C5079">
        <w:t xml:space="preserve"> (5b, 5c)</w:t>
      </w:r>
    </w:p>
    <w:p w14:paraId="100CA9BB" w14:textId="3366E457" w:rsidR="007604FD" w:rsidRDefault="003C5079" w:rsidP="007604FD">
      <w:pPr>
        <w:pStyle w:val="Listenabsatz"/>
        <w:numPr>
          <w:ilvl w:val="0"/>
          <w:numId w:val="28"/>
        </w:numPr>
      </w:pPr>
      <w:r>
        <w:t>Richtigkeit (</w:t>
      </w:r>
      <w:r w:rsidR="00C4182F">
        <w:t>Art</w:t>
      </w:r>
      <w:r>
        <w:t xml:space="preserve"> 5d)</w:t>
      </w:r>
    </w:p>
    <w:p w14:paraId="50D81664" w14:textId="393A91A3" w:rsidR="003C5079" w:rsidRDefault="003C5079" w:rsidP="003C5079">
      <w:pPr>
        <w:pStyle w:val="Listenabsatz"/>
        <w:numPr>
          <w:ilvl w:val="0"/>
          <w:numId w:val="28"/>
        </w:numPr>
      </w:pPr>
      <w:r>
        <w:t>Anonymisierung/Pseudonymisierung (</w:t>
      </w:r>
      <w:r w:rsidR="00C4182F">
        <w:t>Art</w:t>
      </w:r>
      <w:r>
        <w:t xml:space="preserve"> 5e)</w:t>
      </w:r>
    </w:p>
    <w:p w14:paraId="0CDFE1A8" w14:textId="5A327A02" w:rsidR="003C5079" w:rsidRDefault="003C5079" w:rsidP="003C5079">
      <w:pPr>
        <w:pStyle w:val="Listenabsatz"/>
        <w:numPr>
          <w:ilvl w:val="0"/>
          <w:numId w:val="28"/>
        </w:numPr>
      </w:pPr>
      <w:r>
        <w:t>Datensicherung (</w:t>
      </w:r>
      <w:r w:rsidR="00C4182F">
        <w:t>Art</w:t>
      </w:r>
      <w:r>
        <w:t xml:space="preserve"> 7)</w:t>
      </w:r>
    </w:p>
    <w:p w14:paraId="03E0B005" w14:textId="002CAE3D" w:rsidR="00BA1333" w:rsidRDefault="003C5079" w:rsidP="00087C53">
      <w:pPr>
        <w:pStyle w:val="Listenabsatz"/>
        <w:numPr>
          <w:ilvl w:val="0"/>
          <w:numId w:val="28"/>
        </w:numPr>
      </w:pPr>
      <w:r>
        <w:t>Betroffenenrechte auf Benachrichtigung, Löschung, Berichtigung, Rechtswege und Information (</w:t>
      </w:r>
      <w:r w:rsidR="00C4182F">
        <w:t>Art</w:t>
      </w:r>
      <w:r>
        <w:t xml:space="preserve"> 8)</w:t>
      </w:r>
    </w:p>
    <w:p w14:paraId="5DCD55F4" w14:textId="7A64C1CF" w:rsidR="00714A1C" w:rsidRDefault="00714A1C" w:rsidP="00087C53">
      <w:r>
        <w:t>Konvention 108 – auch kurz „Europäische Datenschutzkonvention“ wurde im Laufe der Jahre überarbeitet, um de</w:t>
      </w:r>
      <w:r w:rsidR="0050687E">
        <w:t>m</w:t>
      </w:r>
      <w:r>
        <w:t xml:space="preserve"> aktuellen technologischen und gesellschaftlichen </w:t>
      </w:r>
      <w:r w:rsidR="0050687E">
        <w:t>Gebaren</w:t>
      </w:r>
      <w:r>
        <w:t xml:space="preserve"> zu entsprechen. Zuletzt wurde sie 2018 überarbeitet</w:t>
      </w:r>
      <w:r w:rsidR="0050687E">
        <w:t xml:space="preserve"> und</w:t>
      </w:r>
      <w:r>
        <w:t xml:space="preserve"> steht damit neben der aktuell geltenden DSGVO als völkerrechtlicher Vertrag für den Datenschutz europäischer </w:t>
      </w:r>
      <w:r w:rsidR="00292412">
        <w:t>Bürgerinnen und Bürger</w:t>
      </w:r>
      <w:r>
        <w:t xml:space="preserve"> ein. Mit Überarbeitungen wurden auch Geltungsbereich und Begriffsdefinitionen erweitert, beziehungsweise gestrichen. Die aktuell geltende Fassung revidiert teilweise ursprüngliche Definitionen und hebt beispielsweise die Einschränkung auf automatisierte Verarbeitung auf und erweitert die Definition auch um das „Zerstören“ personenbezogener Daten</w:t>
      </w:r>
      <w:r w:rsidR="0050687E">
        <w:t xml:space="preserve"> </w:t>
      </w:r>
      <w:r w:rsidR="0050687E">
        <w:fldChar w:fldCharType="begin"/>
      </w:r>
      <w:r w:rsidR="003C5079">
        <w:instrText xml:space="preserve"> ADDIN EN.CITE &lt;EndNote&gt;&lt;Cite&gt;&lt;Author&gt;Europarat&lt;/Author&gt;&lt;Year&gt;2018&lt;/Year&gt;&lt;IDText&gt;Convention 108 +   Convention for the protection of individuals with regard to the processing of personal data  &lt;/IDText&gt;&lt;Pages&gt;7 f&lt;/Pages&gt;&lt;DisplayText&gt;(Europarat, 2018a, S. 7 f)&lt;/DisplayText&gt;&lt;record&gt;&lt;urls&gt;&lt;related-urls&gt;&lt;url&gt;https://rm.coe.int/convention-108-convention-for-the-protection-of-individuals-with-regar/16808b36f1&lt;/url&gt;&lt;/related-urls&gt;&lt;/urls&gt;&lt;titles&gt;&lt;title&gt;Convention 108 +   Convention for the protection of individuals with regard to the processing of personal data  &lt;/title&gt;&lt;/titles&gt;&lt;access-date&gt;4.5.2019&lt;/access-date&gt;&lt;contributors&gt;&lt;authors&gt;&lt;author&gt;Europarat&lt;/author&gt;&lt;/authors&gt;&lt;/contributors&gt;&lt;added-date format="utc"&gt;1559999238&lt;/added-date&gt;&lt;pub-location&gt;Straßburg&lt;/pub-location&gt;&lt;ref-type name="Legal Rule or Regulation"&gt;50&lt;/ref-type&gt;&lt;dates&gt;&lt;year&gt;2018&lt;/year&gt;&lt;/dates&gt;&lt;rec-number&gt;70&lt;/rec-number&gt;&lt;last-updated-date format="utc"&gt;1559999345&lt;/last-updated-date&gt;&lt;contributors&gt;&lt;secondary-authors&gt;&lt;author&gt;Europarat&lt;/author&gt;&lt;/secondary-authors&gt;&lt;/contributors&gt;&lt;/record&gt;&lt;/Cite&gt;&lt;/EndNote&gt;</w:instrText>
      </w:r>
      <w:r w:rsidR="0050687E">
        <w:fldChar w:fldCharType="separate"/>
      </w:r>
      <w:r w:rsidR="003C5079">
        <w:rPr>
          <w:noProof/>
        </w:rPr>
        <w:t>(Europarat, 2018a, S. 7 f)</w:t>
      </w:r>
      <w:r w:rsidR="0050687E">
        <w:fldChar w:fldCharType="end"/>
      </w:r>
      <w:r>
        <w:t xml:space="preserve">. Des Weiteren wurde in neueren Versionen das Recht auf Ausnahme einzelner Verarbeitungszwecke, wie für Landesverteidigung oder Nationale Sicherheit </w:t>
      </w:r>
      <w:r w:rsidR="0050687E">
        <w:t xml:space="preserve">entfernt </w:t>
      </w:r>
      <w:r w:rsidR="0050687E">
        <w:fldChar w:fldCharType="begin"/>
      </w:r>
      <w:r w:rsidR="0050687E">
        <w:instrText xml:space="preserve"> ADDIN EN.CITE &lt;EndNote&gt;&lt;Cite&gt;&lt;Author&gt;Europarat&lt;/Author&gt;&lt;Year&gt;2018&lt;/Year&gt;&lt;IDText&gt;The modernised Convention 108: Overview of the Novelties&lt;/IDText&gt;&lt;Pages&gt;2&lt;/Pages&gt;&lt;DisplayText&gt;(Europarat, 2018b, S. 2)&lt;/DisplayText&gt;&lt;record&gt;&lt;urls&gt;&lt;related-urls&gt;&lt;url&gt;https://rm.coe.int/modernised-conv-overview-of-the-novelties/16808accf8&lt;/url&gt;&lt;/related-urls&gt;&lt;/urls&gt;&lt;titles&gt;&lt;title&gt;The modernised Convention 108: Overview of the Novelties&lt;/title&gt;&lt;/titles&gt;&lt;contributors&gt;&lt;authors&gt;&lt;author&gt;Europarat&lt;/author&gt;&lt;/authors&gt;&lt;/contributors&gt;&lt;added-date format="utc"&gt;1559998250&lt;/added-date&gt;&lt;ref-type name="Generic"&gt;13&lt;/ref-type&gt;&lt;dates&gt;&lt;year&gt;2018&lt;/year&gt;&lt;/dates&gt;&lt;rec-number&gt;69&lt;/rec-number&gt;&lt;last-updated-date format="utc"&gt;1559998409&lt;/last-updated-date&gt;&lt;/record&gt;&lt;/Cite&gt;&lt;/EndNote&gt;</w:instrText>
      </w:r>
      <w:r w:rsidR="0050687E">
        <w:fldChar w:fldCharType="separate"/>
      </w:r>
      <w:r w:rsidR="0050687E">
        <w:rPr>
          <w:noProof/>
        </w:rPr>
        <w:t>(Europarat, 2018b, S. 2)</w:t>
      </w:r>
      <w:r w:rsidR="0050687E">
        <w:fldChar w:fldCharType="end"/>
      </w:r>
      <w:r w:rsidR="0050687E">
        <w:t>.</w:t>
      </w:r>
    </w:p>
    <w:p w14:paraId="29675CF1" w14:textId="77777777" w:rsidR="00BA1333" w:rsidRDefault="00BA1333" w:rsidP="00087C53">
      <w:r>
        <w:t xml:space="preserve">Sanktionen werden in historischen und der aktuellen Fassung nur abstrakt gefordert und den unterzeichnenden Staaten überlassen. Dies ermöglichte uneinheitliche Lösungen individueller Staaten und ermöglichte es Datenverarbeitern, Schlupflöcher </w:t>
      </w:r>
      <w:r>
        <w:lastRenderedPageBreak/>
        <w:t>auszunutzen</w:t>
      </w:r>
      <w:r w:rsidR="001E5063">
        <w:t>. V</w:t>
      </w:r>
      <w:r>
        <w:t xml:space="preserve">iele DatenschützerInnen kritisieren dieses </w:t>
      </w:r>
      <w:r w:rsidR="00183E4F">
        <w:t>V</w:t>
      </w:r>
      <w:r>
        <w:t xml:space="preserve">orgehen. Ein weiterer Kritikpunkt stellt die lockere Regelung für Datenweitergabe an Nicht-Vertragsstaaten dar. </w:t>
      </w:r>
      <w:r w:rsidR="00183E4F">
        <w:t xml:space="preserve">Der Verband European Digital Rights, kurz EDRi, kritisierte die intransparente Formulierung, nach der Datenweitergabe an Nicht-Vertragsstaaten gestattet sei, sofern diese ein „adäquates Schutzniveau“ vorwiesen </w:t>
      </w:r>
      <w:r w:rsidR="00183E4F">
        <w:fldChar w:fldCharType="begin"/>
      </w:r>
      <w:r w:rsidR="00183E4F">
        <w:instrText xml:space="preserve"> ADDIN EN.CITE &lt;EndNote&gt;&lt;Cite&gt;&lt;Author&gt;EDRi&lt;/Author&gt;&lt;Year&gt;2012&lt;/Year&gt;&lt;IDText&gt;Modernizing Council of Europe Convention 108: Comments and Recommendations from a Civil Society Perspective&lt;/IDText&gt;&lt;Pages&gt;3&lt;/Pages&gt;&lt;DisplayText&gt;(EDRi &amp;amp; Marzouki, 2012, S. 3)&lt;/DisplayText&gt;&lt;record&gt;&lt;urls&gt;&lt;related-urls&gt;&lt;url&gt;https://edri.org/files/2012Marzouki-CPDP-CoEConv108.pdf&lt;/url&gt;&lt;/related-urls&gt;&lt;/urls&gt;&lt;titles&gt;&lt;title&gt;Modernizing Council of Europe Convention 108: Comments and Recommendations from a Civil Society Perspective&lt;/title&gt;&lt;/titles&gt;&lt;access-date&gt;18.5.2019&lt;/access-date&gt;&lt;contributors&gt;&lt;authors&gt;&lt;author&gt;EDRi, European Digital Rights&lt;/author&gt;&lt;author&gt;Marzouki, Meryem&lt;/author&gt;&lt;/authors&gt;&lt;/contributors&gt;&lt;added-date format="utc"&gt;1560003048&lt;/added-date&gt;&lt;ref-type name="Generic"&gt;13&lt;/ref-type&gt;&lt;dates&gt;&lt;year&gt;2012&lt;/year&gt;&lt;/dates&gt;&lt;rec-number&gt;72&lt;/rec-number&gt;&lt;last-updated-date format="utc"&gt;1560003151&lt;/last-updated-date&gt;&lt;/record&gt;&lt;/Cite&gt;&lt;/EndNote&gt;</w:instrText>
      </w:r>
      <w:r w:rsidR="00183E4F">
        <w:fldChar w:fldCharType="separate"/>
      </w:r>
      <w:r w:rsidR="00183E4F">
        <w:rPr>
          <w:noProof/>
        </w:rPr>
        <w:t>(EDRi &amp; Marzouki, 2012, S. 3)</w:t>
      </w:r>
      <w:r w:rsidR="00183E4F">
        <w:fldChar w:fldCharType="end"/>
      </w:r>
      <w:r w:rsidR="00183E4F">
        <w:t>.</w:t>
      </w:r>
    </w:p>
    <w:p w14:paraId="7D654138" w14:textId="77777777" w:rsidR="001D35AD" w:rsidRDefault="00F926A0" w:rsidP="00087C53">
      <w:r>
        <w:t xml:space="preserve">Bis Ende Mai 2019 </w:t>
      </w:r>
      <w:r w:rsidR="00953426">
        <w:t>unterschrieben,</w:t>
      </w:r>
      <w:r>
        <w:t xml:space="preserve"> neben 28 Europarat-Mitgliedern</w:t>
      </w:r>
      <w:r w:rsidR="00953426">
        <w:t>,</w:t>
      </w:r>
      <w:r>
        <w:t xml:space="preserve"> auch die zwei Staaten Uruguay und Tunesien die aktuelle Version</w:t>
      </w:r>
      <w:r w:rsidR="00953426">
        <w:t>,</w:t>
      </w:r>
      <w:r>
        <w:t xml:space="preserve"> beziehungsweise die letzten Änderungen der Europäischen Datenschutzkonvention </w:t>
      </w:r>
      <w:r>
        <w:fldChar w:fldCharType="begin"/>
      </w:r>
      <w:r>
        <w:instrText xml:space="preserve"> ADDIN EN.CITE &lt;EndNote&gt;&lt;Cite&gt;&lt;Author&gt;Europarat&lt;/Author&gt;&lt;Year&gt;2018&lt;/Year&gt;&lt;IDText&gt;Unterschriften und Ratifikationsstand des Vertrags 223&lt;/IDText&gt;&lt;DisplayText&gt;(Europarat, 2018c)&lt;/DisplayText&gt;&lt;record&gt;&lt;urls&gt;&lt;related-urls&gt;&lt;url&gt;https://www.coe.int/de/web/conventions/full-list/-/conventions/treaty/223/signatures&lt;/url&gt;&lt;/related-urls&gt;&lt;/urls&gt;&lt;custom2&gt;19.05.2019&lt;/custom2&gt;&lt;titles&gt;&lt;title&gt;Unterschriften und Ratifikationsstand des Vertrags 223&lt;/title&gt;&lt;/titles&gt;&lt;number&gt;19.05.2019&lt;/number&gt;&lt;contributors&gt;&lt;authors&gt;&lt;author&gt;Europarat&lt;/author&gt;&lt;/authors&gt;&lt;/contributors&gt;&lt;added-date format="utc"&gt;1560000178&lt;/added-date&gt;&lt;ref-type name="Web Page"&gt;12&lt;/ref-type&gt;&lt;dates&gt;&lt;year&gt;2018&lt;/year&gt;&lt;/dates&gt;&lt;rec-number&gt;71&lt;/rec-number&gt;&lt;last-updated-date format="utc"&gt;1560000285&lt;/last-updated-date&gt;&lt;/record&gt;&lt;/Cite&gt;&lt;/EndNote&gt;</w:instrText>
      </w:r>
      <w:r>
        <w:fldChar w:fldCharType="separate"/>
      </w:r>
      <w:r>
        <w:rPr>
          <w:noProof/>
        </w:rPr>
        <w:t>(Europarat, 2018c)</w:t>
      </w:r>
      <w:r>
        <w:fldChar w:fldCharType="end"/>
      </w:r>
      <w:r>
        <w:t xml:space="preserve">. </w:t>
      </w:r>
    </w:p>
    <w:p w14:paraId="3083FFF9" w14:textId="77777777" w:rsidR="00BD1CD9" w:rsidRPr="00087C53" w:rsidRDefault="00BD1CD9" w:rsidP="00087C53"/>
    <w:p w14:paraId="52FFCC65" w14:textId="4688CDFD" w:rsidR="00E13EC2" w:rsidRPr="00292412" w:rsidRDefault="00CF3FFB" w:rsidP="007D3B83">
      <w:pPr>
        <w:pStyle w:val="berschrift2"/>
        <w:rPr>
          <w:lang w:val="de-AT"/>
        </w:rPr>
      </w:pPr>
      <w:bookmarkStart w:id="19" w:name="_Toc11865314"/>
      <w:r w:rsidRPr="00292412">
        <w:rPr>
          <w:lang w:val="de-AT"/>
        </w:rPr>
        <w:t>Richtlinie</w:t>
      </w:r>
      <w:r w:rsidR="00437574" w:rsidRPr="00292412">
        <w:rPr>
          <w:lang w:val="de-AT"/>
        </w:rPr>
        <w:t xml:space="preserve"> 95/46/EG</w:t>
      </w:r>
      <w:r w:rsidR="007D3B83" w:rsidRPr="00292412">
        <w:rPr>
          <w:lang w:val="de-AT"/>
        </w:rPr>
        <w:t xml:space="preserve"> – </w:t>
      </w:r>
      <w:r w:rsidR="00174E84" w:rsidRPr="00292412">
        <w:rPr>
          <w:lang w:val="de-AT"/>
        </w:rPr>
        <w:t>“Datenschutzrichtlinie”</w:t>
      </w:r>
      <w:bookmarkEnd w:id="19"/>
    </w:p>
    <w:p w14:paraId="3A512FD5" w14:textId="77777777" w:rsidR="00B57C1B" w:rsidRDefault="00994104" w:rsidP="00B57C1B">
      <w:pPr>
        <w:rPr>
          <w:lang w:val="de-AT"/>
        </w:rPr>
      </w:pPr>
      <w:r>
        <w:rPr>
          <w:lang w:val="de-AT"/>
        </w:rPr>
        <w:t>Die Europäische Kommission erkannte einige Jahre nach Verabschiedung und erst teilweiser Ratifizierung von Konvention 108, dass die getroffenen Maßnahmen nicht ausreichend Zielführend waren. Die bisherigen Versuche, Datenverkehr einheitlich zu regeln, waren nicht - der Intention des transnationalen Verbundes entsprechend – effektiv. Sie erzeugten nach herrschender Ansicht Hemmnisse für Wirtschaftstreibende und Risiken für Betroffene.</w:t>
      </w:r>
    </w:p>
    <w:p w14:paraId="57A4E2DB" w14:textId="2A141B7E" w:rsidR="00994104" w:rsidRPr="00CF7424" w:rsidRDefault="00994104" w:rsidP="00B57C1B">
      <w:pPr>
        <w:rPr>
          <w:lang w:val="de-AT"/>
        </w:rPr>
      </w:pPr>
      <w:r>
        <w:rPr>
          <w:lang w:val="de-AT"/>
        </w:rPr>
        <w:t>In einem am 27. Juli 1990 vorgelegten</w:t>
      </w:r>
      <w:r w:rsidR="00FC31C7">
        <w:rPr>
          <w:lang w:val="de-AT"/>
        </w:rPr>
        <w:t xml:space="preserve"> Vorschlag der Kommission </w:t>
      </w:r>
      <w:r w:rsidR="00437574">
        <w:rPr>
          <w:lang w:val="de-AT"/>
        </w:rPr>
        <w:t>wurden</w:t>
      </w:r>
      <w:r w:rsidR="00FC31C7">
        <w:rPr>
          <w:lang w:val="de-AT"/>
        </w:rPr>
        <w:t xml:space="preserve"> auf geltende Missstände und im Wandel befindliche technische, sozioökonomische und gesellschaftliche Umstände hingewiesen. Dem Vorschlag entsprechend, sollte eine Richtlinie erarbeitet werden, die Mitgliedsstaaten verpflichtete, Bestimmungen zum „</w:t>
      </w:r>
      <w:r w:rsidR="00FC31C7">
        <w:t xml:space="preserve">Schutz der Privatsphäre von Personen bei der Verarbeitung personenbezogener Daten, die in Dateien enthalten sind“ </w:t>
      </w:r>
      <w:r w:rsidR="00FC31C7">
        <w:fldChar w:fldCharType="begin"/>
      </w:r>
      <w:r w:rsidR="00D255BA">
        <w:instrText xml:space="preserve"> ADDIN EN.CITE &lt;EndNote&gt;&lt;Cite&gt;&lt;Author&gt;Europäische Kommission&lt;/Author&gt;&lt;Year&gt;1990&lt;/Year&gt;&lt;IDText&gt;Vorschlag für eine Richtlinie des Rates zum Schutz von Personen bei der Verarbeitung&lt;/IDText&gt;&lt;Pages&gt;5&lt;/Pages&gt;&lt;DisplayText&gt;(Europäische Kommission, 1990a, S. 5)&lt;/DisplayText&gt;&lt;record&gt;&lt;urls&gt;&lt;related-urls&gt;&lt;url&gt;https://eur-lex.europa.eu/legal-content/DE/TXT/PDF/?uri=CELEX:51990PC0314(01)&lt;/url&gt;&lt;/related-urls&gt;&lt;/urls&gt;&lt;titles&gt;&lt;title&gt;Vorschlag für eine Richtlinie des Rates zum Schutz von Personen bei der Verarbeitung&amp;#xA;personenbezogener Daten&lt;/title&gt;&lt;/titles&gt;&lt;access-date&gt;1.6.2019&lt;/access-date&gt;&lt;contributors&gt;&lt;authors&gt;&lt;author&gt;Europäische Kommission,&lt;/author&gt;&lt;/authors&gt;&lt;/contributors&gt;&lt;added-date format="utc"&gt;1560004359&lt;/added-date&gt;&lt;ref-type name="Generic"&gt;13&lt;/ref-type&gt;&lt;dates&gt;&lt;year&gt;1990&lt;/year&gt;&lt;/dates&gt;&lt;rec-number&gt;73&lt;/rec-number&gt;&lt;publisher&gt;Amtsblatt der Europäischen Gemeinschaften&lt;/publisher&gt;&lt;last-updated-date format="utc"&gt;1560004481&lt;/last-updated-date&gt;&lt;/record&gt;&lt;/Cite&gt;&lt;/EndNote&gt;</w:instrText>
      </w:r>
      <w:r w:rsidR="00FC31C7">
        <w:fldChar w:fldCharType="separate"/>
      </w:r>
      <w:r w:rsidR="00D255BA">
        <w:rPr>
          <w:noProof/>
        </w:rPr>
        <w:t>(Europäische Kommission, 1990a, S. 5)</w:t>
      </w:r>
      <w:r w:rsidR="00FC31C7">
        <w:fldChar w:fldCharType="end"/>
      </w:r>
      <w:r w:rsidR="00FC31C7">
        <w:t>zu gewährleisten.</w:t>
      </w:r>
    </w:p>
    <w:p w14:paraId="6B9FDBA6" w14:textId="41675DED" w:rsidR="00CF7424" w:rsidRDefault="0086488A" w:rsidP="00B57C1B">
      <w:pPr>
        <w:rPr>
          <w:lang w:val="de-AT"/>
        </w:rPr>
      </w:pPr>
      <w:r>
        <w:rPr>
          <w:lang w:val="de-AT"/>
        </w:rPr>
        <w:t>Der Vorschlag enthielt eine Vielzahl an Punkten, die durch eine neue Richtlinie erfasst werden sollten, darunter Rechtmäßigkeit und Zulässigkeit von Datenverarbeitung</w:t>
      </w:r>
      <w:r w:rsidR="004A1EF9">
        <w:rPr>
          <w:lang w:val="de-AT"/>
        </w:rPr>
        <w:t xml:space="preserve">, </w:t>
      </w:r>
      <w:r>
        <w:rPr>
          <w:lang w:val="de-AT"/>
        </w:rPr>
        <w:t xml:space="preserve">Weitergabe im privatwirtschaftlichen </w:t>
      </w:r>
      <w:r w:rsidR="00875639">
        <w:rPr>
          <w:lang w:val="de-AT"/>
        </w:rPr>
        <w:t>sowie</w:t>
      </w:r>
      <w:r>
        <w:rPr>
          <w:lang w:val="de-AT"/>
        </w:rPr>
        <w:t xml:space="preserve"> öffentlichen Sektor, Betroffenenrechte, Datenqualität, Weitergabe personenbezogener Daten in Drittländer, Sanktionen und Kontrollbehörden </w:t>
      </w:r>
      <w:r>
        <w:rPr>
          <w:lang w:val="de-AT"/>
        </w:rPr>
        <w:fldChar w:fldCharType="begin"/>
      </w:r>
      <w:r w:rsidR="00D255BA">
        <w:rPr>
          <w:lang w:val="de-AT"/>
        </w:rPr>
        <w:instrText xml:space="preserve"> ADDIN EN.CITE &lt;EndNote&gt;&lt;Cite&gt;&lt;Author&gt;Europäische Kommission&lt;/Author&gt;&lt;Year&gt;1990&lt;/Year&gt;&lt;IDText&gt;Vorschlag für eine Richtlinie des Rates zum Schutz von Personen bei der Verarbeitung&lt;/IDText&gt;&lt;DisplayText&gt;(Europäische Kommission, 1990a)&lt;/DisplayText&gt;&lt;record&gt;&lt;urls&gt;&lt;related-urls&gt;&lt;url&gt;https://eur-lex.europa.eu/legal-content/DE/TXT/PDF/?uri=CELEX:51990PC0314(01)&lt;/url&gt;&lt;/related-urls&gt;&lt;/urls&gt;&lt;titles&gt;&lt;title&gt;Vorschlag für eine Richtlinie des Rates zum Schutz von Personen bei der Verarbeitung&amp;#xA;personenbezogener Daten&lt;/title&gt;&lt;/titles&gt;&lt;access-date&gt;1.6.2019&lt;/access-date&gt;&lt;contributors&gt;&lt;authors&gt;&lt;author&gt;Europäische Kommission,&lt;/author&gt;&lt;/authors&gt;&lt;/contributors&gt;&lt;added-date format="utc"&gt;1560004359&lt;/added-date&gt;&lt;ref-type name="Generic"&gt;13&lt;/ref-type&gt;&lt;dates&gt;&lt;year&gt;1990&lt;/year&gt;&lt;/dates&gt;&lt;rec-number&gt;73&lt;/rec-number&gt;&lt;publisher&gt;Amtsblatt der Europäischen Gemeinschaften&lt;/publisher&gt;&lt;last-updated-date format="utc"&gt;1560004481&lt;/last-updated-date&gt;&lt;/record&gt;&lt;/Cite&gt;&lt;/EndNote&gt;</w:instrText>
      </w:r>
      <w:r>
        <w:rPr>
          <w:lang w:val="de-AT"/>
        </w:rPr>
        <w:fldChar w:fldCharType="separate"/>
      </w:r>
      <w:r w:rsidR="00D255BA">
        <w:rPr>
          <w:noProof/>
          <w:lang w:val="de-AT"/>
        </w:rPr>
        <w:t>(Europäische Kommission, 1990a)</w:t>
      </w:r>
      <w:r>
        <w:rPr>
          <w:lang w:val="de-AT"/>
        </w:rPr>
        <w:fldChar w:fldCharType="end"/>
      </w:r>
      <w:r>
        <w:rPr>
          <w:lang w:val="de-AT"/>
        </w:rPr>
        <w:t>.</w:t>
      </w:r>
    </w:p>
    <w:p w14:paraId="6EBA6550" w14:textId="77777777" w:rsidR="00BD1CD9" w:rsidRDefault="004D2DBE" w:rsidP="00B57C1B">
      <w:pPr>
        <w:rPr>
          <w:lang w:val="de-AT"/>
        </w:rPr>
      </w:pPr>
      <w:r>
        <w:rPr>
          <w:lang w:val="de-AT"/>
        </w:rPr>
        <w:t xml:space="preserve">Richtlinie 95/46/EG, auch EU-Datenschutzrichtlinie, hatte zum Ziel, die europäischen Wirtschaftsziele zu schützen, während die Rechte </w:t>
      </w:r>
      <w:r w:rsidR="00773FEA">
        <w:rPr>
          <w:lang w:val="de-AT"/>
        </w:rPr>
        <w:t xml:space="preserve">aller BürgerInnen auf Privatsphäre und Schutz personenbezogener Daten gewährleistet sein sollten. Dazu wurde </w:t>
      </w:r>
      <w:r w:rsidR="00BD1CD9">
        <w:rPr>
          <w:lang w:val="de-AT"/>
        </w:rPr>
        <w:t xml:space="preserve">durch </w:t>
      </w:r>
      <w:r w:rsidR="00BD1CD9">
        <w:rPr>
          <w:lang w:val="de-AT"/>
        </w:rPr>
        <w:lastRenderedPageBreak/>
        <w:t xml:space="preserve">die Richtlinie </w:t>
      </w:r>
      <w:r w:rsidR="00773FEA">
        <w:rPr>
          <w:lang w:val="de-AT"/>
        </w:rPr>
        <w:t xml:space="preserve">ein einheitliches Mindestmaß an Datenschutz </w:t>
      </w:r>
      <w:r w:rsidR="00BD1CD9">
        <w:rPr>
          <w:lang w:val="de-AT"/>
        </w:rPr>
        <w:t xml:space="preserve">festgelegt. Diese konkrete Ausrichtung ist Artikel 1, Absatz 1 und 2 ersichtlich. </w:t>
      </w:r>
    </w:p>
    <w:p w14:paraId="7FCDB18F" w14:textId="77777777" w:rsidR="004D2DBE" w:rsidRDefault="00BD1CD9" w:rsidP="00B57C1B">
      <w:pPr>
        <w:rPr>
          <w:lang w:val="de-AT"/>
        </w:rPr>
      </w:pPr>
      <w:r>
        <w:rPr>
          <w:lang w:val="de-AT"/>
        </w:rPr>
        <w:t>Artikel 1 fordert</w:t>
      </w:r>
      <w:r w:rsidR="003443A3">
        <w:rPr>
          <w:lang w:val="de-AT"/>
        </w:rPr>
        <w:t xml:space="preserve"> konkret</w:t>
      </w:r>
      <w:r>
        <w:rPr>
          <w:lang w:val="de-AT"/>
        </w:rPr>
        <w:t>:</w:t>
      </w:r>
    </w:p>
    <w:p w14:paraId="1121B2C3" w14:textId="77777777" w:rsidR="00BD1CD9" w:rsidRDefault="00321A15" w:rsidP="00BD1CD9">
      <w:pPr>
        <w:pStyle w:val="Zitat"/>
        <w:ind w:left="567" w:right="565"/>
      </w:pPr>
      <w:r>
        <w:t>„</w:t>
      </w:r>
      <w:r w:rsidR="00BD1CD9">
        <w:t>(1) Die Mitgliedstaaten gewährleisten nach den Bestimmungen dieser Richtlinie den Schutz der Grundrechte und Grundfreiheiten und insbesondere den Schutz der Privatsphäre natürlicher Personen bei der Verarbeitung personenbezogener Daten.</w:t>
      </w:r>
    </w:p>
    <w:p w14:paraId="54D3A766" w14:textId="77777777" w:rsidR="00BD1CD9" w:rsidRDefault="00BD1CD9" w:rsidP="00BD1CD9">
      <w:pPr>
        <w:pStyle w:val="Zitat"/>
        <w:ind w:left="567" w:right="565"/>
        <w:rPr>
          <w:lang w:val="de-AT"/>
        </w:rPr>
      </w:pPr>
      <w:r>
        <w:t>(2) Die Mitgliedstaaten beschränken oder untersagen nicht den freien Verkehr personenbezogener Daten zwischen Mitgliedstaaten aus Gründen des gemäß Absatz 1 gewährleisteten Schutzes.</w:t>
      </w:r>
      <w:r w:rsidR="00321A15">
        <w:t xml:space="preserve">“ </w:t>
      </w:r>
      <w:r w:rsidR="00321A15">
        <w:fldChar w:fldCharType="begin"/>
      </w:r>
      <w:r w:rsidR="00321A15">
        <w:instrText xml:space="preserve"> ADDIN EN.CITE &lt;EndNote&gt;&lt;Cite&gt;&lt;Author&gt;Europäisches Parlament&lt;/Author&gt;&lt;Year&gt;1995&lt;/Year&gt;&lt;IDText&gt;Richtlinie 95/46/EG des Europäischen Parlaments und des Rates vom 24. Oktober 1995 zum Schutz natürlicher Personen bei der Verarbeitung personenbezogener Daten und zum freien Datenverkehr&lt;/IDText&gt;&lt;Pages&gt;38&lt;/Pages&gt;&lt;DisplayText&gt;(Europäisches Parlament &amp;amp; Europarat, 1995, S. 38)&lt;/DisplayText&gt;&lt;record&gt;&lt;urls&gt;&lt;related-urls&gt;&lt;url&gt;https://eur-lex.europa.eu/legal-content/DE/TXT/PDF/?uri=CELEX:31995L0046&amp;amp;from=DE&lt;/url&gt;&lt;/related-urls&gt;&lt;/urls&gt;&lt;titles&gt;&lt;title&gt;Richtlinie 95/46/EG des Europäischen Parlaments und des Rates vom 24. Oktober 1995 zum Schutz natürlicher Personen bei der Verarbeitung personenbezogener Daten und zum freien Datenverkehr&lt;/title&gt;&lt;/titles&gt;&lt;access-date&gt;1.6.2019&lt;/access-date&gt;&lt;contributors&gt;&lt;authors&gt;&lt;author&gt;Europäisches Parlament,&lt;/author&gt;&lt;author&gt;Europarat&lt;/author&gt;&lt;/authors&gt;&lt;/contributors&gt;&lt;added-date format="utc"&gt;1560006485&lt;/added-date&gt;&lt;ref-type name="Legal Rule or Regulation"&gt;50&lt;/ref-type&gt;&lt;dates&gt;&lt;year&gt;1995&lt;/year&gt;&lt;/dates&gt;&lt;rec-number&gt;74&lt;/rec-number&gt;&lt;last-updated-date format="utc"&gt;1560006694&lt;/last-updated-date&gt;&lt;/record&gt;&lt;/Cite&gt;&lt;/EndNote&gt;</w:instrText>
      </w:r>
      <w:r w:rsidR="00321A15">
        <w:fldChar w:fldCharType="separate"/>
      </w:r>
      <w:r w:rsidR="00321A15">
        <w:rPr>
          <w:noProof/>
        </w:rPr>
        <w:t>(Europäisches Parlament &amp; Europarat, 1995, S. 38)</w:t>
      </w:r>
      <w:r w:rsidR="00321A15">
        <w:fldChar w:fldCharType="end"/>
      </w:r>
    </w:p>
    <w:p w14:paraId="56C9D59C" w14:textId="77777777" w:rsidR="003E3795" w:rsidRDefault="00321A15" w:rsidP="00B57C1B">
      <w:pPr>
        <w:rPr>
          <w:lang w:val="de-AT"/>
        </w:rPr>
      </w:pPr>
      <w:r>
        <w:rPr>
          <w:lang w:val="de-AT"/>
        </w:rPr>
        <w:t>Sowohl Präambel als auch Gegenstand der Richtlinie zeigen dabei den klaren Fokus auf verstärkte Verbraucher-Rechte, sowie gesicherten und rechtskonformen Datenfluss</w:t>
      </w:r>
      <w:r w:rsidR="006C4E44">
        <w:rPr>
          <w:lang w:val="de-AT"/>
        </w:rPr>
        <w:t xml:space="preserve"> für Wirtschaft und Verwaltung auf </w:t>
      </w:r>
      <w:r w:rsidR="006C4E44">
        <w:rPr>
          <w:lang w:val="de-AT"/>
        </w:rPr>
        <w:fldChar w:fldCharType="begin"/>
      </w:r>
      <w:r w:rsidR="006C4E44">
        <w:rPr>
          <w:lang w:val="de-AT"/>
        </w:rPr>
        <w:instrText xml:space="preserve"> ADDIN EN.CITE &lt;EndNote&gt;&lt;Cite&gt;&lt;Author&gt;Europäisches Parlament&lt;/Author&gt;&lt;Year&gt;1995&lt;/Year&gt;&lt;IDText&gt;Richtlinie 95/46/EG des Europäischen Parlaments und des Rates vom 24. Oktober 1995 zum Schutz natürlicher Personen bei der Verarbeitung personenbezogener Daten und zum freien Datenverkehr&lt;/IDText&gt;&lt;DisplayText&gt;(Europäisches Parlament &amp;amp; Europarat, 1995)&lt;/DisplayText&gt;&lt;record&gt;&lt;urls&gt;&lt;related-urls&gt;&lt;url&gt;https://eur-lex.europa.eu/legal-content/DE/TXT/PDF/?uri=CELEX:31995L0046&amp;amp;from=DE&lt;/url&gt;&lt;/related-urls&gt;&lt;/urls&gt;&lt;titles&gt;&lt;title&gt;Richtlinie 95/46/EG des Europäischen Parlaments und des Rates vom 24. Oktober 1995 zum Schutz natürlicher Personen bei der Verarbeitung personenbezogener Daten und zum freien Datenverkehr&lt;/title&gt;&lt;/titles&gt;&lt;access-date&gt;1.6.2019&lt;/access-date&gt;&lt;contributors&gt;&lt;authors&gt;&lt;author&gt;Europäisches Parlament,&lt;/author&gt;&lt;author&gt;Europarat&lt;/author&gt;&lt;/authors&gt;&lt;/contributors&gt;&lt;added-date format="utc"&gt;1560006485&lt;/added-date&gt;&lt;ref-type name="Legal Rule or Regulation"&gt;50&lt;/ref-type&gt;&lt;dates&gt;&lt;year&gt;1995&lt;/year&gt;&lt;/dates&gt;&lt;rec-number&gt;74&lt;/rec-number&gt;&lt;last-updated-date format="utc"&gt;1560006694&lt;/last-updated-date&gt;&lt;/record&gt;&lt;/Cite&gt;&lt;/EndNote&gt;</w:instrText>
      </w:r>
      <w:r w:rsidR="006C4E44">
        <w:rPr>
          <w:lang w:val="de-AT"/>
        </w:rPr>
        <w:fldChar w:fldCharType="separate"/>
      </w:r>
      <w:r w:rsidR="006C4E44">
        <w:rPr>
          <w:noProof/>
          <w:lang w:val="de-AT"/>
        </w:rPr>
        <w:t>(Europäisches Parlament &amp; Europarat, 1995)</w:t>
      </w:r>
      <w:r w:rsidR="006C4E44">
        <w:rPr>
          <w:lang w:val="de-AT"/>
        </w:rPr>
        <w:fldChar w:fldCharType="end"/>
      </w:r>
      <w:r w:rsidR="006C4E44">
        <w:rPr>
          <w:lang w:val="de-AT"/>
        </w:rPr>
        <w:t>.</w:t>
      </w:r>
    </w:p>
    <w:p w14:paraId="1814AE8C" w14:textId="2C089183" w:rsidR="006C4E44" w:rsidRDefault="006C4E44" w:rsidP="00B57C1B">
      <w:pPr>
        <w:rPr>
          <w:lang w:val="de-AT"/>
        </w:rPr>
      </w:pPr>
      <w:r>
        <w:rPr>
          <w:lang w:val="de-AT"/>
        </w:rPr>
        <w:t xml:space="preserve">Im Gegensatz zu bisherigen Richtlinien, Konventionen und Verträgen auf transnationaler Ebene, stellt Richtlinie 95/46/EG klar, dass </w:t>
      </w:r>
      <w:r w:rsidR="00F81F01" w:rsidRPr="007120F8">
        <w:rPr>
          <w:b/>
          <w:lang w:val="de-AT"/>
        </w:rPr>
        <w:t>zu</w:t>
      </w:r>
      <w:r w:rsidRPr="007120F8">
        <w:rPr>
          <w:b/>
          <w:lang w:val="de-AT"/>
        </w:rPr>
        <w:t>erst</w:t>
      </w:r>
      <w:r>
        <w:rPr>
          <w:lang w:val="de-AT"/>
        </w:rPr>
        <w:t xml:space="preserve"> die Zulässigkeit für eine Grundlage der Verarbeitung gegeben sein muss, bevor eine Verarbeitung erfolgen darf. </w:t>
      </w:r>
      <w:r w:rsidR="003443A3">
        <w:rPr>
          <w:lang w:val="de-AT"/>
        </w:rPr>
        <w:t xml:space="preserve">Artikel 7 der EU-Datenschutzrichtlinie übernimmt und erweitert die aus Konvention 108 bekannten Zulässigkeitspunkte </w:t>
      </w:r>
      <w:r w:rsidR="009F44C4">
        <w:rPr>
          <w:lang w:val="de-AT"/>
        </w:rPr>
        <w:t>wurden</w:t>
      </w:r>
      <w:r w:rsidR="003443A3">
        <w:rPr>
          <w:lang w:val="de-AT"/>
        </w:rPr>
        <w:t xml:space="preserve"> um d</w:t>
      </w:r>
      <w:r w:rsidR="009F44C4">
        <w:rPr>
          <w:lang w:val="de-AT"/>
        </w:rPr>
        <w:t xml:space="preserve">ie Punkte explizite </w:t>
      </w:r>
      <w:r w:rsidR="003443A3">
        <w:rPr>
          <w:lang w:val="de-AT"/>
        </w:rPr>
        <w:t>Einwilligung („</w:t>
      </w:r>
      <w:r w:rsidR="003443A3" w:rsidRPr="003C40CC">
        <w:rPr>
          <w:lang w:val="de-AT"/>
        </w:rPr>
        <w:t>Consent</w:t>
      </w:r>
      <w:r w:rsidR="003443A3">
        <w:rPr>
          <w:lang w:val="de-AT"/>
        </w:rPr>
        <w:t>“)</w:t>
      </w:r>
      <w:r w:rsidR="009F44C4">
        <w:rPr>
          <w:lang w:val="de-AT"/>
        </w:rPr>
        <w:t>, Rechtsgrundlage aufgrund vertraglicher Verpflichtungen erweitert (zumindest wurde diese dediziert genannt), öffentliches Interesse und berechtigtes Interesse des Verantwortlichen erweitert</w:t>
      </w:r>
      <w:r w:rsidR="00023994">
        <w:rPr>
          <w:lang w:val="de-AT"/>
        </w:rPr>
        <w:fldChar w:fldCharType="begin"/>
      </w:r>
      <w:r w:rsidR="00023994">
        <w:rPr>
          <w:lang w:val="de-AT"/>
        </w:rPr>
        <w:instrText xml:space="preserve"> ADDIN EN.CITE &lt;EndNote&gt;&lt;Cite&gt;&lt;Author&gt;Europäisches Parlament&lt;/Author&gt;&lt;Year&gt;1995&lt;/Year&gt;&lt;IDText&gt;Richtlinie 95/46/EG des Europäischen Parlaments und des Rates vom 24. Oktober 1995 zum Schutz natürlicher Personen bei der Verarbeitung personenbezogener Daten und zum freien Datenverkehr&lt;/IDText&gt;&lt;Pages&gt;40&lt;/Pages&gt;&lt;DisplayText&gt;(Europäisches Parlament &amp;amp; Europarat, 1995, S. 40)&lt;/DisplayText&gt;&lt;record&gt;&lt;urls&gt;&lt;related-urls&gt;&lt;url&gt;https://eur-lex.europa.eu/legal-content/DE/TXT/PDF/?uri=CELEX:31995L0046&amp;amp;from=DE&lt;/url&gt;&lt;/related-urls&gt;&lt;/urls&gt;&lt;titles&gt;&lt;title&gt;Richtlinie 95/46/EG des Europäischen Parlaments und des Rates vom 24. Oktober 1995 zum Schutz natürlicher Personen bei der Verarbeitung personenbezogener Daten und zum freien Datenverkehr&lt;/title&gt;&lt;/titles&gt;&lt;access-date&gt;1.6.2019&lt;/access-date&gt;&lt;contributors&gt;&lt;authors&gt;&lt;author&gt;Europäisches Parlament,&lt;/author&gt;&lt;author&gt;Europarat&lt;/author&gt;&lt;/authors&gt;&lt;/contributors&gt;&lt;added-date format="utc"&gt;1560006485&lt;/added-date&gt;&lt;ref-type name="Legal Rule or Regulation"&gt;50&lt;/ref-type&gt;&lt;dates&gt;&lt;year&gt;1995&lt;/year&gt;&lt;/dates&gt;&lt;rec-number&gt;74&lt;/rec-number&gt;&lt;last-updated-date format="utc"&gt;1560006694&lt;/last-updated-date&gt;&lt;/record&gt;&lt;/Cite&gt;&lt;/EndNote&gt;</w:instrText>
      </w:r>
      <w:r w:rsidR="00023994">
        <w:rPr>
          <w:lang w:val="de-AT"/>
        </w:rPr>
        <w:fldChar w:fldCharType="separate"/>
      </w:r>
      <w:r w:rsidR="00023994">
        <w:rPr>
          <w:noProof/>
          <w:lang w:val="de-AT"/>
        </w:rPr>
        <w:t>(Europäisches Parlament &amp; Europarat, 1995, S. 40)</w:t>
      </w:r>
      <w:r w:rsidR="00023994">
        <w:rPr>
          <w:lang w:val="de-AT"/>
        </w:rPr>
        <w:fldChar w:fldCharType="end"/>
      </w:r>
      <w:r w:rsidR="009F44C4">
        <w:rPr>
          <w:lang w:val="de-AT"/>
        </w:rPr>
        <w:t>.</w:t>
      </w:r>
    </w:p>
    <w:p w14:paraId="6C78E169" w14:textId="17112B04" w:rsidR="00023994" w:rsidRDefault="00023994" w:rsidP="00B57C1B">
      <w:pPr>
        <w:rPr>
          <w:lang w:val="de-AT"/>
        </w:rPr>
      </w:pPr>
      <w:r>
        <w:rPr>
          <w:lang w:val="de-AT"/>
        </w:rPr>
        <w:t>Neuerungen wurden auch im Bereich der Sicherung und Vertraulichkeit eingeführt, die Verhältnisse zwischen Erstverarbeitenden Stellen und Auftragsverarbeitern berücksichtigt</w:t>
      </w:r>
      <w:r w:rsidR="005B11FA">
        <w:rPr>
          <w:lang w:val="de-AT"/>
        </w:rPr>
        <w:t xml:space="preserve"> und auch </w:t>
      </w:r>
      <w:r>
        <w:rPr>
          <w:lang w:val="de-AT"/>
        </w:rPr>
        <w:t>klarere Einschränkungen und Befugnisse</w:t>
      </w:r>
      <w:r w:rsidR="005B11FA">
        <w:rPr>
          <w:lang w:val="de-AT"/>
        </w:rPr>
        <w:t xml:space="preserve"> definiert. So wurde beispielsweise die Verarbeitung durch Dritte Auftragsverarbeiter nur auf Weisung durch für Verar</w:t>
      </w:r>
      <w:r w:rsidR="00437574">
        <w:rPr>
          <w:lang w:val="de-AT"/>
        </w:rPr>
        <w:t>beitung Verantwortliche erlaubt</w:t>
      </w:r>
      <w:r w:rsidR="005B11FA">
        <w:rPr>
          <w:lang w:val="de-AT"/>
        </w:rPr>
        <w:t xml:space="preserve"> </w:t>
      </w:r>
      <w:r w:rsidR="005B11FA">
        <w:rPr>
          <w:lang w:val="de-AT"/>
        </w:rPr>
        <w:fldChar w:fldCharType="begin"/>
      </w:r>
      <w:r w:rsidR="005B11FA">
        <w:rPr>
          <w:lang w:val="de-AT"/>
        </w:rPr>
        <w:instrText xml:space="preserve"> ADDIN EN.CITE &lt;EndNote&gt;&lt;Cite&gt;&lt;Author&gt;Europäisches Parlament&lt;/Author&gt;&lt;Year&gt;1995&lt;/Year&gt;&lt;IDText&gt;Richtlinie 95/46/EG des Europäischen Parlaments und des Rates vom 24. Oktober 1995 zum Schutz natürlicher Personen bei der Verarbeitung personenbezogener Daten und zum freien Datenverkehr&lt;/IDText&gt;&lt;Pages&gt;43&lt;/Pages&gt;&lt;DisplayText&gt;(Europäisches Parlament &amp;amp; Europarat, 1995, S. 43)&lt;/DisplayText&gt;&lt;record&gt;&lt;urls&gt;&lt;related-urls&gt;&lt;url&gt;https://eur-lex.europa.eu/legal-content/DE/TXT/PDF/?uri=CELEX:31995L0046&amp;amp;from=DE&lt;/url&gt;&lt;/related-urls&gt;&lt;/urls&gt;&lt;titles&gt;&lt;title&gt;Richtlinie 95/46/EG des Europäischen Parlaments und des Rates vom 24. Oktober 1995 zum Schutz natürlicher Personen bei der Verarbeitung personenbezogener Daten und zum freien Datenverkehr&lt;/title&gt;&lt;/titles&gt;&lt;access-date&gt;1.6.2019&lt;/access-date&gt;&lt;contributors&gt;&lt;authors&gt;&lt;author&gt;Europäisches Parlament,&lt;/author&gt;&lt;author&gt;Europarat&lt;/author&gt;&lt;/authors&gt;&lt;/contributors&gt;&lt;added-date format="utc"&gt;1560006485&lt;/added-date&gt;&lt;ref-type name="Legal Rule or Regulation"&gt;50&lt;/ref-type&gt;&lt;dates&gt;&lt;year&gt;1995&lt;/year&gt;&lt;/dates&gt;&lt;rec-number&gt;74&lt;/rec-number&gt;&lt;last-updated-date format="utc"&gt;1560006694&lt;/last-updated-date&gt;&lt;/record&gt;&lt;/Cite&gt;&lt;/EndNote&gt;</w:instrText>
      </w:r>
      <w:r w:rsidR="005B11FA">
        <w:rPr>
          <w:lang w:val="de-AT"/>
        </w:rPr>
        <w:fldChar w:fldCharType="separate"/>
      </w:r>
      <w:r w:rsidR="005B11FA">
        <w:rPr>
          <w:noProof/>
          <w:lang w:val="de-AT"/>
        </w:rPr>
        <w:t>(Europäisches Parlament &amp; Europarat, 1995, S. 43)</w:t>
      </w:r>
      <w:r w:rsidR="005B11FA">
        <w:rPr>
          <w:lang w:val="de-AT"/>
        </w:rPr>
        <w:fldChar w:fldCharType="end"/>
      </w:r>
      <w:r w:rsidR="005B11FA">
        <w:rPr>
          <w:lang w:val="de-AT"/>
        </w:rPr>
        <w:t>.</w:t>
      </w:r>
    </w:p>
    <w:p w14:paraId="746C6DF4" w14:textId="44236E28" w:rsidR="005B11FA" w:rsidRDefault="005B11FA" w:rsidP="00B57C1B">
      <w:pPr>
        <w:rPr>
          <w:lang w:val="de-AT"/>
        </w:rPr>
      </w:pPr>
      <w:r>
        <w:rPr>
          <w:lang w:val="de-AT"/>
        </w:rPr>
        <w:lastRenderedPageBreak/>
        <w:t xml:space="preserve">Neben der Einführung von neuen </w:t>
      </w:r>
      <w:r w:rsidR="00441D21">
        <w:rPr>
          <w:lang w:val="de-AT"/>
        </w:rPr>
        <w:t xml:space="preserve">unabhängigen Kontrollstellen wurden auch in dieser Richtlinie Sanktionen und Rechtsbehelfe für Betroffene eingefordert </w:t>
      </w:r>
      <w:r w:rsidR="00441D21">
        <w:rPr>
          <w:lang w:val="de-AT"/>
        </w:rPr>
        <w:fldChar w:fldCharType="begin"/>
      </w:r>
      <w:r w:rsidR="00441D21">
        <w:rPr>
          <w:lang w:val="de-AT"/>
        </w:rPr>
        <w:instrText xml:space="preserve"> ADDIN EN.CITE &lt;EndNote&gt;&lt;Cite&gt;&lt;Author&gt;Europäisches Parlament&lt;/Author&gt;&lt;Year&gt;1995&lt;/Year&gt;&lt;IDText&gt;Richtlinie 95/46/EG des Europäischen Parlaments und des Rates vom 24. Oktober 1995 zum Schutz natürlicher Personen bei der Verarbeitung personenbezogener Daten und zum freien Datenverkehr&lt;/IDText&gt;&lt;DisplayText&gt;(Europäisches Parlament &amp;amp; Europarat, 1995)&lt;/DisplayText&gt;&lt;record&gt;&lt;urls&gt;&lt;related-urls&gt;&lt;url&gt;https://eur-lex.europa.eu/legal-content/DE/TXT/PDF/?uri=CELEX:31995L0046&amp;amp;from=DE&lt;/url&gt;&lt;/related-urls&gt;&lt;/urls&gt;&lt;titles&gt;&lt;title&gt;Richtlinie 95/46/EG des Europäischen Parlaments und des Rates vom 24. Oktober 1995 zum Schutz natürlicher Personen bei der Verarbeitung personenbezogener Daten und zum freien Datenverkehr&lt;/title&gt;&lt;/titles&gt;&lt;access-date&gt;1.6.2019&lt;/access-date&gt;&lt;contributors&gt;&lt;authors&gt;&lt;author&gt;Europäisches Parlament,&lt;/author&gt;&lt;author&gt;Europarat&lt;/author&gt;&lt;/authors&gt;&lt;/contributors&gt;&lt;added-date format="utc"&gt;1560006485&lt;/added-date&gt;&lt;ref-type name="Legal Rule or Regulation"&gt;50&lt;/ref-type&gt;&lt;dates&gt;&lt;year&gt;1995&lt;/year&gt;&lt;/dates&gt;&lt;rec-number&gt;74&lt;/rec-number&gt;&lt;last-updated-date format="utc"&gt;1560006694&lt;/last-updated-date&gt;&lt;/record&gt;&lt;/Cite&gt;&lt;/EndNote&gt;</w:instrText>
      </w:r>
      <w:r w:rsidR="00441D21">
        <w:rPr>
          <w:lang w:val="de-AT"/>
        </w:rPr>
        <w:fldChar w:fldCharType="separate"/>
      </w:r>
      <w:r w:rsidR="00441D21">
        <w:rPr>
          <w:noProof/>
          <w:lang w:val="de-AT"/>
        </w:rPr>
        <w:t>(Europäisches Parlament &amp; Europarat, 1995)</w:t>
      </w:r>
      <w:r w:rsidR="00441D21">
        <w:rPr>
          <w:lang w:val="de-AT"/>
        </w:rPr>
        <w:fldChar w:fldCharType="end"/>
      </w:r>
      <w:r w:rsidR="00441D21">
        <w:rPr>
          <w:lang w:val="de-AT"/>
        </w:rPr>
        <w:t>. Diese Sanktionen erwiesen sich in der Praxis als zahnlos, da keine Rahmenbedingungen vorgegeben waren und die Umsetzung den Mit</w:t>
      </w:r>
      <w:r w:rsidR="00437574">
        <w:rPr>
          <w:lang w:val="de-AT"/>
        </w:rPr>
        <w:t>gliedsstaaten überlassen wurde.</w:t>
      </w:r>
    </w:p>
    <w:p w14:paraId="6D7BDEE8" w14:textId="5AAD6DB3" w:rsidR="00437574" w:rsidRDefault="00437574" w:rsidP="00B57C1B">
      <w:pPr>
        <w:rPr>
          <w:lang w:val="de-AT"/>
        </w:rPr>
      </w:pPr>
      <w:r>
        <w:rPr>
          <w:lang w:val="de-AT"/>
        </w:rPr>
        <w:t xml:space="preserve">Zur Erweiterung der „Datenschutzrichtlinie“ speziell für den Bereich der Telekommunikation wurde später eine eigene Richtlinie verfasst, Richtlinie 97/66/EG. Sie wurde am 15. Dezember 1997 durch das Europäische Parlament und den Europarat verabschiedet </w:t>
      </w:r>
      <w:r>
        <w:rPr>
          <w:lang w:val="de-AT"/>
        </w:rPr>
        <w:fldChar w:fldCharType="begin"/>
      </w:r>
      <w:r>
        <w:rPr>
          <w:lang w:val="de-AT"/>
        </w:rPr>
        <w:instrText xml:space="preserve"> ADDIN EN.CITE &lt;EndNote&gt;&lt;Cite&gt;&lt;Author&gt;Europarat&lt;/Author&gt;&lt;Year&gt;1997&lt;/Year&gt;&lt;IDText&gt;Richtlinie 97/66/EG des Europäischen Parlaments und des Rates vom 15. Dezember 1997 über die Verarbeitung personenbezogener Daten und den Schutz der Privatsphäre im Bereich der Telekommunikation&lt;/IDText&gt;&lt;DisplayText&gt;(Europarat &amp;amp; Europäisches Parlament, 1997)&lt;/DisplayText&gt;&lt;record&gt;&lt;urls&gt;&lt;related-urls&gt;&lt;url&gt;https://eur-lex.europa.eu/legal-content/DE/TXT/PDF/?uri=CELEX:31997L0066&amp;amp;from=DE&lt;/url&gt;&lt;/related-urls&gt;&lt;/urls&gt;&lt;titles&gt;&lt;title&gt;Richtlinie 97/66/EG des Europäischen Parlaments und des Rates vom 15. Dezember 1997 über die Verarbeitung personenbezogener Daten und den Schutz der Privatsphäre im Bereich der Telekommunikation&lt;/title&gt;&lt;/titles&gt;&lt;contributors&gt;&lt;authors&gt;&lt;author&gt;Europarat,&lt;/author&gt;&lt;author&gt;Europäisches Parlament,&lt;/author&gt;&lt;/authors&gt;&lt;/contributors&gt;&lt;added-date format="utc"&gt;1560159913&lt;/added-date&gt;&lt;ref-type name="Legal Rule or Regulation"&gt;50&lt;/ref-type&gt;&lt;dates&gt;&lt;year&gt;1997&lt;/year&gt;&lt;/dates&gt;&lt;rec-number&gt;76&lt;/rec-number&gt;&lt;last-updated-date format="utc"&gt;1560159974&lt;/last-updated-date&gt;&lt;/record&gt;&lt;/Cite&gt;&lt;/EndNote&gt;</w:instrText>
      </w:r>
      <w:r>
        <w:rPr>
          <w:lang w:val="de-AT"/>
        </w:rPr>
        <w:fldChar w:fldCharType="separate"/>
      </w:r>
      <w:r>
        <w:rPr>
          <w:noProof/>
          <w:lang w:val="de-AT"/>
        </w:rPr>
        <w:t>(Europarat &amp; Europäisches Parlament, 1997)</w:t>
      </w:r>
      <w:r>
        <w:rPr>
          <w:lang w:val="de-AT"/>
        </w:rPr>
        <w:fldChar w:fldCharType="end"/>
      </w:r>
      <w:r>
        <w:rPr>
          <w:lang w:val="de-AT"/>
        </w:rPr>
        <w:t xml:space="preserve">. </w:t>
      </w:r>
    </w:p>
    <w:p w14:paraId="7EC330BC" w14:textId="68BCBA86" w:rsidR="005B11FA" w:rsidRDefault="001F5CA5" w:rsidP="00B57C1B">
      <w:pPr>
        <w:rPr>
          <w:lang w:val="de-AT"/>
        </w:rPr>
      </w:pPr>
      <w:r>
        <w:rPr>
          <w:lang w:val="de-AT"/>
        </w:rPr>
        <w:t xml:space="preserve">Direktive 95/46/EG wurde mit 25. Mai 2018 aufgehoben, da die DSGVO sie effektiv ersetzte </w:t>
      </w:r>
      <w:r w:rsidR="005E0AD5">
        <w:rPr>
          <w:lang w:val="de-AT"/>
        </w:rPr>
        <w:fldChar w:fldCharType="begin"/>
      </w:r>
      <w:r w:rsidR="005E0AD5">
        <w:rPr>
          <w:lang w:val="de-AT"/>
        </w:rPr>
        <w:instrText xml:space="preserve"> ADDIN EN.CITE &lt;EndNote&gt;&lt;Cite&gt;&lt;Author&gt;Europarat&lt;/Author&gt;&lt;Year&gt;2016&lt;/Year&gt;&lt;IDText&gt;Verordnung (EU) 2016/679 des Europäischen Parlaments und des Rates vom 27. April 2016 zum Schutz natürlicher Personen bei der Verarbeitung personenbezogener Daten, zum freien Datenverkehr und zur Aufhebung der Richtlinie 95/46/EG (Datenschutz-Grundverordnung)&lt;/IDText&gt;&lt;DisplayText&gt;(Europarat &amp;amp; Europäisches Parlament, 2016)&lt;/DisplayText&gt;&lt;record&gt;&lt;urls&gt;&lt;related-urls&gt;&lt;url&gt;https://eur-lex.europa.eu/legal-content/DE/TXT/PDF/?uri=CELEX:32016R0679&amp;amp;from=DE&lt;/url&gt;&lt;/related-urls&gt;&lt;/urls&gt;&lt;titles&gt;&lt;title&gt;Verordnung (EU) 2016/679 des Europäischen Parlaments und des Rates vom 27. April 2016 zum Schutz natürlicher Personen bei der Verarbeitung personenbezogener Daten, zum freien Datenverkehr und zur Aufhebung der Richtlinie 95/46/EG (Datenschutz-Grundverordnung)&lt;/title&gt;&lt;/titles&gt;&lt;contributors&gt;&lt;authors&gt;&lt;author&gt;Europarat&lt;/author&gt;&lt;author&gt;Europäisches Parlament,&lt;/author&gt;&lt;/authors&gt;&lt;/contributors&gt;&lt;added-date format="utc"&gt;1560157823&lt;/added-date&gt;&lt;ref-type name="Legal Rule or Regulation"&gt;50&lt;/ref-type&gt;&lt;dates&gt;&lt;year&gt;2016&lt;/year&gt;&lt;/dates&gt;&lt;rec-number&gt;75&lt;/rec-number&gt;&lt;last-updated-date format="utc"&gt;1560157877&lt;/last-updated-date&gt;&lt;/record&gt;&lt;/Cite&gt;&lt;/EndNote&gt;</w:instrText>
      </w:r>
      <w:r w:rsidR="005E0AD5">
        <w:rPr>
          <w:lang w:val="de-AT"/>
        </w:rPr>
        <w:fldChar w:fldCharType="separate"/>
      </w:r>
      <w:r w:rsidR="005E0AD5">
        <w:rPr>
          <w:noProof/>
          <w:lang w:val="de-AT"/>
        </w:rPr>
        <w:t>(Europarat &amp; Europäisches Parlament, 2016)</w:t>
      </w:r>
      <w:r w:rsidR="005E0AD5">
        <w:rPr>
          <w:lang w:val="de-AT"/>
        </w:rPr>
        <w:fldChar w:fldCharType="end"/>
      </w:r>
      <w:r>
        <w:rPr>
          <w:lang w:val="de-AT"/>
        </w:rPr>
        <w:t xml:space="preserve">. </w:t>
      </w:r>
    </w:p>
    <w:p w14:paraId="046DCD5C" w14:textId="77777777" w:rsidR="00B57C1B" w:rsidRPr="00994104" w:rsidRDefault="00B57C1B" w:rsidP="00B57C1B">
      <w:pPr>
        <w:rPr>
          <w:lang w:val="de-AT"/>
        </w:rPr>
      </w:pPr>
    </w:p>
    <w:p w14:paraId="036BE93D" w14:textId="0779CF20" w:rsidR="007D3B83" w:rsidRPr="00437574" w:rsidRDefault="00437574" w:rsidP="003E6364">
      <w:pPr>
        <w:pStyle w:val="berschrift2"/>
        <w:rPr>
          <w:lang w:val="de-AT"/>
        </w:rPr>
      </w:pPr>
      <w:bookmarkStart w:id="20" w:name="_Toc11865315"/>
      <w:r w:rsidRPr="00437574">
        <w:rPr>
          <w:lang w:val="de-AT"/>
        </w:rPr>
        <w:t>Richtlinie</w:t>
      </w:r>
      <w:r w:rsidR="00174E84" w:rsidRPr="00437574">
        <w:rPr>
          <w:lang w:val="de-AT"/>
        </w:rPr>
        <w:t xml:space="preserve"> 2002/58/EC – “ePrivacy-Richtlinie</w:t>
      </w:r>
      <w:r w:rsidR="00275666">
        <w:rPr>
          <w:lang w:val="de-AT"/>
        </w:rPr>
        <w:t>/</w:t>
      </w:r>
      <w:r w:rsidR="003E6364">
        <w:rPr>
          <w:lang w:val="de-AT"/>
        </w:rPr>
        <w:t xml:space="preserve"> </w:t>
      </w:r>
      <w:r w:rsidR="00275666">
        <w:rPr>
          <w:lang w:val="de-AT"/>
        </w:rPr>
        <w:t>Datenschutz</w:t>
      </w:r>
      <w:r w:rsidR="00D5084E">
        <w:rPr>
          <w:lang w:val="de-AT"/>
        </w:rPr>
        <w:t>-</w:t>
      </w:r>
      <w:r w:rsidR="00275666">
        <w:rPr>
          <w:lang w:val="de-AT"/>
        </w:rPr>
        <w:t>richtlinie für elektronische Kommunikation</w:t>
      </w:r>
      <w:r w:rsidR="00174E84" w:rsidRPr="00437574">
        <w:rPr>
          <w:lang w:val="de-AT"/>
        </w:rPr>
        <w:t>”</w:t>
      </w:r>
      <w:bookmarkEnd w:id="20"/>
    </w:p>
    <w:p w14:paraId="624184F0" w14:textId="683CC4B6" w:rsidR="00B57C1B" w:rsidRDefault="00174E84" w:rsidP="00B57C1B">
      <w:pPr>
        <w:rPr>
          <w:lang w:val="de-AT"/>
        </w:rPr>
      </w:pPr>
      <w:r w:rsidRPr="00ED00FB">
        <w:rPr>
          <w:lang w:val="de-AT"/>
        </w:rPr>
        <w:t xml:space="preserve">Im Jahr 2002 </w:t>
      </w:r>
      <w:r w:rsidR="00ED00FB" w:rsidRPr="00ED00FB">
        <w:rPr>
          <w:lang w:val="de-AT"/>
        </w:rPr>
        <w:t>beschlossen Europ</w:t>
      </w:r>
      <w:r w:rsidR="00ED00FB">
        <w:rPr>
          <w:lang w:val="de-AT"/>
        </w:rPr>
        <w:t xml:space="preserve">arat und Europäisches Parlament eine Erweiterung der Datenschutz-Bestimmungen, um technologischen Trends </w:t>
      </w:r>
      <w:r w:rsidR="00437574">
        <w:rPr>
          <w:lang w:val="de-AT"/>
        </w:rPr>
        <w:t>im Telekommunikations- und Internetzeitalter gerecht zu werden. Die Richtlinie trägt den vollen Namen: „</w:t>
      </w:r>
      <w:r w:rsidR="00437574" w:rsidRPr="00437574">
        <w:rPr>
          <w:lang w:val="de-AT"/>
        </w:rPr>
        <w:t>Richtlinie 2002/58/EG des Europäischen</w:t>
      </w:r>
      <w:r w:rsidR="00437574">
        <w:rPr>
          <w:lang w:val="de-AT"/>
        </w:rPr>
        <w:t xml:space="preserve"> </w:t>
      </w:r>
      <w:r w:rsidR="00437574" w:rsidRPr="00437574">
        <w:rPr>
          <w:lang w:val="de-AT"/>
        </w:rPr>
        <w:t>Parlaments und des Rates vom 12. Juli 2002 über die Verarbeitung personenbezogener Daten und den Schutz der Privatsphäre in der elektronischen Kommunikation</w:t>
      </w:r>
      <w:r w:rsidR="00437574">
        <w:rPr>
          <w:lang w:val="de-AT"/>
        </w:rPr>
        <w:t>“ und zeigt damit im Namen bereits die Ausrichtung auf elektronische Kommunikation</w:t>
      </w:r>
      <w:r w:rsidR="00413A94">
        <w:rPr>
          <w:lang w:val="de-AT"/>
        </w:rPr>
        <w:t xml:space="preserve"> an</w:t>
      </w:r>
      <w:r w:rsidR="00437574">
        <w:rPr>
          <w:lang w:val="de-AT"/>
        </w:rPr>
        <w:t xml:space="preserve">. </w:t>
      </w:r>
      <w:r w:rsidR="00413A94">
        <w:rPr>
          <w:lang w:val="de-AT"/>
        </w:rPr>
        <w:t>Sie</w:t>
      </w:r>
      <w:r w:rsidR="007120F8">
        <w:rPr>
          <w:lang w:val="de-AT"/>
        </w:rPr>
        <w:t xml:space="preserve"> steht als Nachfolger von Richtlinie 97/66/EG, die praktisch wenig Bedeutung hatte und löste diese ab. Die ePrivacy-Richtlinie</w:t>
      </w:r>
      <w:r w:rsidR="00413A94">
        <w:rPr>
          <w:lang w:val="de-AT"/>
        </w:rPr>
        <w:t xml:space="preserve"> erkennt das Internet und Computertechnologien als entscheidende Elemente individueller Privatsphäre an und möchte gegen „Spyware“, „Web-B</w:t>
      </w:r>
      <w:r w:rsidR="00715D11">
        <w:rPr>
          <w:lang w:val="de-AT"/>
        </w:rPr>
        <w:t xml:space="preserve">ugs“, „Hidden Identifiers“ et </w:t>
      </w:r>
      <w:r w:rsidR="00413A94">
        <w:rPr>
          <w:lang w:val="de-AT"/>
        </w:rPr>
        <w:t>cetera vorgehen</w:t>
      </w:r>
      <w:r w:rsidR="00671CF8">
        <w:rPr>
          <w:lang w:val="de-AT"/>
        </w:rPr>
        <w:t>. Sie setzt dieselben Maßstäbe an Begriffsdefinitionen, wie die 1995 verabschiedete „Datenschutzrichtlinie“</w:t>
      </w:r>
      <w:r w:rsidR="00413A94">
        <w:rPr>
          <w:lang w:val="de-AT"/>
        </w:rPr>
        <w:t xml:space="preserve"> </w:t>
      </w:r>
      <w:r w:rsidR="00413A94">
        <w:rPr>
          <w:lang w:val="de-AT"/>
        </w:rPr>
        <w:fldChar w:fldCharType="begin"/>
      </w:r>
      <w:r w:rsidR="00671CF8">
        <w:rPr>
          <w:lang w:val="de-AT"/>
        </w:rPr>
        <w:instrText xml:space="preserve"> ADDIN EN.CITE &lt;EndNote&gt;&lt;Cite&gt;&lt;Author&gt;Europarat&lt;/Author&gt;&lt;Year&gt;2002&lt;/Year&gt;&lt;IDText&gt;Richtlinie 2002/58/EG des Europäischen Parlaments und des Rates vom 12. Juli 2002 über die Verarbeitung personenbezogener Daten und den Schutz der Privatsphäre in der elektronischen Kommunikation (Datenschutzrichtlinie für elektronische Kommunikation)   &lt;/IDText&gt;&lt;Pages&gt;37 ff&lt;/Pages&gt;&lt;DisplayText&gt;(Europarat &amp;amp; Europäisches Parlament, 2002, S. 37 ff)&lt;/DisplayText&gt;&lt;record&gt;&lt;urls&gt;&lt;related-urls&gt;&lt;url&gt;https://eur-lex.europa.eu/legal-content/DE/TXT/PDF/?uri=CELEX:32002L0058&amp;amp;from=DE&lt;/url&gt;&lt;/related-urls&gt;&lt;/urls&gt;&lt;titles&gt;&lt;title&gt;Richtlinie 2002/58/EG des Europäischen Parlaments und des Rates vom 12. Juli 2002 über die Verarbeitung personenbezogener Daten und den Schutz der Privatsphäre in der elektronischen Kommunikation (Datenschutzrichtlinie für elektronische Kommunikation)   &lt;/title&gt;&lt;/titles&gt;&lt;contributors&gt;&lt;authors&gt;&lt;author&gt;Europarat&lt;/author&gt;&lt;author&gt;Europäisches Parlament,&lt;/author&gt;&lt;/authors&gt;&lt;/contributors&gt;&lt;added-date format="utc"&gt;1560161023&lt;/added-date&gt;&lt;ref-type name="Legal Rule or Regulation"&gt;50&lt;/ref-type&gt;&lt;dates&gt;&lt;year&gt;2002&lt;/year&gt;&lt;/dates&gt;&lt;rec-number&gt;77&lt;/rec-number&gt;&lt;last-updated-date format="utc"&gt;1560161058&lt;/last-updated-date&gt;&lt;/record&gt;&lt;/Cite&gt;&lt;/EndNote&gt;</w:instrText>
      </w:r>
      <w:r w:rsidR="00413A94">
        <w:rPr>
          <w:lang w:val="de-AT"/>
        </w:rPr>
        <w:fldChar w:fldCharType="separate"/>
      </w:r>
      <w:r w:rsidR="00671CF8">
        <w:rPr>
          <w:noProof/>
          <w:lang w:val="de-AT"/>
        </w:rPr>
        <w:t>(Europarat &amp; Europäisches Parlament, 2002, S. 37 ff)</w:t>
      </w:r>
      <w:r w:rsidR="00413A94">
        <w:rPr>
          <w:lang w:val="de-AT"/>
        </w:rPr>
        <w:fldChar w:fldCharType="end"/>
      </w:r>
      <w:r w:rsidR="00413A94">
        <w:rPr>
          <w:lang w:val="de-AT"/>
        </w:rPr>
        <w:t>.</w:t>
      </w:r>
      <w:r w:rsidR="004C295F">
        <w:rPr>
          <w:lang w:val="de-AT"/>
        </w:rPr>
        <w:t xml:space="preserve"> Es gilt als umstritten, ob die ePrivacy-Richtlinie auch im Internet v</w:t>
      </w:r>
      <w:r w:rsidR="00A27D1E">
        <w:rPr>
          <w:lang w:val="de-AT"/>
        </w:rPr>
        <w:t>erfügbare Dienste anwendbar ist</w:t>
      </w:r>
      <w:r w:rsidR="004C295F">
        <w:rPr>
          <w:lang w:val="de-AT"/>
        </w:rPr>
        <w:t>.</w:t>
      </w:r>
    </w:p>
    <w:p w14:paraId="0842595A" w14:textId="60822C5A" w:rsidR="00671CF8" w:rsidRDefault="00671CF8" w:rsidP="00B57C1B">
      <w:pPr>
        <w:rPr>
          <w:lang w:val="de-AT"/>
        </w:rPr>
      </w:pPr>
      <w:r>
        <w:rPr>
          <w:lang w:val="de-AT"/>
        </w:rPr>
        <w:t>Wie vorangegangene Richtlinien auch</w:t>
      </w:r>
      <w:r w:rsidR="00715D11">
        <w:rPr>
          <w:lang w:val="de-AT"/>
        </w:rPr>
        <w:t>,</w:t>
      </w:r>
      <w:r>
        <w:rPr>
          <w:lang w:val="de-AT"/>
        </w:rPr>
        <w:t xml:space="preserve"> möchte diese Richtlinie</w:t>
      </w:r>
      <w:r w:rsidR="00715D11">
        <w:rPr>
          <w:lang w:val="de-AT"/>
        </w:rPr>
        <w:t xml:space="preserve"> die</w:t>
      </w:r>
      <w:r>
        <w:rPr>
          <w:lang w:val="de-AT"/>
        </w:rPr>
        <w:t xml:space="preserve"> Schutzvorschriften innerhalb der Mitgliedstaaten vereinheitlichen und harmonisieren, um allen </w:t>
      </w:r>
      <w:r w:rsidR="00715D11">
        <w:rPr>
          <w:lang w:val="de-AT"/>
        </w:rPr>
        <w:t>Bürgerinnen und Bürgern</w:t>
      </w:r>
      <w:r>
        <w:rPr>
          <w:lang w:val="de-AT"/>
        </w:rPr>
        <w:t xml:space="preserve"> des Geltungsbereiches ein möglichst gleichwertiges Schutzniveau zu gewährleisten. Sie ist als Ergänzung zu Richtlinie 95/46/EG zu sehen </w:t>
      </w:r>
      <w:r>
        <w:rPr>
          <w:lang w:val="de-AT"/>
        </w:rPr>
        <w:lastRenderedPageBreak/>
        <w:t xml:space="preserve">und möchte sowohl Privatpersonen, als auch dem berechtigtem Interesse juristischer Personen als Schutz dienen </w:t>
      </w:r>
      <w:r>
        <w:rPr>
          <w:lang w:val="de-AT"/>
        </w:rPr>
        <w:fldChar w:fldCharType="begin"/>
      </w:r>
      <w:r>
        <w:rPr>
          <w:lang w:val="de-AT"/>
        </w:rPr>
        <w:instrText xml:space="preserve"> ADDIN EN.CITE &lt;EndNote&gt;&lt;Cite&gt;&lt;Author&gt;Europarat&lt;/Author&gt;&lt;Year&gt;2002&lt;/Year&gt;&lt;IDText&gt;Richtlinie 2002/58/EG des Europäischen Parlaments und des Rates vom 12. Juli 2002 über die Verarbeitung personenbezogener Daten und den Schutz der Privatsphäre in der elektronischen Kommunikation (Datenschutzrichtlinie für elektronische Kommunikation)   &lt;/IDText&gt;&lt;Pages&gt;42 f&lt;/Pages&gt;&lt;DisplayText&gt;(Europarat &amp;amp; Europäisches Parlament, 2002, S. 42 f)&lt;/DisplayText&gt;&lt;record&gt;&lt;urls&gt;&lt;related-urls&gt;&lt;url&gt;https://eur-lex.europa.eu/legal-content/DE/TXT/PDF/?uri=CELEX:32002L0058&amp;amp;from=DE&lt;/url&gt;&lt;/related-urls&gt;&lt;/urls&gt;&lt;titles&gt;&lt;title&gt;Richtlinie 2002/58/EG des Europäischen Parlaments und des Rates vom 12. Juli 2002 über die Verarbeitung personenbezogener Daten und den Schutz der Privatsphäre in der elektronischen Kommunikation (Datenschutzrichtlinie für elektronische Kommunikation)   &lt;/title&gt;&lt;/titles&gt;&lt;contributors&gt;&lt;authors&gt;&lt;author&gt;Europarat&lt;/author&gt;&lt;author&gt;Europäisches Parlament,&lt;/author&gt;&lt;/authors&gt;&lt;/contributors&gt;&lt;added-date format="utc"&gt;1560161023&lt;/added-date&gt;&lt;ref-type name="Legal Rule or Regulation"&gt;50&lt;/ref-type&gt;&lt;dates&gt;&lt;year&gt;2002&lt;/year&gt;&lt;/dates&gt;&lt;rec-number&gt;77&lt;/rec-number&gt;&lt;last-updated-date format="utc"&gt;1560161058&lt;/last-updated-date&gt;&lt;/record&gt;&lt;/Cite&gt;&lt;/EndNote&gt;</w:instrText>
      </w:r>
      <w:r>
        <w:rPr>
          <w:lang w:val="de-AT"/>
        </w:rPr>
        <w:fldChar w:fldCharType="separate"/>
      </w:r>
      <w:r>
        <w:rPr>
          <w:noProof/>
          <w:lang w:val="de-AT"/>
        </w:rPr>
        <w:t>(Europarat &amp; Europäisches Parlament, 2002, S. 42 f)</w:t>
      </w:r>
      <w:r>
        <w:rPr>
          <w:lang w:val="de-AT"/>
        </w:rPr>
        <w:fldChar w:fldCharType="end"/>
      </w:r>
      <w:r>
        <w:rPr>
          <w:lang w:val="de-AT"/>
        </w:rPr>
        <w:t>.</w:t>
      </w:r>
    </w:p>
    <w:p w14:paraId="0F4E0EBF" w14:textId="28548FBF" w:rsidR="00671CF8" w:rsidRDefault="00671CF8" w:rsidP="00B57C1B">
      <w:pPr>
        <w:rPr>
          <w:lang w:val="de-AT"/>
        </w:rPr>
      </w:pPr>
      <w:r>
        <w:rPr>
          <w:lang w:val="de-AT"/>
        </w:rPr>
        <w:t xml:space="preserve">Die ePrivacy-Richtlinie von 2002 behandelt </w:t>
      </w:r>
      <w:r w:rsidR="004C295F">
        <w:rPr>
          <w:lang w:val="de-AT"/>
        </w:rPr>
        <w:t xml:space="preserve">unter anderem auch Standort- und Verkehrsdaten und betrifft alle Dienste und Teilnehmeranschlüsse, die an digitale Vermittlungsstellen angeschlossen sind </w:t>
      </w:r>
      <w:r w:rsidR="004C295F">
        <w:rPr>
          <w:lang w:val="de-AT"/>
        </w:rPr>
        <w:fldChar w:fldCharType="begin"/>
      </w:r>
      <w:r w:rsidR="004C295F">
        <w:rPr>
          <w:lang w:val="de-AT"/>
        </w:rPr>
        <w:instrText xml:space="preserve"> ADDIN EN.CITE &lt;EndNote&gt;&lt;Cite&gt;&lt;Author&gt;Europarat&lt;/Author&gt;&lt;Year&gt;2002&lt;/Year&gt;&lt;IDText&gt;Richtlinie 2002/58/EG des Europäischen Parlaments und des Rates vom 12. Juli 2002 über die Verarbeitung personenbezogener Daten und den Schutz der Privatsphäre in der elektronischen Kommunikation (Datenschutzrichtlinie für elektronische Kommunikation)   &lt;/IDText&gt;&lt;Pages&gt;43&lt;/Pages&gt;&lt;DisplayText&gt;(Europarat &amp;amp; Europäisches Parlament, 2002, S. 43)&lt;/DisplayText&gt;&lt;record&gt;&lt;urls&gt;&lt;related-urls&gt;&lt;url&gt;https://eur-lex.europa.eu/legal-content/DE/TXT/PDF/?uri=CELEX:32002L0058&amp;amp;from=DE&lt;/url&gt;&lt;/related-urls&gt;&lt;/urls&gt;&lt;titles&gt;&lt;title&gt;Richtlinie 2002/58/EG des Europäischen Parlaments und des Rates vom 12. Juli 2002 über die Verarbeitung personenbezogener Daten und den Schutz der Privatsphäre in der elektronischen Kommunikation (Datenschutzrichtlinie für elektronische Kommunikation)   &lt;/title&gt;&lt;/titles&gt;&lt;contributors&gt;&lt;authors&gt;&lt;author&gt;Europarat&lt;/author&gt;&lt;author&gt;Europäisches Parlament,&lt;/author&gt;&lt;/authors&gt;&lt;/contributors&gt;&lt;added-date format="utc"&gt;1560161023&lt;/added-date&gt;&lt;ref-type name="Legal Rule or Regulation"&gt;50&lt;/ref-type&gt;&lt;dates&gt;&lt;year&gt;2002&lt;/year&gt;&lt;/dates&gt;&lt;rec-number&gt;77&lt;/rec-number&gt;&lt;last-updated-date format="utc"&gt;1560161058&lt;/last-updated-date&gt;&lt;/record&gt;&lt;/Cite&gt;&lt;/EndNote&gt;</w:instrText>
      </w:r>
      <w:r w:rsidR="004C295F">
        <w:rPr>
          <w:lang w:val="de-AT"/>
        </w:rPr>
        <w:fldChar w:fldCharType="separate"/>
      </w:r>
      <w:r w:rsidR="004C295F">
        <w:rPr>
          <w:noProof/>
          <w:lang w:val="de-AT"/>
        </w:rPr>
        <w:t>(Europarat &amp; Europäisches Parlament, 2002, S. 43)</w:t>
      </w:r>
      <w:r w:rsidR="004C295F">
        <w:rPr>
          <w:lang w:val="de-AT"/>
        </w:rPr>
        <w:fldChar w:fldCharType="end"/>
      </w:r>
      <w:r w:rsidR="004C295F">
        <w:rPr>
          <w:lang w:val="de-AT"/>
        </w:rPr>
        <w:t xml:space="preserve">. </w:t>
      </w:r>
    </w:p>
    <w:p w14:paraId="17097D3E" w14:textId="2549453A" w:rsidR="00145CAB" w:rsidRDefault="00145CAB" w:rsidP="00B57C1B">
      <w:pPr>
        <w:rPr>
          <w:lang w:val="de-AT"/>
        </w:rPr>
      </w:pPr>
      <w:r>
        <w:rPr>
          <w:lang w:val="de-AT"/>
        </w:rPr>
        <w:t xml:space="preserve">Die wichtigsten Teilbereiche der Richtlinie umfassen unter anderem die Punkte Datensicherung, Anonymisierung, Sicherheit und unerwünschte Nachrichten. So sind nach Artikel 6 </w:t>
      </w:r>
      <w:r w:rsidR="0059786D">
        <w:rPr>
          <w:lang w:val="de-AT"/>
        </w:rPr>
        <w:t>Abs</w:t>
      </w:r>
      <w:r>
        <w:rPr>
          <w:lang w:val="de-AT"/>
        </w:rPr>
        <w:t xml:space="preserve"> 1 zuordenbare Verkehrsdaten nach Erlöschen der Notwendigkeit zur Kommunikation zu löschen oder anonymisieren. Auch andere Standortdaten als Verkehrsdaten sind anonymisiert zu verarbeiten (Artikel 9 </w:t>
      </w:r>
      <w:r w:rsidR="0059786D">
        <w:rPr>
          <w:lang w:val="de-AT"/>
        </w:rPr>
        <w:t>Abs</w:t>
      </w:r>
      <w:r w:rsidR="00715D11">
        <w:rPr>
          <w:lang w:val="de-AT"/>
        </w:rPr>
        <w:t xml:space="preserve"> 1)</w:t>
      </w:r>
      <w:r>
        <w:rPr>
          <w:lang w:val="de-AT"/>
        </w:rPr>
        <w:t xml:space="preserve">. Artikel 7 verlangt dazu die Möglichkeit, (Telefon-)Rechnungen ohne einen entsprechenden Einzelgebührennachweis zu erhalten </w:t>
      </w:r>
      <w:r>
        <w:rPr>
          <w:lang w:val="de-AT"/>
        </w:rPr>
        <w:fldChar w:fldCharType="begin"/>
      </w:r>
      <w:r>
        <w:rPr>
          <w:lang w:val="de-AT"/>
        </w:rPr>
        <w:instrText xml:space="preserve"> ADDIN EN.CITE &lt;EndNote&gt;&lt;Cite&gt;&lt;Author&gt;Europarat&lt;/Author&gt;&lt;Year&gt;2002&lt;/Year&gt;&lt;IDText&gt;Richtlinie 2002/58/EG des Europäischen Parlaments und des Rates vom 12. Juli 2002 über die Verarbeitung personenbezogener Daten und den Schutz der Privatsphäre in der elektronischen Kommunikation (Datenschutzrichtlinie für elektronische Kommunikation)   &lt;/IDText&gt;&lt;Pages&gt;44 f&lt;/Pages&gt;&lt;DisplayText&gt;(Europarat &amp;amp; Europäisches Parlament, 2002, S. 44 f)&lt;/DisplayText&gt;&lt;record&gt;&lt;urls&gt;&lt;related-urls&gt;&lt;url&gt;https://eur-lex.europa.eu/legal-content/DE/TXT/PDF/?uri=CELEX:32002L0058&amp;amp;from=DE&lt;/url&gt;&lt;/related-urls&gt;&lt;/urls&gt;&lt;titles&gt;&lt;title&gt;Richtlinie 2002/58/EG des Europäischen Parlaments und des Rates vom 12. Juli 2002 über die Verarbeitung personenbezogener Daten und den Schutz der Privatsphäre in der elektronischen Kommunikation (Datenschutzrichtlinie für elektronische Kommunikation)   &lt;/title&gt;&lt;/titles&gt;&lt;contributors&gt;&lt;authors&gt;&lt;author&gt;Europarat&lt;/author&gt;&lt;author&gt;Europäisches Parlament,&lt;/author&gt;&lt;/authors&gt;&lt;/contributors&gt;&lt;added-date format="utc"&gt;1560161023&lt;/added-date&gt;&lt;ref-type name="Legal Rule or Regulation"&gt;50&lt;/ref-type&gt;&lt;dates&gt;&lt;year&gt;2002&lt;/year&gt;&lt;/dates&gt;&lt;rec-number&gt;77&lt;/rec-number&gt;&lt;last-updated-date format="utc"&gt;1560161058&lt;/last-updated-date&gt;&lt;/record&gt;&lt;/Cite&gt;&lt;/EndNote&gt;</w:instrText>
      </w:r>
      <w:r>
        <w:rPr>
          <w:lang w:val="de-AT"/>
        </w:rPr>
        <w:fldChar w:fldCharType="separate"/>
      </w:r>
      <w:r>
        <w:rPr>
          <w:noProof/>
          <w:lang w:val="de-AT"/>
        </w:rPr>
        <w:t>(Europarat &amp; Europäisches Parlament, 2002, S. 44 f)</w:t>
      </w:r>
      <w:r>
        <w:rPr>
          <w:lang w:val="de-AT"/>
        </w:rPr>
        <w:fldChar w:fldCharType="end"/>
      </w:r>
      <w:r>
        <w:rPr>
          <w:lang w:val="de-AT"/>
        </w:rPr>
        <w:t>.</w:t>
      </w:r>
    </w:p>
    <w:p w14:paraId="0323F5F7" w14:textId="31794C68" w:rsidR="00145CAB" w:rsidRDefault="00145CAB" w:rsidP="00B57C1B">
      <w:pPr>
        <w:rPr>
          <w:lang w:val="de-AT"/>
        </w:rPr>
      </w:pPr>
      <w:r>
        <w:rPr>
          <w:lang w:val="de-AT"/>
        </w:rPr>
        <w:t xml:space="preserve">Unerbetene Nachrichten wird in Artikel 13 </w:t>
      </w:r>
      <w:r w:rsidR="0059786D">
        <w:rPr>
          <w:lang w:val="de-AT"/>
        </w:rPr>
        <w:t>Abs</w:t>
      </w:r>
      <w:r>
        <w:rPr>
          <w:lang w:val="de-AT"/>
        </w:rPr>
        <w:t xml:space="preserve"> 1 die Verwendung elektronischer Post (Fax, E-Mail, SMS) für den Zweck der Direktwerbung untersagt. Dies ist ein prinzipielles Verbot, dass nur durch die in </w:t>
      </w:r>
      <w:r w:rsidR="0059786D">
        <w:rPr>
          <w:lang w:val="de-AT"/>
        </w:rPr>
        <w:t>Abs</w:t>
      </w:r>
      <w:r>
        <w:rPr>
          <w:lang w:val="de-AT"/>
        </w:rPr>
        <w:t xml:space="preserve"> 2 geregelte Ausnahme umgangen werden darf </w:t>
      </w:r>
      <w:r>
        <w:rPr>
          <w:lang w:val="de-AT"/>
        </w:rPr>
        <w:fldChar w:fldCharType="begin"/>
      </w:r>
      <w:r>
        <w:rPr>
          <w:lang w:val="de-AT"/>
        </w:rPr>
        <w:instrText xml:space="preserve"> ADDIN EN.CITE &lt;EndNote&gt;&lt;Cite&gt;&lt;Author&gt;Europarat&lt;/Author&gt;&lt;Year&gt;2002&lt;/Year&gt;&lt;IDText&gt;Richtlinie 2002/58/EG des Europäischen Parlaments und des Rates vom 12. Juli 2002 über die Verarbeitung personenbezogener Daten und den Schutz der Privatsphäre in der elektronischen Kommunikation (Datenschutzrichtlinie für elektronische Kommunikation)   &lt;/IDText&gt;&lt;Pages&gt;45&lt;/Pages&gt;&lt;DisplayText&gt;(Europarat &amp;amp; Europäisches Parlament, 2002, S. 45)&lt;/DisplayText&gt;&lt;record&gt;&lt;urls&gt;&lt;related-urls&gt;&lt;url&gt;https://eur-lex.europa.eu/legal-content/DE/TXT/PDF/?uri=CELEX:32002L0058&amp;amp;from=DE&lt;/url&gt;&lt;/related-urls&gt;&lt;/urls&gt;&lt;titles&gt;&lt;title&gt;Richtlinie 2002/58/EG des Europäischen Parlaments und des Rates vom 12. Juli 2002 über die Verarbeitung personenbezogener Daten und den Schutz der Privatsphäre in der elektronischen Kommunikation (Datenschutzrichtlinie für elektronische Kommunikation)   &lt;/title&gt;&lt;/titles&gt;&lt;contributors&gt;&lt;authors&gt;&lt;author&gt;Europarat&lt;/author&gt;&lt;author&gt;Europäisches Parlament,&lt;/author&gt;&lt;/authors&gt;&lt;/contributors&gt;&lt;added-date format="utc"&gt;1560161023&lt;/added-date&gt;&lt;ref-type name="Legal Rule or Regulation"&gt;50&lt;/ref-type&gt;&lt;dates&gt;&lt;year&gt;2002&lt;/year&gt;&lt;/dates&gt;&lt;rec-number&gt;77&lt;/rec-number&gt;&lt;last-updated-date format="utc"&gt;1560161058&lt;/last-updated-date&gt;&lt;/record&gt;&lt;/Cite&gt;&lt;/EndNote&gt;</w:instrText>
      </w:r>
      <w:r>
        <w:rPr>
          <w:lang w:val="de-AT"/>
        </w:rPr>
        <w:fldChar w:fldCharType="separate"/>
      </w:r>
      <w:r>
        <w:rPr>
          <w:noProof/>
          <w:lang w:val="de-AT"/>
        </w:rPr>
        <w:t>(Europarat &amp; Europäisches Parlament, 2002, S. 45)</w:t>
      </w:r>
      <w:r>
        <w:rPr>
          <w:lang w:val="de-AT"/>
        </w:rPr>
        <w:fldChar w:fldCharType="end"/>
      </w:r>
      <w:r>
        <w:rPr>
          <w:lang w:val="de-AT"/>
        </w:rPr>
        <w:t>. Diese Regelung gilt gemeinhin als eine der ersten Opt-In-Regelungen für Newsletter-Versand, weist aber noch Lücken auf, da erlaubt wurde, bestehenden</w:t>
      </w:r>
      <w:r w:rsidR="00275666">
        <w:rPr>
          <w:lang w:val="de-AT"/>
        </w:rPr>
        <w:t xml:space="preserve"> Kunden weiterhin Werbung zuzuschicken.</w:t>
      </w:r>
    </w:p>
    <w:p w14:paraId="02628215" w14:textId="617D42EE" w:rsidR="00D721CA" w:rsidRDefault="00275666" w:rsidP="00671CF8">
      <w:pPr>
        <w:rPr>
          <w:lang w:val="de-AT"/>
        </w:rPr>
      </w:pPr>
      <w:r>
        <w:rPr>
          <w:lang w:val="de-AT"/>
        </w:rPr>
        <w:t xml:space="preserve">Die Datenschutzrichtlinie für elektronische Kommunikation wurde 2009 durch Richtlinie 2009/136/EG </w:t>
      </w:r>
      <w:r w:rsidR="001D0D74">
        <w:rPr>
          <w:lang w:val="de-AT"/>
        </w:rPr>
        <w:t xml:space="preserve">(umgangssprachlich „Cookie-Richtlinie“) </w:t>
      </w:r>
      <w:r>
        <w:rPr>
          <w:lang w:val="de-AT"/>
        </w:rPr>
        <w:t xml:space="preserve">ergänzt und verändert. </w:t>
      </w:r>
      <w:r w:rsidR="001D0D74">
        <w:rPr>
          <w:lang w:val="de-AT"/>
        </w:rPr>
        <w:t xml:space="preserve">Die Änderung behandelte die Zulässigkeit von Informationsspeicherung auf Endgeräten (Endeinrichtungen) von Nutzern. Unter anderem sind damit auch Textdateien wie sogenannte „Cookies“ reguliert. Durch die Ergänzung wurde eine Information über die Verwendung, jedoch nicht die Notwendigkeit einer vorherigen Einverständniserklärung verlangt </w:t>
      </w:r>
      <w:r w:rsidR="001D0D74">
        <w:rPr>
          <w:lang w:val="de-AT"/>
        </w:rPr>
        <w:fldChar w:fldCharType="begin"/>
      </w:r>
      <w:r w:rsidR="001D0D74">
        <w:rPr>
          <w:lang w:val="de-AT"/>
        </w:rPr>
        <w:instrText xml:space="preserve"> ADDIN EN.CITE &lt;EndNote&gt;&lt;Cite&gt;&lt;Author&gt;Europarat&lt;/Author&gt;&lt;Year&gt;2009&lt;/Year&gt;&lt;IDText&gt;Richtlinie 2009/136/EG des Europäischen Parlaments und des Rates vom 25. November 2009 zur Änderung der Richtlinie 2002/22/EG über den Universaldienst und Nutzerrechte bei elektronischen Kommunikationsnetzen und -diensten, der Richtlinie 2002/58/EG über die Verarbeitung personenbezogener Daten und den Schutz der Privatsphäre in der elektronischen Kommunikation und der Verordnung (EG) Nr. 2006/2004 über die Zusammenarbeit im Verbraucherschutz (Text von Bedeutung für den EWR)&lt;/IDText&gt;&lt;Pages&gt;20&lt;/Pages&gt;&lt;DisplayText&gt;(Europarat &amp;amp; Europäisches Parlament, 2009, S. 20)&lt;/DisplayText&gt;&lt;record&gt;&lt;urls&gt;&lt;related-urls&gt;&lt;url&gt;https://eur-lex.europa.eu/legal-content/DE/TXT/PDF/?uri=CELEX:32009L0136&amp;amp;from=DE&lt;/url&gt;&lt;/related-urls&gt;&lt;/urls&gt;&lt;titles&gt;&lt;title&gt;Richtlinie 2009/136/EG des Europäischen Parlaments und des Rates vom 25. November 2009 zur Änderung der Richtlinie 2002/22/EG über den Universaldienst und Nutzerrechte bei elektronischen Kommunikationsnetzen und -diensten, der Richtlinie 2002/58/EG über die Verarbeitung personenbezogener Daten und den Schutz der Privatsphäre in der elektronischen Kommunikation und der Verordnung (EG) Nr. 2006/2004 über die Zusammenarbeit im Verbraucherschutz (Text von Bedeutung für den EWR)&lt;/title&gt;&lt;/titles&gt;&lt;pages&gt;11-36&lt;/pages&gt;&lt;contributors&gt;&lt;authors&gt;&lt;author&gt;Europarat&lt;/author&gt;&lt;author&gt;Europäisches Parlament,&lt;/author&gt;&lt;/authors&gt;&lt;/contributors&gt;&lt;added-date format="utc"&gt;1560168056&lt;/added-date&gt;&lt;ref-type name="Legal Rule or Regulation"&gt;50&lt;/ref-type&gt;&lt;dates&gt;&lt;year&gt;2009&lt;/year&gt;&lt;/dates&gt;&lt;rec-number&gt;79&lt;/rec-number&gt;&lt;last-updated-date format="utc"&gt;1560168430&lt;/last-updated-date&gt;&lt;/record&gt;&lt;/Cite&gt;&lt;/EndNote&gt;</w:instrText>
      </w:r>
      <w:r w:rsidR="001D0D74">
        <w:rPr>
          <w:lang w:val="de-AT"/>
        </w:rPr>
        <w:fldChar w:fldCharType="separate"/>
      </w:r>
      <w:r w:rsidR="001D0D74">
        <w:rPr>
          <w:noProof/>
          <w:lang w:val="de-AT"/>
        </w:rPr>
        <w:t>(Europarat &amp; Europäisches Parlament, 2009, S. 20)</w:t>
      </w:r>
      <w:r w:rsidR="001D0D74">
        <w:rPr>
          <w:lang w:val="de-AT"/>
        </w:rPr>
        <w:fldChar w:fldCharType="end"/>
      </w:r>
      <w:r w:rsidR="00D721CA">
        <w:rPr>
          <w:lang w:val="de-AT"/>
        </w:rPr>
        <w:t>.</w:t>
      </w:r>
    </w:p>
    <w:p w14:paraId="30CD7525" w14:textId="73670329" w:rsidR="00174E84" w:rsidRDefault="001D0D74" w:rsidP="00B57C1B">
      <w:pPr>
        <w:rPr>
          <w:lang w:val="de-AT"/>
        </w:rPr>
      </w:pPr>
      <w:r>
        <w:rPr>
          <w:lang w:val="de-AT"/>
        </w:rPr>
        <w:t xml:space="preserve">Richtlinie 2002/58/EG trat in Österreich mit 19. August 2003 in mit dem Telekommunikationsgesetz Kraft </w:t>
      </w:r>
      <w:r>
        <w:rPr>
          <w:lang w:val="de-AT"/>
        </w:rPr>
        <w:fldChar w:fldCharType="begin"/>
      </w:r>
      <w:r>
        <w:rPr>
          <w:lang w:val="de-AT"/>
        </w:rPr>
        <w:instrText xml:space="preserve"> ADDIN EN.CITE &lt;EndNote&gt;&lt;Cite&gt;&lt;Author&gt;Österreich&lt;/Author&gt;&lt;Year&gt;2003&lt;/Year&gt;&lt;IDText&gt;70. Bundesgesetz: Erlassung eines Telekommunikationsgesetzes und Änderung des Bundesgesetzes&lt;/IDText&gt;&lt;DisplayText&gt;(Österreich, 2003)&lt;/DisplayText&gt;&lt;record&gt;&lt;urls&gt;&lt;related-urls&gt;&lt;url&gt;https://www.ris.bka.gv.at/Dokumente/BgblPdf/2003_70_1/2003_70_1.pdf&lt;/url&gt;&lt;/related-urls&gt;&lt;/urls&gt;&lt;titles&gt;&lt;title&gt;70. Bundesgesetz: Erlassung eines Telekommunikationsgesetzes und Änderung des Bundesgesetzes&amp;#xA;über die Verkehrs-Arbeitsinspektion und des KommAustria-Gesetzes&lt;/title&gt;&lt;/titles&gt;&lt;contributors&gt;&lt;authors&gt;&lt;author&gt;Österreich&lt;/author&gt;&lt;/authors&gt;&lt;/contributors&gt;&lt;added-date format="utc"&gt;1560168572&lt;/added-date&gt;&lt;pub-location&gt;Bundesgesetzblatt für die Republik Österreich&lt;/pub-location&gt;&lt;ref-type name="Legal Rule or Regulation"&gt;50&lt;/ref-type&gt;&lt;dates&gt;&lt;year&gt;2003&lt;/year&gt;&lt;/dates&gt;&lt;rec-number&gt;80&lt;/rec-number&gt;&lt;last-updated-date format="utc"&gt;1560168652&lt;/last-updated-date&gt;&lt;/record&gt;&lt;/Cite&gt;&lt;/EndNote&gt;</w:instrText>
      </w:r>
      <w:r>
        <w:rPr>
          <w:lang w:val="de-AT"/>
        </w:rPr>
        <w:fldChar w:fldCharType="separate"/>
      </w:r>
      <w:r>
        <w:rPr>
          <w:noProof/>
          <w:lang w:val="de-AT"/>
        </w:rPr>
        <w:t>(Österreich, 2003)</w:t>
      </w:r>
      <w:r>
        <w:rPr>
          <w:lang w:val="de-AT"/>
        </w:rPr>
        <w:fldChar w:fldCharType="end"/>
      </w:r>
      <w:r>
        <w:rPr>
          <w:lang w:val="de-AT"/>
        </w:rPr>
        <w:t xml:space="preserve">. Sie soll durch die „ePrivacy-Verordnung“ </w:t>
      </w:r>
      <w:r w:rsidR="00AB4218">
        <w:rPr>
          <w:lang w:val="de-AT"/>
        </w:rPr>
        <w:t xml:space="preserve">ersetzt werden, die momentan nicht vor 2020 erwartet wird </w:t>
      </w:r>
      <w:r w:rsidR="00AB4218">
        <w:rPr>
          <w:lang w:val="de-AT"/>
        </w:rPr>
        <w:fldChar w:fldCharType="begin"/>
      </w:r>
      <w:r w:rsidR="00AB4218">
        <w:rPr>
          <w:lang w:val="de-AT"/>
        </w:rPr>
        <w:instrText xml:space="preserve"> ADDIN EN.CITE &lt;EndNote&gt;&lt;Cite ExcludeAuth="1"&gt;&lt;Author&gt;BVDW&lt;/Author&gt;&lt;Year&gt;2019&lt;/Year&gt;&lt;IDText&gt;Aktuelle Informationen zur ePrivay-Verordnung&lt;/IDText&gt;&lt;Prefix&gt;Bundesverband Digitale Wirtschaft &lt;/Prefix&gt;&lt;DisplayText&gt;(Bundesverband Digitale Wirtschaft 2019)&lt;/DisplayText&gt;&lt;record&gt;&lt;urls&gt;&lt;related-urls&gt;&lt;url&gt;https://www.bvdw.org/themen/recht/kommunikationsrecht-eprivacy/&lt;/url&gt;&lt;/related-urls&gt;&lt;/urls&gt;&lt;titles&gt;&lt;title&gt;Aktuelle Informationen zur ePrivay-Verordnung&lt;/title&gt;&lt;/titles&gt;&lt;access-date&gt;23.05.2019&lt;/access-date&gt;&lt;contributors&gt;&lt;authors&gt;&lt;author&gt;BVDW,  Bundesverband Digitale Wirtschaft e.V.&lt;/author&gt;&lt;/authors&gt;&lt;/contributors&gt;&lt;added-date format="utc"&gt;1560168832&lt;/added-date&gt;&lt;ref-type name="Generic"&gt;13&lt;/ref-type&gt;&lt;dates&gt;&lt;year&gt;2019&lt;/year&gt;&lt;/dates&gt;&lt;rec-number&gt;81&lt;/rec-number&gt;&lt;last-updated-date format="utc"&gt;1560168915&lt;/last-updated-date&gt;&lt;/record&gt;&lt;/Cite&gt;&lt;/EndNote&gt;</w:instrText>
      </w:r>
      <w:r w:rsidR="00AB4218">
        <w:rPr>
          <w:lang w:val="de-AT"/>
        </w:rPr>
        <w:fldChar w:fldCharType="separate"/>
      </w:r>
      <w:r w:rsidR="00AB4218">
        <w:rPr>
          <w:noProof/>
          <w:lang w:val="de-AT"/>
        </w:rPr>
        <w:t>(Bundesverband Digitale Wirtschaft 2019)</w:t>
      </w:r>
      <w:r w:rsidR="00AB4218">
        <w:rPr>
          <w:lang w:val="de-AT"/>
        </w:rPr>
        <w:fldChar w:fldCharType="end"/>
      </w:r>
      <w:r w:rsidR="00AB4218">
        <w:rPr>
          <w:lang w:val="de-AT"/>
        </w:rPr>
        <w:t>.</w:t>
      </w:r>
    </w:p>
    <w:p w14:paraId="0695C6D4" w14:textId="77777777" w:rsidR="007D3B83" w:rsidRPr="00671CF8" w:rsidRDefault="007D3B83" w:rsidP="007D3B83">
      <w:pPr>
        <w:pStyle w:val="berschrift2"/>
      </w:pPr>
      <w:bookmarkStart w:id="21" w:name="_Toc11865316"/>
      <w:r w:rsidRPr="00D721CA">
        <w:lastRenderedPageBreak/>
        <w:t>General Data Protecti</w:t>
      </w:r>
      <w:r w:rsidRPr="00671CF8">
        <w:t>on Regulation – GDPR/DSGVO</w:t>
      </w:r>
      <w:bookmarkEnd w:id="21"/>
    </w:p>
    <w:p w14:paraId="173AAA1C" w14:textId="235E7EA7" w:rsidR="000A523E" w:rsidRDefault="00745CCF" w:rsidP="00B57C1B">
      <w:pPr>
        <w:rPr>
          <w:lang w:val="de-AT"/>
        </w:rPr>
      </w:pPr>
      <w:r w:rsidRPr="00745CCF">
        <w:rPr>
          <w:lang w:val="de-AT"/>
        </w:rPr>
        <w:t>Nachdem Richtlinie 95/46/EG</w:t>
      </w:r>
      <w:r>
        <w:rPr>
          <w:lang w:val="de-AT"/>
        </w:rPr>
        <w:t xml:space="preserve"> einige Zeit in Kraft war, stellte sich die Frage, ob durch die Verringerung </w:t>
      </w:r>
      <w:r w:rsidR="008F1A2A">
        <w:rPr>
          <w:lang w:val="de-AT"/>
        </w:rPr>
        <w:t xml:space="preserve">technologischer, geographischer und gesellschaftlicher </w:t>
      </w:r>
      <w:r>
        <w:rPr>
          <w:lang w:val="de-AT"/>
        </w:rPr>
        <w:t>Grenzen</w:t>
      </w:r>
      <w:r w:rsidR="008F1A2A">
        <w:rPr>
          <w:lang w:val="de-AT"/>
        </w:rPr>
        <w:t>,</w:t>
      </w:r>
      <w:r>
        <w:rPr>
          <w:lang w:val="de-AT"/>
        </w:rPr>
        <w:t xml:space="preserve"> </w:t>
      </w:r>
      <w:r w:rsidR="008F1A2A">
        <w:rPr>
          <w:lang w:val="de-AT"/>
        </w:rPr>
        <w:t>sowie</w:t>
      </w:r>
      <w:r>
        <w:rPr>
          <w:lang w:val="de-AT"/>
        </w:rPr>
        <w:t xml:space="preserve"> </w:t>
      </w:r>
      <w:r w:rsidR="008F1A2A">
        <w:rPr>
          <w:lang w:val="de-AT"/>
        </w:rPr>
        <w:t xml:space="preserve">durch </w:t>
      </w:r>
      <w:r>
        <w:rPr>
          <w:lang w:val="de-AT"/>
        </w:rPr>
        <w:t>Steigerung technologischer Möglichkeiten</w:t>
      </w:r>
      <w:r w:rsidR="008F1A2A">
        <w:rPr>
          <w:lang w:val="de-AT"/>
        </w:rPr>
        <w:t xml:space="preserve"> (</w:t>
      </w:r>
      <w:r>
        <w:rPr>
          <w:lang w:val="de-AT"/>
        </w:rPr>
        <w:t>durch Fortschritte im Bereich Internet-Kommunikation</w:t>
      </w:r>
      <w:r w:rsidR="000A523E">
        <w:rPr>
          <w:lang w:val="de-AT"/>
        </w:rPr>
        <w:t xml:space="preserve">, Soziale Netzwerke, mobile Kommunikation </w:t>
      </w:r>
      <w:r w:rsidR="008F1A2A">
        <w:rPr>
          <w:lang w:val="de-AT"/>
        </w:rPr>
        <w:t>und niedrigere Kosten für Datenverkehr) eine Adaptionsnotwendigkeit geltender datenschutzrechtlicher Schutzmechanismen gegeben war.</w:t>
      </w:r>
      <w:r w:rsidR="000A5EB4">
        <w:rPr>
          <w:lang w:val="de-AT"/>
        </w:rPr>
        <w:t xml:space="preserve"> Zur Eruierung von Handlungsnotwendigkeiten und -möglichkeiten </w:t>
      </w:r>
      <w:r w:rsidR="00945C3C">
        <w:rPr>
          <w:lang w:val="de-AT"/>
        </w:rPr>
        <w:t>sandte die Europäische Kommission im November 2010 eine Mitteilung an den Europäischen Datenschutzbeauftragten (EDSB)</w:t>
      </w:r>
      <w:r w:rsidR="005A22B3">
        <w:rPr>
          <w:lang w:val="de-AT"/>
        </w:rPr>
        <w:t xml:space="preserve"> </w:t>
      </w:r>
      <w:r w:rsidR="00945C3C">
        <w:rPr>
          <w:lang w:val="de-AT"/>
        </w:rPr>
        <w:t>mit der Bitte um eine Stellungnahme zur Erarbeitung eines Gesamtkonzepts für europäischen Datenschutz</w:t>
      </w:r>
      <w:r w:rsidR="005A22B3">
        <w:rPr>
          <w:lang w:val="de-AT"/>
        </w:rPr>
        <w:t xml:space="preserve"> </w:t>
      </w:r>
      <w:r w:rsidR="005A22B3">
        <w:rPr>
          <w:lang w:val="de-AT"/>
        </w:rPr>
        <w:fldChar w:fldCharType="begin"/>
      </w:r>
      <w:r w:rsidR="005A22B3">
        <w:rPr>
          <w:lang w:val="de-AT"/>
        </w:rPr>
        <w:instrText xml:space="preserve"> ADDIN EN.CITE &lt;EndNote&gt;&lt;Cite ExcludeAuth="1"&gt;&lt;Author&gt;EDSB&lt;/Author&gt;&lt;Year&gt;2011&lt;/Year&gt;&lt;IDText&gt;Stellungnahme des Europäischen Datenschutzbeauftragten zur Mitteilung der Kommission an das&lt;/IDText&gt;&lt;Prefix&gt;Europäischer Datenschutzbeauftragter &lt;/Prefix&gt;&lt;DisplayText&gt;(Europäischer Datenschutzbeauftragter 2011)&lt;/DisplayText&gt;&lt;record&gt;&lt;titles&gt;&lt;title&gt;Stellungnahme des Europäischen Datenschutzbeauftragten zur Mitteilung der Kommission an das&amp;#xA;Europäische Parlament, den Rat, den Europäischen Wirtschafts- und Sozialausschuss und den&amp;#xA;Ausschuss der Regionen — „Gesamtkonzept für den Datenschutz in der Europäischen Union“&lt;/title&gt;&lt;/titles&gt;&lt;contributors&gt;&lt;authors&gt;&lt;author&gt;EDSB, Europäischer Datenschutzbeauftragter&lt;/author&gt;&lt;/authors&gt;&lt;/contributors&gt;&lt;added-date format="utc"&gt;1560531047&lt;/added-date&gt;&lt;ref-type name="Generic"&gt;13&lt;/ref-type&gt;&lt;dates&gt;&lt;year&gt;2011&lt;/year&gt;&lt;/dates&gt;&lt;rec-number&gt;96&lt;/rec-number&gt;&lt;last-updated-date format="utc"&gt;1560531099&lt;/last-updated-date&gt;&lt;/record&gt;&lt;/Cite&gt;&lt;/EndNote&gt;</w:instrText>
      </w:r>
      <w:r w:rsidR="005A22B3">
        <w:rPr>
          <w:lang w:val="de-AT"/>
        </w:rPr>
        <w:fldChar w:fldCharType="separate"/>
      </w:r>
      <w:r w:rsidR="005A22B3">
        <w:rPr>
          <w:noProof/>
          <w:lang w:val="de-AT"/>
        </w:rPr>
        <w:t>(Europäischer Datenschutzbeauftragter 2011)</w:t>
      </w:r>
      <w:r w:rsidR="005A22B3">
        <w:rPr>
          <w:lang w:val="de-AT"/>
        </w:rPr>
        <w:fldChar w:fldCharType="end"/>
      </w:r>
      <w:r w:rsidR="00945C3C">
        <w:rPr>
          <w:lang w:val="de-AT"/>
        </w:rPr>
        <w:t>.</w:t>
      </w:r>
      <w:r w:rsidR="005A22B3">
        <w:rPr>
          <w:lang w:val="de-AT"/>
        </w:rPr>
        <w:t xml:space="preserve"> In der Stellungnahme des EDSB </w:t>
      </w:r>
      <w:r w:rsidR="000A523E">
        <w:rPr>
          <w:lang w:val="de-AT"/>
        </w:rPr>
        <w:t>ausgeführt</w:t>
      </w:r>
      <w:r w:rsidR="008A3F64">
        <w:rPr>
          <w:lang w:val="de-AT"/>
        </w:rPr>
        <w:t xml:space="preserve"> sind mehrere Gründe</w:t>
      </w:r>
      <w:r w:rsidR="000A523E">
        <w:rPr>
          <w:lang w:val="de-AT"/>
        </w:rPr>
        <w:t xml:space="preserve">, die eine Erarbeitung neuer Rechtsvorschriften forderten. Der EDSB </w:t>
      </w:r>
      <w:r w:rsidR="000A523E">
        <w:rPr>
          <w:lang w:val="de-AT"/>
        </w:rPr>
        <w:fldChar w:fldCharType="begin"/>
      </w:r>
      <w:r w:rsidR="000A523E">
        <w:rPr>
          <w:lang w:val="de-AT"/>
        </w:rPr>
        <w:instrText xml:space="preserve"> ADDIN EN.CITE &lt;EndNote&gt;&lt;Cite ExcludeAuth="1"&gt;&lt;Author&gt;EDSB&lt;/Author&gt;&lt;Year&gt;2011&lt;/Year&gt;&lt;IDText&gt;Stellungnahme des Europäischen Datenschutzbeauftragten zur Mitteilung der Kommission an das&lt;/IDText&gt;&lt;DisplayText&gt;(2011)&lt;/DisplayText&gt;&lt;record&gt;&lt;titles&gt;&lt;title&gt;Stellungnahme des Europäischen Datenschutzbeauftragten zur Mitteilung der Kommission an das&amp;#xA;Europäische Parlament, den Rat, den Europäischen Wirtschafts- und Sozialausschuss und den&amp;#xA;Ausschuss der Regionen — „Gesamtkonzept für den Datenschutz in der Europäischen Union“&lt;/title&gt;&lt;/titles&gt;&lt;contributors&gt;&lt;authors&gt;&lt;author&gt;EDSB, Europäischer Datenschutzbeauftragter&lt;/author&gt;&lt;/authors&gt;&lt;/contributors&gt;&lt;added-date format="utc"&gt;1560531047&lt;/added-date&gt;&lt;ref-type name="Generic"&gt;13&lt;/ref-type&gt;&lt;dates&gt;&lt;year&gt;2011&lt;/year&gt;&lt;/dates&gt;&lt;rec-number&gt;96&lt;/rec-number&gt;&lt;last-updated-date format="utc"&gt;1560531099&lt;/last-updated-date&gt;&lt;/record&gt;&lt;/Cite&gt;&lt;/EndNote&gt;</w:instrText>
      </w:r>
      <w:r w:rsidR="000A523E">
        <w:rPr>
          <w:lang w:val="de-AT"/>
        </w:rPr>
        <w:fldChar w:fldCharType="separate"/>
      </w:r>
      <w:r w:rsidR="000A523E">
        <w:rPr>
          <w:noProof/>
          <w:lang w:val="de-AT"/>
        </w:rPr>
        <w:t>(2011)</w:t>
      </w:r>
      <w:r w:rsidR="000A523E">
        <w:rPr>
          <w:lang w:val="de-AT"/>
        </w:rPr>
        <w:fldChar w:fldCharType="end"/>
      </w:r>
      <w:r w:rsidR="000A523E">
        <w:rPr>
          <w:lang w:val="de-AT"/>
        </w:rPr>
        <w:t xml:space="preserve"> nannte dabei:</w:t>
      </w:r>
    </w:p>
    <w:p w14:paraId="0FF53171" w14:textId="77777777" w:rsidR="000A523E" w:rsidRDefault="000A523E" w:rsidP="000A523E">
      <w:pPr>
        <w:pStyle w:val="Listenabsatz"/>
        <w:numPr>
          <w:ilvl w:val="0"/>
          <w:numId w:val="28"/>
        </w:numPr>
        <w:rPr>
          <w:lang w:val="de-AT"/>
        </w:rPr>
      </w:pPr>
      <w:r>
        <w:rPr>
          <w:lang w:val="de-AT"/>
        </w:rPr>
        <w:t>Technologische Faktoren (</w:t>
      </w:r>
      <w:r w:rsidRPr="000A523E">
        <w:rPr>
          <w:lang w:val="de-AT"/>
        </w:rPr>
        <w:t>Cloud Computing und Internet</w:t>
      </w:r>
      <w:r>
        <w:rPr>
          <w:lang w:val="de-AT"/>
        </w:rPr>
        <w:t>)</w:t>
      </w:r>
      <w:r w:rsidRPr="000A523E">
        <w:rPr>
          <w:lang w:val="de-AT"/>
        </w:rPr>
        <w:t xml:space="preserve"> </w:t>
      </w:r>
    </w:p>
    <w:p w14:paraId="3AF96C1D" w14:textId="06694224" w:rsidR="00B57C1B" w:rsidRDefault="000A523E" w:rsidP="000A523E">
      <w:pPr>
        <w:pStyle w:val="Listenabsatz"/>
        <w:numPr>
          <w:ilvl w:val="0"/>
          <w:numId w:val="28"/>
        </w:numPr>
        <w:rPr>
          <w:lang w:val="de-AT"/>
        </w:rPr>
      </w:pPr>
      <w:r w:rsidRPr="000A523E">
        <w:rPr>
          <w:lang w:val="de-AT"/>
        </w:rPr>
        <w:t>Globalisierung</w:t>
      </w:r>
      <w:r w:rsidR="005511FA">
        <w:rPr>
          <w:lang w:val="de-AT"/>
        </w:rPr>
        <w:t xml:space="preserve">, </w:t>
      </w:r>
      <w:r>
        <w:rPr>
          <w:lang w:val="de-AT"/>
        </w:rPr>
        <w:t>die allmähliche Ab</w:t>
      </w:r>
      <w:r w:rsidR="005511FA">
        <w:rPr>
          <w:lang w:val="de-AT"/>
        </w:rPr>
        <w:t>schaffung von Handelsgrenzen und weltumspannende Konzerne</w:t>
      </w:r>
    </w:p>
    <w:p w14:paraId="3B37EF0F" w14:textId="0545911C" w:rsidR="006B7AC2" w:rsidRDefault="005511FA" w:rsidP="006B7AC2">
      <w:pPr>
        <w:pStyle w:val="Listenabsatz"/>
        <w:numPr>
          <w:ilvl w:val="0"/>
          <w:numId w:val="28"/>
        </w:numPr>
        <w:rPr>
          <w:lang w:val="de-AT"/>
        </w:rPr>
      </w:pPr>
      <w:r>
        <w:rPr>
          <w:lang w:val="de-AT"/>
        </w:rPr>
        <w:t>Das Inkrafttreten des Vertrags von Lissabon</w:t>
      </w:r>
      <w:r w:rsidR="008A3F64">
        <w:rPr>
          <w:lang w:val="de-AT"/>
        </w:rPr>
        <w:t xml:space="preserve"> und Artikel 16 des Vertrags über die Arbeitsweise der Europäischen Union (AEUV)</w:t>
      </w:r>
    </w:p>
    <w:p w14:paraId="24A0B744" w14:textId="77777777" w:rsidR="00BA15B9" w:rsidRDefault="006B7AC2" w:rsidP="006B7AC2">
      <w:pPr>
        <w:rPr>
          <w:lang w:val="de-AT"/>
        </w:rPr>
      </w:pPr>
      <w:r>
        <w:rPr>
          <w:lang w:val="de-AT"/>
        </w:rPr>
        <w:t>Im Jahr 2012 wurde ein erster Entwurf der Datenschutzreform durch die Europäische Kommission vorgestellt</w:t>
      </w:r>
      <w:r w:rsidR="00BA15B9">
        <w:rPr>
          <w:lang w:val="de-AT"/>
        </w:rPr>
        <w:t xml:space="preserve">, der in vielen Punkten angenommen, aber in einigen Verworfen und kritisiert worden war. So sah Artikel 26 Abs 2 der Verordnung eine Ausnahme der Verordnung für Unternehmen unter 250 Mitarbeitern vor </w:t>
      </w:r>
      <w:r w:rsidR="00BA15B9">
        <w:rPr>
          <w:lang w:val="de-AT"/>
        </w:rPr>
        <w:fldChar w:fldCharType="begin"/>
      </w:r>
      <w:r w:rsidR="00BA15B9">
        <w:rPr>
          <w:lang w:val="de-AT"/>
        </w:rPr>
        <w:instrText xml:space="preserve"> ADDIN EN.CITE &lt;EndNote&gt;&lt;Cite&gt;&lt;Author&gt;Europäische Kommission&lt;/Author&gt;&lt;Year&gt;2012&lt;/Year&gt;&lt;IDText&gt;2012/0011 (COD) Vorschlag für Verordnung des Europäischen Parlaments und des Rates zum Schutz natürlicher Personen bei der Verarbeitung personenbezogener Daten und zum freien Datenverkehr (Datenschutz-Grundverordnung)&lt;/IDText&gt;&lt;DisplayText&gt;(Europäische Kommission, 2012)&lt;/DisplayText&gt;&lt;record&gt;&lt;urls&gt;&lt;related-urls&gt;&lt;url&gt;https://eur-lex.europa.eu/LexUriServ/LexUriServ.do?uri=COM:2012:0011:FIN:DE:PDF&lt;/url&gt;&lt;/related-urls&gt;&lt;/urls&gt;&lt;titles&gt;&lt;title&gt;2012/0011 (COD) Vorschlag für Verordnung des Europäischen Parlaments und des Rates zum Schutz natürlicher Personen bei der Verarbeitung personenbezogener Daten und zum freien Datenverkehr (Datenschutz-Grundverordnung)&lt;/title&gt;&lt;/titles&gt;&lt;contributors&gt;&lt;authors&gt;&lt;author&gt;Europäische Kommission,&lt;/author&gt;&lt;/authors&gt;&lt;/contributors&gt;&lt;added-date format="utc"&gt;1560588887&lt;/added-date&gt;&lt;ref-type name="Generic"&gt;13&lt;/ref-type&gt;&lt;dates&gt;&lt;year&gt;2012&lt;/year&gt;&lt;/dates&gt;&lt;rec-number&gt;97&lt;/rec-number&gt;&lt;last-updated-date format="utc"&gt;1560589739&lt;/last-updated-date&gt;&lt;/record&gt;&lt;/Cite&gt;&lt;/EndNote&gt;</w:instrText>
      </w:r>
      <w:r w:rsidR="00BA15B9">
        <w:rPr>
          <w:lang w:val="de-AT"/>
        </w:rPr>
        <w:fldChar w:fldCharType="separate"/>
      </w:r>
      <w:r w:rsidR="00BA15B9">
        <w:rPr>
          <w:noProof/>
          <w:lang w:val="de-AT"/>
        </w:rPr>
        <w:t>(Europäische Kommission, 2012)</w:t>
      </w:r>
      <w:r w:rsidR="00BA15B9">
        <w:rPr>
          <w:lang w:val="de-AT"/>
        </w:rPr>
        <w:fldChar w:fldCharType="end"/>
      </w:r>
      <w:r w:rsidR="00BA15B9">
        <w:rPr>
          <w:lang w:val="de-AT"/>
        </w:rPr>
        <w:t>.</w:t>
      </w:r>
    </w:p>
    <w:p w14:paraId="58DC8C47" w14:textId="0140DDAA" w:rsidR="006B7AC2" w:rsidRDefault="00A80D9A" w:rsidP="006B7AC2">
      <w:pPr>
        <w:rPr>
          <w:lang w:val="de-AT"/>
        </w:rPr>
      </w:pPr>
      <w:r>
        <w:rPr>
          <w:lang w:val="de-AT"/>
        </w:rPr>
        <w:t xml:space="preserve">Die Verordnung wurde nach dem Erstentwurf mehrmals abgeändert </w:t>
      </w:r>
      <w:r w:rsidR="007F2349">
        <w:rPr>
          <w:lang w:val="de-AT"/>
        </w:rPr>
        <w:t xml:space="preserve">und schließlich 2016 durch das Europäische Parlament verabschiedet </w:t>
      </w:r>
      <w:r w:rsidR="007F2349">
        <w:rPr>
          <w:lang w:val="de-AT"/>
        </w:rPr>
        <w:fldChar w:fldCharType="begin"/>
      </w:r>
      <w:r w:rsidR="007F2349">
        <w:rPr>
          <w:lang w:val="de-AT"/>
        </w:rPr>
        <w:instrText xml:space="preserve"> ADDIN EN.CITE &lt;EndNote&gt;&lt;Cite&gt;&lt;Author&gt;Europäisches Parlament&lt;/Author&gt;&lt;Year&gt;2016&lt;/Year&gt;&lt;IDText&gt;Parlament verabschiedet EU-Datenschutzreform – EU fit fürs digitale Zeitalter [Pressemeldung]&lt;/IDText&gt;&lt;DisplayText&gt;(Europäisches Parlament, 2016)&lt;/DisplayText&gt;&lt;record&gt;&lt;dates&gt;&lt;pub-dates&gt;&lt;date&gt;14.4.2016&lt;/date&gt;&lt;/pub-dates&gt;&lt;year&gt;2016&lt;/year&gt;&lt;/dates&gt;&lt;urls&gt;&lt;related-urls&gt;&lt;url&gt;http://www.europarl.europa.eu/news/de/press-room/20160407IPR21776/parlament-verabschiedet-eu-datenschutzreform-eu-fit-furs-digitale-zeitalter&lt;/url&gt;&lt;/related-urls&gt;&lt;/urls&gt;&lt;titles&gt;&lt;title&gt;Parlament verabschiedet EU-Datenschutzreform – EU fit fürs digitale Zeitalter [Pressemeldung]&lt;/title&gt;&lt;/titles&gt;&lt;access-date&gt;11.5.2019&lt;/access-date&gt;&lt;contributors&gt;&lt;authors&gt;&lt;author&gt;Europäisches Parlament,&lt;/author&gt;&lt;/authors&gt;&lt;/contributors&gt;&lt;added-date format="utc"&gt;1560594347&lt;/added-date&gt;&lt;ref-type name="Press Release"&gt;63&lt;/ref-type&gt;&lt;rec-number&gt;98&lt;/rec-number&gt;&lt;last-updated-date format="utc"&gt;1560594500&lt;/last-updated-date&gt;&lt;/record&gt;&lt;/Cite&gt;&lt;/EndNote&gt;</w:instrText>
      </w:r>
      <w:r w:rsidR="007F2349">
        <w:rPr>
          <w:lang w:val="de-AT"/>
        </w:rPr>
        <w:fldChar w:fldCharType="separate"/>
      </w:r>
      <w:r w:rsidR="007F2349">
        <w:rPr>
          <w:noProof/>
          <w:lang w:val="de-AT"/>
        </w:rPr>
        <w:t>(Europäisches Parlament, 2016)</w:t>
      </w:r>
      <w:r w:rsidR="007F2349">
        <w:rPr>
          <w:lang w:val="de-AT"/>
        </w:rPr>
        <w:fldChar w:fldCharType="end"/>
      </w:r>
      <w:r w:rsidR="007F2349">
        <w:rPr>
          <w:lang w:val="de-AT"/>
        </w:rPr>
        <w:t>.</w:t>
      </w:r>
    </w:p>
    <w:p w14:paraId="30846321" w14:textId="265BD86D" w:rsidR="00092DAF" w:rsidRDefault="00092DAF" w:rsidP="006B7AC2">
      <w:pPr>
        <w:rPr>
          <w:lang w:val="de-AT"/>
        </w:rPr>
      </w:pPr>
      <w:r>
        <w:rPr>
          <w:lang w:val="de-AT"/>
        </w:rPr>
        <w:t xml:space="preserve">Die wichtigsten Änderungen sind laut dem Europäischen Parlament </w:t>
      </w:r>
      <w:r>
        <w:rPr>
          <w:lang w:val="de-AT"/>
        </w:rPr>
        <w:fldChar w:fldCharType="begin"/>
      </w:r>
      <w:r>
        <w:rPr>
          <w:lang w:val="de-AT"/>
        </w:rPr>
        <w:instrText xml:space="preserve"> ADDIN EN.CITE &lt;EndNote&gt;&lt;Cite ExcludeAuth="1"&gt;&lt;Author&gt;Europäisches Parlament&lt;/Author&gt;&lt;Year&gt;2016&lt;/Year&gt;&lt;IDText&gt;Parlament verabschiedet EU-Datenschutzreform – EU fit fürs digitale Zeitalter [Pressemeldung]&lt;/IDText&gt;&lt;DisplayText&gt;(2016)&lt;/DisplayText&gt;&lt;record&gt;&lt;dates&gt;&lt;pub-dates&gt;&lt;date&gt;14.4.2016&lt;/date&gt;&lt;/pub-dates&gt;&lt;year&gt;2016&lt;/year&gt;&lt;/dates&gt;&lt;urls&gt;&lt;related-urls&gt;&lt;url&gt;http://www.europarl.europa.eu/news/de/press-room/20160407IPR21776/parlament-verabschiedet-eu-datenschutzreform-eu-fit-furs-digitale-zeitalter&lt;/url&gt;&lt;/related-urls&gt;&lt;/urls&gt;&lt;titles&gt;&lt;title&gt;Parlament verabschiedet EU-Datenschutzreform – EU fit fürs digitale Zeitalter [Pressemeldung]&lt;/title&gt;&lt;/titles&gt;&lt;access-date&gt;11.5.2019&lt;/access-date&gt;&lt;contributors&gt;&lt;authors&gt;&lt;author&gt;Europäisches Parlament,&lt;/author&gt;&lt;/authors&gt;&lt;/contributors&gt;&lt;added-date format="utc"&gt;1560594347&lt;/added-date&gt;&lt;ref-type name="Press Release"&gt;63&lt;/ref-type&gt;&lt;rec-number&gt;98&lt;/rec-number&gt;&lt;last-updated-date format="utc"&gt;1560594500&lt;/last-updated-date&gt;&lt;/record&gt;&lt;/Cite&gt;&lt;/EndNote&gt;</w:instrText>
      </w:r>
      <w:r>
        <w:rPr>
          <w:lang w:val="de-AT"/>
        </w:rPr>
        <w:fldChar w:fldCharType="separate"/>
      </w:r>
      <w:r>
        <w:rPr>
          <w:noProof/>
          <w:lang w:val="de-AT"/>
        </w:rPr>
        <w:t>(2016)</w:t>
      </w:r>
      <w:r>
        <w:rPr>
          <w:lang w:val="de-AT"/>
        </w:rPr>
        <w:fldChar w:fldCharType="end"/>
      </w:r>
      <w:r w:rsidR="00A7371D">
        <w:rPr>
          <w:lang w:val="de-AT"/>
        </w:rPr>
        <w:t xml:space="preserve"> unter anderem</w:t>
      </w:r>
      <w:r>
        <w:rPr>
          <w:lang w:val="de-AT"/>
        </w:rPr>
        <w:t>: Ein „Recht auf Vergessenwerden“, eine Verarbeitung personenbezogener Daten nur nach Einwilligung, ein umfassendes Informationsrecht</w:t>
      </w:r>
      <w:r w:rsidR="00A7371D">
        <w:rPr>
          <w:lang w:val="de-AT"/>
        </w:rPr>
        <w:t xml:space="preserve"> für Betroffene</w:t>
      </w:r>
      <w:r>
        <w:rPr>
          <w:lang w:val="de-AT"/>
        </w:rPr>
        <w:t xml:space="preserve"> und wesentlich höhere Strafen </w:t>
      </w:r>
      <w:r w:rsidR="00363496">
        <w:rPr>
          <w:lang w:val="de-AT"/>
        </w:rPr>
        <w:t xml:space="preserve">von </w:t>
      </w:r>
      <w:r>
        <w:rPr>
          <w:lang w:val="de-AT"/>
        </w:rPr>
        <w:t xml:space="preserve">bis zu 4% des weltweiten </w:t>
      </w:r>
      <w:r w:rsidR="00363496">
        <w:rPr>
          <w:lang w:val="de-AT"/>
        </w:rPr>
        <w:t>im Vorjahr erwirtschafteten Umsatzes von verurteilten Unternehmen.</w:t>
      </w:r>
    </w:p>
    <w:p w14:paraId="2C8A9322" w14:textId="7DC62D83" w:rsidR="006F6EF2" w:rsidRDefault="006F6EF2" w:rsidP="006B7AC2">
      <w:pPr>
        <w:rPr>
          <w:lang w:val="de-AT"/>
        </w:rPr>
      </w:pPr>
      <w:r>
        <w:rPr>
          <w:lang w:val="de-AT"/>
        </w:rPr>
        <w:lastRenderedPageBreak/>
        <w:t xml:space="preserve">Die Datenschutzgrundverordnung erntete sowohl </w:t>
      </w:r>
      <w:r w:rsidR="005769A4">
        <w:rPr>
          <w:lang w:val="de-AT"/>
        </w:rPr>
        <w:t>vor</w:t>
      </w:r>
      <w:r>
        <w:rPr>
          <w:lang w:val="de-AT"/>
        </w:rPr>
        <w:t xml:space="preserve"> als auch nach Einführung massive Kritik von Rechtswissenschaft</w:t>
      </w:r>
      <w:r w:rsidR="00252EBC">
        <w:rPr>
          <w:lang w:val="de-AT"/>
        </w:rPr>
        <w:t>l</w:t>
      </w:r>
      <w:r>
        <w:rPr>
          <w:lang w:val="de-AT"/>
        </w:rPr>
        <w:t>erInnen</w:t>
      </w:r>
      <w:r w:rsidR="00813DE2">
        <w:rPr>
          <w:lang w:val="de-AT"/>
        </w:rPr>
        <w:t>, Un</w:t>
      </w:r>
      <w:r w:rsidR="00715D11">
        <w:rPr>
          <w:lang w:val="de-AT"/>
        </w:rPr>
        <w:t>ternehmerInnen und (Wirtschafts-</w:t>
      </w:r>
      <w:r w:rsidR="00813DE2">
        <w:rPr>
          <w:lang w:val="de-AT"/>
        </w:rPr>
        <w:t>)InformatikerInnen. So bemängelte etwa der deutsche Wirtschaftsinformatiker Prof. Dr. Peter Mertens</w:t>
      </w:r>
      <w:r w:rsidR="00BD40D2">
        <w:rPr>
          <w:lang w:val="de-AT"/>
        </w:rPr>
        <w:t xml:space="preserve"> </w:t>
      </w:r>
      <w:r w:rsidR="00BD40D2">
        <w:rPr>
          <w:lang w:val="de-AT"/>
        </w:rPr>
        <w:fldChar w:fldCharType="begin"/>
      </w:r>
      <w:r w:rsidR="00BD40D2">
        <w:rPr>
          <w:lang w:val="de-AT"/>
        </w:rPr>
        <w:instrText xml:space="preserve"> ADDIN EN.CITE &lt;EndNote&gt;&lt;Cite ExcludeAuth="1"&gt;&lt;Author&gt;Mertens&lt;/Author&gt;&lt;Year&gt;2019&lt;/Year&gt;&lt;IDText&gt;Die Datenschutz-Grundverordnung – eine kritische Sicht&lt;/IDText&gt;&lt;DisplayText&gt;(2019)&lt;/DisplayText&gt;&lt;record&gt;&lt;dates&gt;&lt;pub-dates&gt;&lt;date&gt;February 01&lt;/date&gt;&lt;/pub-dates&gt;&lt;year&gt;2019&lt;/year&gt;&lt;/dates&gt;&lt;urls&gt;&lt;related-urls&gt;&lt;url&gt;https://doi.org/10.1365/s35764-019-0159-5&lt;/url&gt;&lt;/related-urls&gt;&lt;/urls&gt;&lt;isbn&gt;1867-5913&lt;/isbn&gt;&lt;work-type&gt;journal article&lt;/work-type&gt;&lt;titles&gt;&lt;title&gt;Die Datenschutz-Grundverordnung – eine kritische Sicht&lt;/title&gt;&lt;secondary-title&gt;Wirtschaftsinformatik &amp;amp; Management&lt;/secondary-title&gt;&lt;/titles&gt;&lt;pages&gt;6-17&lt;/pages&gt;&lt;number&gt;1&lt;/number&gt;&lt;contributors&gt;&lt;authors&gt;&lt;author&gt;Mertens, Peter&lt;/author&gt;&lt;/authors&gt;&lt;/contributors&gt;&lt;added-date format="utc"&gt;1560597909&lt;/added-date&gt;&lt;ref-type name="Journal Article"&gt;17&lt;/ref-type&gt;&lt;rec-number&gt;99&lt;/rec-number&gt;&lt;last-updated-date format="utc"&gt;1560597909&lt;/last-updated-date&gt;&lt;label&gt;Mertens2019&lt;/label&gt;&lt;electronic-resource-num&gt;10.1365/s35764-019-0159-5&lt;/electronic-resource-num&gt;&lt;volume&gt;11&lt;/volume&gt;&lt;/record&gt;&lt;/Cite&gt;&lt;/EndNote&gt;</w:instrText>
      </w:r>
      <w:r w:rsidR="00BD40D2">
        <w:rPr>
          <w:lang w:val="de-AT"/>
        </w:rPr>
        <w:fldChar w:fldCharType="separate"/>
      </w:r>
      <w:r w:rsidR="00BD40D2">
        <w:rPr>
          <w:noProof/>
          <w:lang w:val="de-AT"/>
        </w:rPr>
        <w:t>(2019)</w:t>
      </w:r>
      <w:r w:rsidR="00BD40D2">
        <w:rPr>
          <w:lang w:val="de-AT"/>
        </w:rPr>
        <w:fldChar w:fldCharType="end"/>
      </w:r>
      <w:r w:rsidR="00813DE2">
        <w:rPr>
          <w:lang w:val="de-AT"/>
        </w:rPr>
        <w:t>, dass eine gewisse Rechtsunsicher</w:t>
      </w:r>
      <w:r w:rsidR="005435F3">
        <w:rPr>
          <w:lang w:val="de-AT"/>
        </w:rPr>
        <w:t>heit</w:t>
      </w:r>
      <w:r w:rsidR="00BD40D2">
        <w:rPr>
          <w:lang w:val="de-AT"/>
        </w:rPr>
        <w:t xml:space="preserve">, </w:t>
      </w:r>
      <w:r w:rsidR="005435F3">
        <w:rPr>
          <w:lang w:val="de-AT"/>
        </w:rPr>
        <w:t>Resignation</w:t>
      </w:r>
      <w:r w:rsidR="00BD40D2">
        <w:rPr>
          <w:lang w:val="de-AT"/>
        </w:rPr>
        <w:t xml:space="preserve"> und Ablehnung</w:t>
      </w:r>
      <w:r w:rsidR="005435F3">
        <w:rPr>
          <w:lang w:val="de-AT"/>
        </w:rPr>
        <w:t xml:space="preserve"> durch Unternehmen im Digitalen Umfeld</w:t>
      </w:r>
      <w:r w:rsidR="00BD40D2">
        <w:rPr>
          <w:lang w:val="de-AT"/>
        </w:rPr>
        <w:t xml:space="preserve">; weiter hätten rund 70% der Mitglieder des Bundesverbandes mittelständischer Wirtschaft nach Einführung der DSGVO ihre digitalen Aktivitäten eingeschränkt und es seien zwischen 65% und 90% der Newsletter-Empfänger verloren gegangen. </w:t>
      </w:r>
      <w:r w:rsidR="00A95F79">
        <w:rPr>
          <w:lang w:val="de-AT"/>
        </w:rPr>
        <w:t xml:space="preserve">Auch im Ausschuss „Digitale Agenda“ des deutschen Bundestages wurde Kritik an der Verordnung geübt. Der Rechtswissenschaftler Alexander Roßnagel </w:t>
      </w:r>
      <w:r w:rsidR="00A373F3">
        <w:rPr>
          <w:lang w:val="de-AT"/>
        </w:rPr>
        <w:fldChar w:fldCharType="begin"/>
      </w:r>
      <w:r w:rsidR="00A373F3">
        <w:rPr>
          <w:lang w:val="de-AT"/>
        </w:rPr>
        <w:instrText xml:space="preserve"> ADDIN EN.CITE &lt;EndNote&gt;&lt;Cite ExcludeAuth="1"&gt;&lt;Author&gt;Roßnagel&lt;/Author&gt;&lt;Year&gt;2018&lt;/Year&gt;&lt;IDText&gt;Schriftliche Stellungnahme zum Fachgespräch zur Datenschutz-Grundverordnung am 24. Februar 2016 im Ausschuss Digitale Agenda des&lt;/IDText&gt;&lt;DisplayText&gt;(2018)&lt;/DisplayText&gt;&lt;record&gt;&lt;urls&gt;&lt;related-urls&gt;&lt;url&gt;https://www.bundestag.de/resource/blob/409512/4afc3a566097171a7902374da77cc7ad/a-drs-18-24-94-data.pdf&lt;/url&gt;&lt;/related-urls&gt;&lt;/urls&gt;&lt;titles&gt;&lt;title&gt;Schriftliche Stellungnahme zum Fachgespräch zur Datenschutz-Grundverordnung am 24. Februar 2016 im Ausschuss Digitale Agenda des&amp;#xA;Deutschen Bundestags&lt;/title&gt;&lt;/titles&gt;&lt;access-date&gt;12.5.2019&lt;/access-date&gt;&lt;contributors&gt;&lt;authors&gt;&lt;author&gt;Roßnagel, Alexander&lt;/author&gt;&lt;/authors&gt;&lt;/contributors&gt;&lt;added-date format="utc"&gt;1560598223&lt;/added-date&gt;&lt;ref-type name="Generic"&gt;13&lt;/ref-type&gt;&lt;dates&gt;&lt;year&gt;2018&lt;/year&gt;&lt;/dates&gt;&lt;rec-number&gt;100&lt;/rec-number&gt;&lt;last-updated-date format="utc"&gt;1560598278&lt;/last-updated-date&gt;&lt;/record&gt;&lt;/Cite&gt;&lt;/EndNote&gt;</w:instrText>
      </w:r>
      <w:r w:rsidR="00A373F3">
        <w:rPr>
          <w:lang w:val="de-AT"/>
        </w:rPr>
        <w:fldChar w:fldCharType="separate"/>
      </w:r>
      <w:r w:rsidR="00A373F3">
        <w:rPr>
          <w:noProof/>
          <w:lang w:val="de-AT"/>
        </w:rPr>
        <w:t>(2018)</w:t>
      </w:r>
      <w:r w:rsidR="00A373F3">
        <w:rPr>
          <w:lang w:val="de-AT"/>
        </w:rPr>
        <w:fldChar w:fldCharType="end"/>
      </w:r>
      <w:r w:rsidR="00A373F3">
        <w:rPr>
          <w:lang w:val="de-AT"/>
        </w:rPr>
        <w:t xml:space="preserve"> </w:t>
      </w:r>
      <w:r w:rsidR="00A95F79">
        <w:rPr>
          <w:lang w:val="de-AT"/>
        </w:rPr>
        <w:t>kritisierte die Verordnung insofern, als er einzelnen Verbesserungen viele Verschlechterungen gegenübersah und beispielsweise in Deutschland negative Auswirkungen auf das Datenschutzniveau adressiert</w:t>
      </w:r>
      <w:r w:rsidR="00A373F3">
        <w:rPr>
          <w:lang w:val="de-AT"/>
        </w:rPr>
        <w:t>e</w:t>
      </w:r>
      <w:r w:rsidR="00A95F79">
        <w:rPr>
          <w:lang w:val="de-AT"/>
        </w:rPr>
        <w:t xml:space="preserve">. </w:t>
      </w:r>
      <w:r w:rsidR="00617274">
        <w:rPr>
          <w:lang w:val="de-AT"/>
        </w:rPr>
        <w:t>Roßnagel</w:t>
      </w:r>
      <w:r w:rsidR="00A373F3">
        <w:rPr>
          <w:lang w:val="de-AT"/>
        </w:rPr>
        <w:t xml:space="preserve"> </w:t>
      </w:r>
      <w:r w:rsidR="00A373F3">
        <w:rPr>
          <w:lang w:val="de-AT"/>
        </w:rPr>
        <w:fldChar w:fldCharType="begin"/>
      </w:r>
      <w:r w:rsidR="00A373F3">
        <w:rPr>
          <w:lang w:val="de-AT"/>
        </w:rPr>
        <w:instrText xml:space="preserve"> ADDIN EN.CITE &lt;EndNote&gt;&lt;Cite ExcludeAuth="1"&gt;&lt;Author&gt;Roßnagel&lt;/Author&gt;&lt;Year&gt;2018&lt;/Year&gt;&lt;IDText&gt;Schriftliche Stellungnahme zum Fachgespräch zur Datenschutz-Grundverordnung am 24. Februar 2016 im Ausschuss Digitale Agenda des&lt;/IDText&gt;&lt;DisplayText&gt;(2018)&lt;/DisplayText&gt;&lt;record&gt;&lt;urls&gt;&lt;related-urls&gt;&lt;url&gt;https://www.bundestag.de/resource/blob/409512/4afc3a566097171a7902374da77cc7ad/a-drs-18-24-94-data.pdf&lt;/url&gt;&lt;/related-urls&gt;&lt;/urls&gt;&lt;titles&gt;&lt;title&gt;Schriftliche Stellungnahme zum Fachgespräch zur Datenschutz-Grundverordnung am 24. Februar 2016 im Ausschuss Digitale Agenda des&amp;#xA;Deutschen Bundestags&lt;/title&gt;&lt;/titles&gt;&lt;access-date&gt;12.5.2019&lt;/access-date&gt;&lt;contributors&gt;&lt;authors&gt;&lt;author&gt;Roßnagel, Alexander&lt;/author&gt;&lt;/authors&gt;&lt;/contributors&gt;&lt;added-date format="utc"&gt;1560598223&lt;/added-date&gt;&lt;ref-type name="Generic"&gt;13&lt;/ref-type&gt;&lt;dates&gt;&lt;year&gt;2018&lt;/year&gt;&lt;/dates&gt;&lt;rec-number&gt;100&lt;/rec-number&gt;&lt;last-updated-date format="utc"&gt;1560598278&lt;/last-updated-date&gt;&lt;/record&gt;&lt;/Cite&gt;&lt;/EndNote&gt;</w:instrText>
      </w:r>
      <w:r w:rsidR="00A373F3">
        <w:rPr>
          <w:lang w:val="de-AT"/>
        </w:rPr>
        <w:fldChar w:fldCharType="separate"/>
      </w:r>
      <w:r w:rsidR="00A373F3">
        <w:rPr>
          <w:noProof/>
          <w:lang w:val="de-AT"/>
        </w:rPr>
        <w:t>(2018)</w:t>
      </w:r>
      <w:r w:rsidR="00A373F3">
        <w:rPr>
          <w:lang w:val="de-AT"/>
        </w:rPr>
        <w:fldChar w:fldCharType="end"/>
      </w:r>
      <w:r w:rsidR="00617274">
        <w:rPr>
          <w:lang w:val="de-AT"/>
        </w:rPr>
        <w:t xml:space="preserve"> bemängelte weiterhin, dass die Einführung eines unionsweitem Datenschutzrechtes durch zu lockere Regelungen für Mitgliedsstaaten gescheitert sei.</w:t>
      </w:r>
    </w:p>
    <w:p w14:paraId="26FBA897" w14:textId="77777777" w:rsidR="0058201E" w:rsidRPr="006B7AC2" w:rsidRDefault="0058201E" w:rsidP="006B7AC2">
      <w:pPr>
        <w:rPr>
          <w:lang w:val="de-AT"/>
        </w:rPr>
      </w:pPr>
    </w:p>
    <w:p w14:paraId="00F4119C" w14:textId="38C267F9" w:rsidR="007D3B83" w:rsidRPr="00B57C1B" w:rsidRDefault="007D3B83" w:rsidP="007D3B83">
      <w:pPr>
        <w:pStyle w:val="berschrift2"/>
        <w:rPr>
          <w:lang w:val="de-AT"/>
        </w:rPr>
      </w:pPr>
      <w:bookmarkStart w:id="22" w:name="_Toc11865317"/>
      <w:r w:rsidRPr="00B57C1B">
        <w:rPr>
          <w:lang w:val="de-AT"/>
        </w:rPr>
        <w:t xml:space="preserve">ePrivacy </w:t>
      </w:r>
      <w:r w:rsidR="003C62C1">
        <w:rPr>
          <w:lang w:val="de-AT"/>
        </w:rPr>
        <w:t>Verordnung</w:t>
      </w:r>
      <w:r w:rsidRPr="00B57C1B">
        <w:rPr>
          <w:lang w:val="de-AT"/>
        </w:rPr>
        <w:t xml:space="preserve"> – Ausblick</w:t>
      </w:r>
      <w:r w:rsidR="00B57C1B" w:rsidRPr="00B57C1B">
        <w:rPr>
          <w:lang w:val="de-AT"/>
        </w:rPr>
        <w:t xml:space="preserve"> in die Z</w:t>
      </w:r>
      <w:r w:rsidR="00B57C1B">
        <w:rPr>
          <w:lang w:val="de-AT"/>
        </w:rPr>
        <w:t>ukunft</w:t>
      </w:r>
      <w:bookmarkEnd w:id="22"/>
    </w:p>
    <w:p w14:paraId="6E0CC63D" w14:textId="4944EAB9" w:rsidR="00B57C1B" w:rsidRDefault="003C62C1" w:rsidP="00B57C1B">
      <w:pPr>
        <w:rPr>
          <w:lang w:val="de-AT"/>
        </w:rPr>
      </w:pPr>
      <w:r>
        <w:rPr>
          <w:lang w:val="de-AT"/>
        </w:rPr>
        <w:t xml:space="preserve">Um den veränderten Umständen heutiger Zeiten </w:t>
      </w:r>
      <w:r w:rsidR="00D4002B">
        <w:rPr>
          <w:lang w:val="de-AT"/>
        </w:rPr>
        <w:t>Genüge</w:t>
      </w:r>
      <w:r>
        <w:rPr>
          <w:lang w:val="de-AT"/>
        </w:rPr>
        <w:t xml:space="preserve"> zu tun, soll die mittlerweile als teilweise veraltend geltende Richtlinie 2002/58/EG durch der umgangssprachlich als „eP</w:t>
      </w:r>
      <w:r w:rsidR="00715D11">
        <w:rPr>
          <w:lang w:val="de-AT"/>
        </w:rPr>
        <w:t>r</w:t>
      </w:r>
      <w:r>
        <w:rPr>
          <w:lang w:val="de-AT"/>
        </w:rPr>
        <w:t xml:space="preserve">ivacy Verordnung“ ersetzt werden. Der Vorschlag für eine neue Verordnung wurde bereits im Jänner 2017 durch die Europäische Kommission eingebracht </w:t>
      </w:r>
      <w:r>
        <w:rPr>
          <w:lang w:val="de-AT"/>
        </w:rPr>
        <w:fldChar w:fldCharType="begin"/>
      </w:r>
      <w:r>
        <w:rPr>
          <w:lang w:val="de-AT"/>
        </w:rPr>
        <w:instrText xml:space="preserve"> ADDIN EN.CITE &lt;EndNote&gt;&lt;Cite&gt;&lt;Author&gt;Europäische Kommission&lt;/Author&gt;&lt;Year&gt;2017&lt;/Year&gt;&lt;IDText&gt;Vorschlag für eine Verordnung des Europäischen Parlaments und des Rates über die Achtung des Privatlebens und den Schutz personenbezogener Daten in der&lt;/IDText&gt;&lt;DisplayText&gt;(Europäische Kommission, 2017)&lt;/DisplayText&gt;&lt;record&gt;&lt;urls&gt;&lt;related-urls&gt;&lt;url&gt;https://eur-lex.europa.eu/legal-content/DE/TXT/PDF/?uri=CELEX:52017PC0010&amp;amp;from=DE&lt;/url&gt;&lt;/related-urls&gt;&lt;/urls&gt;&lt;titles&gt;&lt;title&gt;Vorschlag für eine Verordnung des Europäischen Parlaments und des Rates über die Achtung des Privatlebens und den Schutz personenbezogener Daten in der&amp;#xA;elektronischen Kommunikation und zur Aufhebung der Richtlinie 2002/58/EG&amp;#xA;(Verordnung über Privatsphäre und elektronische Kommunikation)&lt;/title&gt;&lt;/titles&gt;&lt;access-date&gt;14.5.2019&lt;/access-date&gt;&lt;contributors&gt;&lt;authors&gt;&lt;author&gt;Europäische Kommission,&lt;/author&gt;&lt;/authors&gt;&lt;/contributors&gt;&lt;added-date format="utc"&gt;1560600574&lt;/added-date&gt;&lt;ref-type name="Generic"&gt;13&lt;/ref-type&gt;&lt;dates&gt;&lt;year&gt;2017&lt;/year&gt;&lt;/dates&gt;&lt;rec-number&gt;101&lt;/rec-number&gt;&lt;last-updated-date format="utc"&gt;1560600703&lt;/last-updated-date&gt;&lt;/record&gt;&lt;/Cite&gt;&lt;/EndNote&gt;</w:instrText>
      </w:r>
      <w:r>
        <w:rPr>
          <w:lang w:val="de-AT"/>
        </w:rPr>
        <w:fldChar w:fldCharType="separate"/>
      </w:r>
      <w:r>
        <w:rPr>
          <w:noProof/>
          <w:lang w:val="de-AT"/>
        </w:rPr>
        <w:t>(Europäische Kommission, 2017)</w:t>
      </w:r>
      <w:r>
        <w:rPr>
          <w:lang w:val="de-AT"/>
        </w:rPr>
        <w:fldChar w:fldCharType="end"/>
      </w:r>
      <w:r>
        <w:rPr>
          <w:lang w:val="de-AT"/>
        </w:rPr>
        <w:t>.</w:t>
      </w:r>
    </w:p>
    <w:p w14:paraId="232780EC" w14:textId="68B9A713" w:rsidR="005A373A" w:rsidRDefault="005A373A" w:rsidP="00B57C1B">
      <w:pPr>
        <w:rPr>
          <w:lang w:val="de-AT"/>
        </w:rPr>
      </w:pPr>
      <w:r>
        <w:rPr>
          <w:lang w:val="de-AT"/>
        </w:rPr>
        <w:t>Die ePrivacy-Richtlinie soll Probleme vorhergehender Verordnungen (wie der DSGVO) thematisieren. Sie richtet sich an mehr Unternehmen und soll europäischen BürgerInnen größeren Privatsphäre-Schutz ermöglichen. Sie wird gemeinhin als eine Erweiterung der Basis der DSGVO gesehen, die komplementär zu dieser Recht schaffen soll.</w:t>
      </w:r>
    </w:p>
    <w:p w14:paraId="62628EBD" w14:textId="2A28A879" w:rsidR="00D5084E" w:rsidRDefault="00D5084E" w:rsidP="00B57C1B">
      <w:pPr>
        <w:rPr>
          <w:lang w:val="de-AT"/>
        </w:rPr>
      </w:pPr>
      <w:r>
        <w:rPr>
          <w:lang w:val="de-AT"/>
        </w:rPr>
        <w:t xml:space="preserve">Die Verordnung, die sich momentan noch in der Entwurfsphase befindet, soll unter anderem </w:t>
      </w:r>
      <w:r w:rsidR="005A373A">
        <w:rPr>
          <w:lang w:val="de-AT"/>
        </w:rPr>
        <w:t xml:space="preserve">den geographischen und thematischen Umfang signifikant erhöhen. Die in Richtlinie 2002/58/EG definierten Regelungen für Cookies vernünftiger gestalten und NutzerInnen einfachere Möglichkeiten zur Steuerung des „Trackings“ ihrer personenbezogenen Daten geben und die Regelungen für nicht-invasive Cookies verbessern </w:t>
      </w:r>
      <w:r w:rsidR="005A373A">
        <w:rPr>
          <w:lang w:val="de-AT"/>
        </w:rPr>
        <w:fldChar w:fldCharType="begin"/>
      </w:r>
      <w:r w:rsidR="005A373A">
        <w:rPr>
          <w:lang w:val="de-AT"/>
        </w:rPr>
        <w:instrText xml:space="preserve"> ADDIN EN.CITE &lt;EndNote&gt;&lt;Cite&gt;&lt;Author&gt;Voss&lt;/Author&gt;&lt;Year&gt;2017&lt;/Year&gt;&lt;IDText&gt;First the GDPR, now the proposed ePrivacy Regulation.(General Data Protection Regulation)&lt;/IDText&gt;&lt;DisplayText&gt;(Voss, 2017)&lt;/DisplayText&gt;&lt;record&gt;&lt;keywords&gt;&lt;keyword&gt;Right of Privacy – Laws, Regulations and Rules&lt;/keyword&gt;&lt;keyword&gt;Data Security – Laws, Regulations and Rules&lt;/keyword&gt;&lt;keyword&gt;Digital Communications – Laws, Regulations and Rules&lt;/keyword&gt;&lt;/keywords&gt;&lt;isbn&gt;1094-2904&lt;/isbn&gt;&lt;titles&gt;&lt;title&gt;First the GDPR, now the proposed ePrivacy Regulation.(General Data Protection Regulation)&lt;/title&gt;&lt;secondary-title&gt;Journal of Internet Law&lt;/secondary-title&gt;&lt;/titles&gt;&lt;pages&gt;3&lt;/pages&gt;&lt;number&gt;1&lt;/number&gt;&lt;contributors&gt;&lt;authors&gt;&lt;author&gt;Voss, W. Gregory&lt;/author&gt;&lt;/authors&gt;&lt;/contributors&gt;&lt;added-date format="utc"&gt;1560600639&lt;/added-date&gt;&lt;ref-type name="Journal Article"&gt;17&lt;/ref-type&gt;&lt;dates&gt;&lt;year&gt;2017&lt;/year&gt;&lt;/dates&gt;&lt;rec-number&gt;102&lt;/rec-number&gt;&lt;last-updated-date format="utc"&gt;1560600639&lt;/last-updated-date&gt;&lt;volume&gt;21&lt;/volume&gt;&lt;/record&gt;&lt;/Cite&gt;&lt;/EndNote&gt;</w:instrText>
      </w:r>
      <w:r w:rsidR="005A373A">
        <w:rPr>
          <w:lang w:val="de-AT"/>
        </w:rPr>
        <w:fldChar w:fldCharType="separate"/>
      </w:r>
      <w:r w:rsidR="005A373A">
        <w:rPr>
          <w:noProof/>
          <w:lang w:val="de-AT"/>
        </w:rPr>
        <w:t>(Voss, 2017)</w:t>
      </w:r>
      <w:r w:rsidR="005A373A">
        <w:rPr>
          <w:lang w:val="de-AT"/>
        </w:rPr>
        <w:fldChar w:fldCharType="end"/>
      </w:r>
      <w:r w:rsidR="005A373A">
        <w:rPr>
          <w:lang w:val="de-AT"/>
        </w:rPr>
        <w:t>.</w:t>
      </w:r>
    </w:p>
    <w:p w14:paraId="49B7F265" w14:textId="7593FF78" w:rsidR="007D3B83" w:rsidRPr="00381355" w:rsidRDefault="00845DFE" w:rsidP="00381355">
      <w:pPr>
        <w:rPr>
          <w:lang w:val="de-AT"/>
        </w:rPr>
      </w:pPr>
      <w:r>
        <w:rPr>
          <w:lang w:val="de-AT"/>
        </w:rPr>
        <w:lastRenderedPageBreak/>
        <w:t xml:space="preserve">Die ePrivacy-Verordnung wird momentan im Europäischen Parlament und Europarat besprochen und wird mittlerweile frühestens im Jahr 2020 erwartet, genaue Prognosen </w:t>
      </w:r>
      <w:r w:rsidR="00381355">
        <w:rPr>
          <w:lang w:val="de-AT"/>
        </w:rPr>
        <w:t xml:space="preserve">über Inkrafttreten und Anwendbarkeit </w:t>
      </w:r>
      <w:r>
        <w:rPr>
          <w:lang w:val="de-AT"/>
        </w:rPr>
        <w:t xml:space="preserve">sind </w:t>
      </w:r>
      <w:r w:rsidR="0062377A">
        <w:rPr>
          <w:lang w:val="de-AT"/>
        </w:rPr>
        <w:t>noch nicht möglich.</w:t>
      </w:r>
    </w:p>
    <w:p w14:paraId="30DAEF13" w14:textId="77777777" w:rsidR="00E13EC2" w:rsidRPr="006F6EF2" w:rsidRDefault="00E13EC2">
      <w:pPr>
        <w:spacing w:after="200" w:line="276" w:lineRule="auto"/>
        <w:jc w:val="left"/>
        <w:rPr>
          <w:b/>
          <w:spacing w:val="5"/>
          <w:sz w:val="30"/>
          <w:szCs w:val="30"/>
          <w:lang w:val="de-AT"/>
        </w:rPr>
      </w:pPr>
      <w:r w:rsidRPr="006F6EF2">
        <w:rPr>
          <w:lang w:val="de-AT"/>
        </w:rPr>
        <w:br w:type="page"/>
      </w:r>
    </w:p>
    <w:p w14:paraId="5A127255" w14:textId="2CF81E33" w:rsidR="005464CD" w:rsidRDefault="00B57C1B" w:rsidP="00E13EC2">
      <w:pPr>
        <w:pStyle w:val="berschrift1"/>
      </w:pPr>
      <w:bookmarkStart w:id="23" w:name="_Toc11865318"/>
      <w:r>
        <w:lastRenderedPageBreak/>
        <w:t>Wirkungsbeispiele</w:t>
      </w:r>
      <w:r w:rsidR="0017061E">
        <w:t xml:space="preserve"> aus der Praxis</w:t>
      </w:r>
      <w:bookmarkEnd w:id="23"/>
    </w:p>
    <w:p w14:paraId="27157544" w14:textId="06942A80" w:rsidR="002921ED" w:rsidRDefault="00031950" w:rsidP="002921ED">
      <w:r>
        <w:t>Vor und nach</w:t>
      </w:r>
      <w:r w:rsidR="002921ED">
        <w:t xml:space="preserve"> Anwendungsbeginn der Datenschutzgrundverordnung herrschte vielerorts große Verunsicherung. Viele UnternehmerInnen sahen sich – ob ihrer Versäumnisse im Bereich Datenschutz oder ob unzulänglicher Information seitens der Legislative kann dabei nicht beantwortet werden – mit einem strengen Rechtskonzept bezüglich der Datenverarbeitung ihrer Nutzerdaten konfrontiert. </w:t>
      </w:r>
      <w:r>
        <w:t xml:space="preserve">Die Datenschutzgrundverordnung, die als Hybride zwischen Verordnung und Richtlinie Klarheit schaffen soll, erntete nicht nur Kritik (Kap. 2.5), sondern stellte einige Unternehmen vor die Herausforderung, ihre (digitalen) Services frist- und gesetzestreu umzustrukturieren. </w:t>
      </w:r>
    </w:p>
    <w:p w14:paraId="4B697007" w14:textId="77777777" w:rsidR="0058201E" w:rsidRPr="002921ED" w:rsidRDefault="0058201E" w:rsidP="002921ED"/>
    <w:p w14:paraId="10B91D32" w14:textId="331D838B" w:rsidR="00B57C1B" w:rsidRPr="00B57C1B" w:rsidRDefault="00B57C1B" w:rsidP="00B57C1B">
      <w:pPr>
        <w:pStyle w:val="berschrift2"/>
        <w:rPr>
          <w:lang w:val="de-AT"/>
        </w:rPr>
      </w:pPr>
      <w:bookmarkStart w:id="24" w:name="_Toc11865319"/>
      <w:r w:rsidRPr="00B57C1B">
        <w:rPr>
          <w:lang w:val="de-AT"/>
        </w:rPr>
        <w:t>Veränderung der NutzerInnen-Erfahrung anhand des Be</w:t>
      </w:r>
      <w:r>
        <w:rPr>
          <w:lang w:val="de-AT"/>
        </w:rPr>
        <w:t xml:space="preserve">ispiels </w:t>
      </w:r>
      <w:r w:rsidRPr="00B57C1B">
        <w:rPr>
          <w:lang w:val="de-AT"/>
        </w:rPr>
        <w:t xml:space="preserve">Cookie </w:t>
      </w:r>
      <w:r w:rsidR="00B64ACC">
        <w:rPr>
          <w:lang w:val="de-AT"/>
        </w:rPr>
        <w:t>Einwilligung</w:t>
      </w:r>
      <w:r>
        <w:rPr>
          <w:lang w:val="de-AT"/>
        </w:rPr>
        <w:t xml:space="preserve"> und Verfügbarkeit von nicht-europäischen Seiten für EWR BürgerInnen</w:t>
      </w:r>
      <w:bookmarkEnd w:id="24"/>
    </w:p>
    <w:p w14:paraId="3B62A285" w14:textId="50464491" w:rsidR="00E960B2" w:rsidRDefault="00781589" w:rsidP="00B57C1B">
      <w:pPr>
        <w:rPr>
          <w:lang w:val="de-AT"/>
        </w:rPr>
      </w:pPr>
      <w:r w:rsidRPr="00781589">
        <w:rPr>
          <w:lang w:val="de-AT"/>
        </w:rPr>
        <w:t xml:space="preserve">Da die Datenschutzgrundverordnung </w:t>
      </w:r>
      <w:r>
        <w:rPr>
          <w:lang w:val="de-AT"/>
        </w:rPr>
        <w:t xml:space="preserve">für alle Dienste gilt, die in den europäischen Wirtschaftsraum hineinreichen, </w:t>
      </w:r>
      <w:r w:rsidR="00EF42F6">
        <w:rPr>
          <w:lang w:val="de-AT"/>
        </w:rPr>
        <w:t xml:space="preserve">sind auch Websites US-amerikanischer Nachrichtenseiten dazu verpflichtet, </w:t>
      </w:r>
      <w:r w:rsidR="006B25A3">
        <w:rPr>
          <w:lang w:val="de-AT"/>
        </w:rPr>
        <w:t>eine</w:t>
      </w:r>
      <w:r w:rsidR="00EF42F6">
        <w:rPr>
          <w:lang w:val="de-AT"/>
        </w:rPr>
        <w:t xml:space="preserve"> ordnungsgemäße Verarbeitung zu gewährleisten. </w:t>
      </w:r>
      <w:r w:rsidR="006B25A3">
        <w:rPr>
          <w:lang w:val="de-AT"/>
        </w:rPr>
        <w:t>Seit</w:t>
      </w:r>
      <w:r w:rsidR="00EF42F6">
        <w:rPr>
          <w:lang w:val="de-AT"/>
        </w:rPr>
        <w:t xml:space="preserve"> Juli 2016 </w:t>
      </w:r>
      <w:r w:rsidR="006B25A3">
        <w:rPr>
          <w:lang w:val="de-AT"/>
        </w:rPr>
        <w:t xml:space="preserve">gilt zwar </w:t>
      </w:r>
      <w:r w:rsidR="00EF42F6">
        <w:rPr>
          <w:lang w:val="de-AT"/>
        </w:rPr>
        <w:t xml:space="preserve">das sogenannte EU-US-Datenschutzschild, das eine rechtskonforme Verarbeitung europäischer Daten gewährleisten soll </w:t>
      </w:r>
      <w:r w:rsidR="00EF42F6">
        <w:rPr>
          <w:lang w:val="de-AT"/>
        </w:rPr>
        <w:fldChar w:fldCharType="begin"/>
      </w:r>
      <w:r w:rsidR="00EF42F6">
        <w:rPr>
          <w:lang w:val="de-AT"/>
        </w:rPr>
        <w:instrText xml:space="preserve"> ADDIN EN.CITE &lt;EndNote&gt;&lt;Cite&gt;&lt;Author&gt;Europäische Kommission&lt;/Author&gt;&lt;Year&gt;2016&lt;/Year&gt;&lt;IDText&gt;Durchführungsbeschluss (EU) 2016/1250 der Kommission vom 12. Juli 2016 gemäß der Richtlinie 95/46/EG des Europäischen Parlaments und des Rates über die Angemessenheit des vom EU-US-Datenschutzschild gebotenen Schutzes (Bekannt gegeben unter Aktenzeichen C(2016) 4176) (Text von Bedeutung für den EWR)&lt;/IDText&gt;&lt;DisplayText&gt;(Europäische Kommission, 2016)&lt;/DisplayText&gt;&lt;record&gt;&lt;urls&gt;&lt;related-urls&gt;&lt;url&gt;https://eur-lex.europa.eu/legal-content/DE/TXT/PDF/?uri=CELEX:32016D1250&amp;amp;from=DE&lt;/url&gt;&lt;/related-urls&gt;&lt;/urls&gt;&lt;titles&gt;&lt;title&gt;Durchführungsbeschluss (EU) 2016/1250 der Kommission vom 12. Juli 2016 gemäß der Richtlinie 95/46/EG des Europäischen Parlaments und des Rates über die Angemessenheit des vom EU-US-Datenschutzschild gebotenen Schutzes (Bekannt gegeben unter Aktenzeichen C(2016) 4176) (Text von Bedeutung für den EWR)&lt;/title&gt;&lt;/titles&gt;&lt;access-date&gt;11.5.2019&lt;/access-date&gt;&lt;contributors&gt;&lt;authors&gt;&lt;author&gt;Europäische Kommission,&lt;/author&gt;&lt;/authors&gt;&lt;/contributors&gt;&lt;added-date format="utc"&gt;1560608450&lt;/added-date&gt;&lt;ref-type name="Legal Rule or Regulation"&gt;50&lt;/ref-type&gt;&lt;dates&gt;&lt;year&gt;2016&lt;/year&gt;&lt;/dates&gt;&lt;rec-number&gt;103&lt;/rec-number&gt;&lt;last-updated-date format="utc"&gt;1560608514&lt;/last-updated-date&gt;&lt;contributors&gt;&lt;secondary-authors&gt;&lt;author&gt;Amtsblatt der Europäischen Union&lt;/author&gt;&lt;/secondary-authors&gt;&lt;/contributors&gt;&lt;volume&gt;C(2016) 4176&lt;/volume&gt;&lt;/record&gt;&lt;/Cite&gt;&lt;/EndNote&gt;</w:instrText>
      </w:r>
      <w:r w:rsidR="00EF42F6">
        <w:rPr>
          <w:lang w:val="de-AT"/>
        </w:rPr>
        <w:fldChar w:fldCharType="separate"/>
      </w:r>
      <w:r w:rsidR="00EF42F6">
        <w:rPr>
          <w:noProof/>
          <w:lang w:val="de-AT"/>
        </w:rPr>
        <w:t>(Europäische Kommission, 2016)</w:t>
      </w:r>
      <w:r w:rsidR="00EF42F6">
        <w:rPr>
          <w:lang w:val="de-AT"/>
        </w:rPr>
        <w:fldChar w:fldCharType="end"/>
      </w:r>
      <w:r w:rsidR="00EF42F6">
        <w:rPr>
          <w:lang w:val="de-AT"/>
        </w:rPr>
        <w:t>, allerdings herrscht bei den betreffenden Organisationen scheinbar große Unsicherheit ob der für sie geltenden Rechtslage. Im Zuge des Anwendungsbeginnes der DSGVO berichteten mehrere Nachrichtenportale, unter anderem Heise Online</w:t>
      </w:r>
      <w:r w:rsidR="009D1F6E">
        <w:rPr>
          <w:lang w:val="de-AT"/>
        </w:rPr>
        <w:t xml:space="preserve"> von mehreren </w:t>
      </w:r>
      <w:r w:rsidR="00B64ACC">
        <w:rPr>
          <w:lang w:val="de-AT"/>
        </w:rPr>
        <w:t>Dutzend</w:t>
      </w:r>
      <w:r w:rsidR="009D1F6E">
        <w:rPr>
          <w:lang w:val="de-AT"/>
        </w:rPr>
        <w:t xml:space="preserve"> Nachrichtenseiten, die nicht mehr für NutzerInnen aus de</w:t>
      </w:r>
      <w:r w:rsidR="00840D07">
        <w:rPr>
          <w:lang w:val="de-AT"/>
        </w:rPr>
        <w:t>m Europäischen Wirtschaftsraum</w:t>
      </w:r>
      <w:r w:rsidR="00DC7940">
        <w:rPr>
          <w:lang w:val="de-AT"/>
        </w:rPr>
        <w:t xml:space="preserve"> (EWR)</w:t>
      </w:r>
      <w:r w:rsidR="00840D07">
        <w:rPr>
          <w:lang w:val="de-AT"/>
        </w:rPr>
        <w:t xml:space="preserve"> </w:t>
      </w:r>
      <w:r w:rsidR="009D1F6E">
        <w:rPr>
          <w:lang w:val="de-AT"/>
        </w:rPr>
        <w:t>erreichbar</w:t>
      </w:r>
      <w:r w:rsidR="00840D07">
        <w:rPr>
          <w:lang w:val="de-AT"/>
        </w:rPr>
        <w:t xml:space="preserve"> waren </w:t>
      </w:r>
      <w:r w:rsidR="00840D07">
        <w:rPr>
          <w:lang w:val="de-AT"/>
        </w:rPr>
        <w:fldChar w:fldCharType="begin"/>
      </w:r>
      <w:r w:rsidR="00840D07">
        <w:rPr>
          <w:lang w:val="de-AT"/>
        </w:rPr>
        <w:instrText xml:space="preserve"> ADDIN EN.CITE &lt;EndNote&gt;&lt;Cite&gt;&lt;Author&gt;Holland&lt;/Author&gt;&lt;Year&gt;2018&lt;/Year&gt;&lt;IDText&gt;DSGVO: US-Nachrichtenseiten sperren Europäer aus&lt;/IDText&gt;&lt;DisplayText&gt;(&lt;style face="italic"&gt;Holland&lt;/style&gt;, 2018)&lt;/DisplayText&gt;&lt;record&gt;&lt;dates&gt;&lt;pub-dates&gt;&lt;date&gt;25.5.2018&lt;/date&gt;&lt;/pub-dates&gt;&lt;year&gt;2018&lt;/year&gt;&lt;/dates&gt;&lt;urls&gt;&lt;related-urls&gt;&lt;url&gt;https://www.heise.de/newsticker/meldung/DSGVO-US-Nachrichtenseiten-sperren-Europaeer-aus-4058457.html&lt;/url&gt;&lt;/related-urls&gt;&lt;/urls&gt;&lt;titles&gt;&lt;title&gt;DSGVO: US-Nachrichtenseiten sperren Europäer aus&lt;/title&gt;&lt;/titles&gt;&lt;number&gt;17.5.2019&lt;/number&gt;&lt;contributors&gt;&lt;authors&gt;&lt;author&gt;&lt;style face="italic" font="default" size="100%"&gt;Holland, Martin&lt;/style&gt;&lt;/author&gt;&lt;/authors&gt;&lt;/contributors&gt;&lt;added-date format="utc"&gt;1560608694&lt;/added-date&gt;&lt;ref-type name="Web Page"&gt;12&lt;/ref-type&gt;&lt;rec-number&gt;104&lt;/rec-number&gt;&lt;publisher&gt;Heise Online&lt;/publisher&gt;&lt;last-updated-date format="utc"&gt;1560608958&lt;/last-updated-date&gt;&lt;/record&gt;&lt;/Cite&gt;&lt;/EndNote&gt;</w:instrText>
      </w:r>
      <w:r w:rsidR="00840D07">
        <w:rPr>
          <w:lang w:val="de-AT"/>
        </w:rPr>
        <w:fldChar w:fldCharType="separate"/>
      </w:r>
      <w:r w:rsidR="00840D07">
        <w:rPr>
          <w:noProof/>
          <w:lang w:val="de-AT"/>
        </w:rPr>
        <w:t>(</w:t>
      </w:r>
      <w:r w:rsidR="00840D07" w:rsidRPr="00840D07">
        <w:rPr>
          <w:i/>
          <w:noProof/>
          <w:lang w:val="de-AT"/>
        </w:rPr>
        <w:t>Holland</w:t>
      </w:r>
      <w:r w:rsidR="00840D07">
        <w:rPr>
          <w:noProof/>
          <w:lang w:val="de-AT"/>
        </w:rPr>
        <w:t>, 2018)</w:t>
      </w:r>
      <w:r w:rsidR="00840D07">
        <w:rPr>
          <w:lang w:val="de-AT"/>
        </w:rPr>
        <w:fldChar w:fldCharType="end"/>
      </w:r>
      <w:r w:rsidR="00840D07">
        <w:rPr>
          <w:lang w:val="de-AT"/>
        </w:rPr>
        <w:t xml:space="preserve">. </w:t>
      </w:r>
      <w:r w:rsidR="00DC7940">
        <w:rPr>
          <w:lang w:val="de-AT"/>
        </w:rPr>
        <w:t xml:space="preserve">Webentwickler Joseph O’Connor </w:t>
      </w:r>
      <w:r w:rsidR="00DC7940">
        <w:rPr>
          <w:lang w:val="de-AT"/>
        </w:rPr>
        <w:fldChar w:fldCharType="begin"/>
      </w:r>
      <w:r w:rsidR="00DC7940">
        <w:rPr>
          <w:lang w:val="de-AT"/>
        </w:rPr>
        <w:instrText xml:space="preserve"> ADDIN EN.CITE &lt;EndNote&gt;&lt;Cite ExcludeAuth="1"&gt;&lt;Author&gt;O&amp;apos;Connor&lt;/Author&gt;&lt;Year&gt;2018&lt;/Year&gt;&lt;IDText&gt;Websites not available in the European Union after GDPR&lt;/IDText&gt;&lt;DisplayText&gt;(2018)&lt;/DisplayText&gt;&lt;record&gt;&lt;dates&gt;&lt;pub-dates&gt;&lt;date&gt;20.3.2019&lt;/date&gt;&lt;/pub-dates&gt;&lt;year&gt;2018&lt;/year&gt;&lt;/dates&gt;&lt;urls&gt;&lt;related-urls&gt;&lt;url&gt;https://data.verifiedjoseph.com/dataset/websites-not-available-eu-gdpr&lt;/url&gt;&lt;/related-urls&gt;&lt;/urls&gt;&lt;titles&gt;&lt;title&gt;Websites not available in the European Union after GDPR&lt;/title&gt;&lt;/titles&gt;&lt;number&gt;21.5.2019&lt;/number&gt;&lt;contributors&gt;&lt;authors&gt;&lt;author&gt;O&amp;apos;Connor, Joseph&lt;/author&gt;&lt;/authors&gt;&lt;/contributors&gt;&lt;added-date format="utc"&gt;1560610194&lt;/added-date&gt;&lt;ref-type name="Web Page"&gt;12&lt;/ref-type&gt;&lt;rec-number&gt;105&lt;/rec-number&gt;&lt;last-updated-date format="utc"&gt;1560610269&lt;/last-updated-date&gt;&lt;/record&gt;&lt;/Cite&gt;&lt;/EndNote&gt;</w:instrText>
      </w:r>
      <w:r w:rsidR="00DC7940">
        <w:rPr>
          <w:lang w:val="de-AT"/>
        </w:rPr>
        <w:fldChar w:fldCharType="separate"/>
      </w:r>
      <w:r w:rsidR="00DC7940">
        <w:rPr>
          <w:noProof/>
          <w:lang w:val="de-AT"/>
        </w:rPr>
        <w:t>(2018)</w:t>
      </w:r>
      <w:r w:rsidR="00DC7940">
        <w:rPr>
          <w:lang w:val="de-AT"/>
        </w:rPr>
        <w:fldChar w:fldCharType="end"/>
      </w:r>
      <w:r w:rsidR="00DC7940">
        <w:rPr>
          <w:lang w:val="de-AT"/>
        </w:rPr>
        <w:fldChar w:fldCharType="begin"/>
      </w:r>
      <w:r w:rsidR="00DC7940">
        <w:rPr>
          <w:lang w:val="de-AT"/>
        </w:rPr>
        <w:fldChar w:fldCharType="separate"/>
      </w:r>
      <w:r w:rsidR="00DC7940">
        <w:rPr>
          <w:noProof/>
          <w:lang w:val="de-AT"/>
        </w:rPr>
        <w:t>(O'Connor)</w:t>
      </w:r>
      <w:r w:rsidR="00DC7940">
        <w:rPr>
          <w:lang w:val="de-AT"/>
        </w:rPr>
        <w:fldChar w:fldCharType="end"/>
      </w:r>
      <w:r w:rsidR="00DC7940">
        <w:rPr>
          <w:lang w:val="de-AT"/>
        </w:rPr>
        <w:t xml:space="preserve"> führt eine Liste</w:t>
      </w:r>
      <w:r w:rsidR="000E5525">
        <w:rPr>
          <w:lang w:val="de-AT"/>
        </w:rPr>
        <w:t xml:space="preserve"> mit</w:t>
      </w:r>
      <w:r w:rsidR="00DC7940">
        <w:rPr>
          <w:lang w:val="de-AT"/>
        </w:rPr>
        <w:t xml:space="preserve"> über 1100 Websites</w:t>
      </w:r>
      <w:r w:rsidR="000E5525">
        <w:rPr>
          <w:lang w:val="de-AT"/>
        </w:rPr>
        <w:t xml:space="preserve"> (Stand: März 2019)</w:t>
      </w:r>
      <w:r w:rsidR="00DC7940">
        <w:rPr>
          <w:lang w:val="de-AT"/>
        </w:rPr>
        <w:t>, die nicht mehr aus dem EWR erreichbar sind</w:t>
      </w:r>
      <w:r w:rsidR="000E5525">
        <w:rPr>
          <w:lang w:val="de-AT"/>
        </w:rPr>
        <w:t>.</w:t>
      </w:r>
    </w:p>
    <w:p w14:paraId="66D1295B" w14:textId="54FFD35A" w:rsidR="00B9114B" w:rsidRDefault="00E960B2" w:rsidP="00B57C1B">
      <w:pPr>
        <w:rPr>
          <w:lang w:val="de-AT"/>
        </w:rPr>
      </w:pPr>
      <w:r>
        <w:rPr>
          <w:lang w:val="de-AT"/>
        </w:rPr>
        <w:t xml:space="preserve">Einige US-Websites, wie die </w:t>
      </w:r>
      <w:r w:rsidR="000E5525">
        <w:rPr>
          <w:lang w:val="de-AT"/>
        </w:rPr>
        <w:t>des</w:t>
      </w:r>
      <w:r>
        <w:rPr>
          <w:lang w:val="de-AT"/>
        </w:rPr>
        <w:t xml:space="preserve"> </w:t>
      </w:r>
      <w:r w:rsidR="00397085">
        <w:rPr>
          <w:lang w:val="de-AT"/>
        </w:rPr>
        <w:t>„</w:t>
      </w:r>
      <w:r>
        <w:rPr>
          <w:lang w:val="de-AT"/>
        </w:rPr>
        <w:t>TIME</w:t>
      </w:r>
      <w:r w:rsidR="00397085">
        <w:rPr>
          <w:lang w:val="de-AT"/>
        </w:rPr>
        <w:t>“-</w:t>
      </w:r>
      <w:r w:rsidR="000E5525">
        <w:rPr>
          <w:lang w:val="de-AT"/>
        </w:rPr>
        <w:t xml:space="preserve">Magazins </w:t>
      </w:r>
      <w:r>
        <w:rPr>
          <w:lang w:val="de-AT"/>
        </w:rPr>
        <w:t>fordern NutzerInnen bereits vor Website-Besuch dazu auf, einem Transfer der pers</w:t>
      </w:r>
      <w:r w:rsidR="00B64ACC">
        <w:rPr>
          <w:lang w:val="de-AT"/>
        </w:rPr>
        <w:t xml:space="preserve">önlichen Daten in die USA oder nicht näher </w:t>
      </w:r>
      <w:r>
        <w:rPr>
          <w:lang w:val="de-AT"/>
        </w:rPr>
        <w:t xml:space="preserve">spezifizierte andere Länder sowie einer umfassenden Datenverarbeitung </w:t>
      </w:r>
      <w:r w:rsidR="000E5525">
        <w:rPr>
          <w:lang w:val="de-AT"/>
        </w:rPr>
        <w:t xml:space="preserve">für personalisierte Werbung zuzustimmen </w:t>
      </w:r>
      <w:r w:rsidR="000E5525">
        <w:rPr>
          <w:lang w:val="de-AT"/>
        </w:rPr>
        <w:fldChar w:fldCharType="begin"/>
      </w:r>
      <w:r w:rsidR="000E5525">
        <w:rPr>
          <w:lang w:val="de-AT"/>
        </w:rPr>
        <w:instrText xml:space="preserve"> ADDIN EN.CITE &lt;EndNote&gt;&lt;Cite&gt;&lt;Author&gt;TIME Magazin&lt;/Author&gt;&lt;Year&gt;2019&lt;/Year&gt;&lt;IDText&gt;Time&lt;/IDText&gt;&lt;DisplayText&gt;(TIME Magazin, 2019)&lt;/DisplayText&gt;&lt;record&gt;&lt;urls&gt;&lt;related-urls&gt;&lt;url&gt;https://time.com/&lt;/url&gt;&lt;/related-urls&gt;&lt;/urls&gt;&lt;titles&gt;&lt;title&gt;Time&lt;/title&gt;&lt;/titles&gt;&lt;number&gt;21.5.2019&lt;/number&gt;&lt;contributors&gt;&lt;authors&gt;&lt;author&gt;TIME Magazin,&lt;/author&gt;&lt;/authors&gt;&lt;/contributors&gt;&lt;added-date format="utc"&gt;1560610743&lt;/added-date&gt;&lt;ref-type name="Web Page"&gt;12&lt;/ref-type&gt;&lt;dates&gt;&lt;year&gt;2019&lt;/year&gt;&lt;/dates&gt;&lt;rec-number&gt;106&lt;/rec-number&gt;&lt;last-updated-date format="utc"&gt;1560610782&lt;/last-updated-date&gt;&lt;/record&gt;&lt;/Cite&gt;&lt;/EndNote&gt;</w:instrText>
      </w:r>
      <w:r w:rsidR="000E5525">
        <w:rPr>
          <w:lang w:val="de-AT"/>
        </w:rPr>
        <w:fldChar w:fldCharType="separate"/>
      </w:r>
      <w:r w:rsidR="000E5525">
        <w:rPr>
          <w:noProof/>
          <w:lang w:val="de-AT"/>
        </w:rPr>
        <w:t>(TIME Magazin, 2019)</w:t>
      </w:r>
      <w:r w:rsidR="000E5525">
        <w:rPr>
          <w:lang w:val="de-AT"/>
        </w:rPr>
        <w:fldChar w:fldCharType="end"/>
      </w:r>
      <w:r w:rsidR="00B9114B">
        <w:rPr>
          <w:lang w:val="de-AT"/>
        </w:rPr>
        <w:t>.</w:t>
      </w:r>
    </w:p>
    <w:p w14:paraId="0C1912CA" w14:textId="4F4F60C2" w:rsidR="00B9114B" w:rsidRPr="00781589" w:rsidRDefault="00B9114B" w:rsidP="00B57C1B">
      <w:pPr>
        <w:rPr>
          <w:lang w:val="de-AT"/>
        </w:rPr>
      </w:pPr>
    </w:p>
    <w:p w14:paraId="5E6B23CB" w14:textId="6AD4BA24" w:rsidR="00B57C1B" w:rsidRPr="00B57C1B" w:rsidRDefault="00B57C1B" w:rsidP="00B57C1B">
      <w:pPr>
        <w:pStyle w:val="berschrift2"/>
        <w:rPr>
          <w:lang w:val="de-AT"/>
        </w:rPr>
      </w:pPr>
      <w:r w:rsidRPr="007F2349">
        <w:rPr>
          <w:lang w:val="de-AT"/>
        </w:rPr>
        <w:br w:type="column"/>
      </w:r>
      <w:bookmarkStart w:id="25" w:name="_Toc11865320"/>
      <w:r w:rsidRPr="00B57C1B">
        <w:rPr>
          <w:lang w:val="de-AT"/>
        </w:rPr>
        <w:lastRenderedPageBreak/>
        <w:t xml:space="preserve">Schutz persönlicher Nutzungsdaten </w:t>
      </w:r>
      <w:r w:rsidR="00681F03">
        <w:rPr>
          <w:lang w:val="de-AT"/>
        </w:rPr>
        <w:t>trotz</w:t>
      </w:r>
      <w:r w:rsidRPr="00B57C1B">
        <w:rPr>
          <w:lang w:val="de-AT"/>
        </w:rPr>
        <w:t xml:space="preserve"> </w:t>
      </w:r>
      <w:r w:rsidR="00F74971">
        <w:rPr>
          <w:lang w:val="de-AT"/>
        </w:rPr>
        <w:t xml:space="preserve">Einsatz von </w:t>
      </w:r>
      <w:r w:rsidR="000475D6">
        <w:rPr>
          <w:lang w:val="de-AT"/>
        </w:rPr>
        <w:t>Trackingdienste</w:t>
      </w:r>
      <w:r w:rsidR="00F74971">
        <w:rPr>
          <w:lang w:val="de-AT"/>
        </w:rPr>
        <w:t>n</w:t>
      </w:r>
      <w:bookmarkEnd w:id="25"/>
    </w:p>
    <w:p w14:paraId="4F490C3F" w14:textId="111526BA" w:rsidR="00B57C1B" w:rsidRDefault="00B9114B" w:rsidP="00B57C1B">
      <w:pPr>
        <w:rPr>
          <w:lang w:val="de-AT"/>
        </w:rPr>
      </w:pPr>
      <w:r w:rsidRPr="00B9114B">
        <w:rPr>
          <w:lang w:val="de-AT"/>
        </w:rPr>
        <w:t xml:space="preserve">Im Zuge der DSGVO </w:t>
      </w:r>
      <w:r>
        <w:rPr>
          <w:lang w:val="de-AT"/>
        </w:rPr>
        <w:t>rückten sogenannte Tracking-Dienste wie der Facebook Pixel, Google Analytics oder Adobe Analytics ins Visier der Aufmerksamkeit</w:t>
      </w:r>
      <w:r w:rsidR="004E2F52">
        <w:rPr>
          <w:lang w:val="de-AT"/>
        </w:rPr>
        <w:t xml:space="preserve">. Diese Dienste wurden in der Vergangenheit gerügt, personenbezogene Daten intransparent zu verwenden und datenschutzrechtlich problematisch zu agieren. Google Analytics speichert nicht nur vertrauliche, sondern auch teilweise personenbezogene Daten über die NutzerInnen von Websites </w:t>
      </w:r>
      <w:r w:rsidR="004E2F52">
        <w:rPr>
          <w:lang w:val="de-AT"/>
        </w:rPr>
        <w:fldChar w:fldCharType="begin"/>
      </w:r>
      <w:r w:rsidR="004E2F52">
        <w:rPr>
          <w:lang w:val="de-AT"/>
        </w:rPr>
        <w:instrText xml:space="preserve"> ADDIN EN.CITE &lt;EndNote&gt;&lt;Cite&gt;&lt;Author&gt;Steidle&lt;/Author&gt;&lt;Year&gt;2008&lt;/Year&gt;&lt;IDText&gt;Im Netz von Google. Web-Tracking und Datenschutz&lt;/IDText&gt;&lt;DisplayText&gt;(Steidle &amp;amp; Pordesch, 2008)&lt;/DisplayText&gt;&lt;record&gt;&lt;dates&gt;&lt;pub-dates&gt;&lt;date&gt;May 01&lt;/date&gt;&lt;/pub-dates&gt;&lt;year&gt;2008&lt;/year&gt;&lt;/dates&gt;&lt;urls&gt;&lt;related-urls&gt;&lt;url&gt;https://doi.org/10.1007/s11623-008-0078-8&lt;/url&gt;&lt;/related-urls&gt;&lt;/urls&gt;&lt;isbn&gt;1862-2607&lt;/isbn&gt;&lt;work-type&gt;journal article&lt;/work-type&gt;&lt;titles&gt;&lt;title&gt;Im Netz von Google. Web-Tracking und Datenschutz&lt;/title&gt;&lt;secondary-title&gt;Datenschutz und Datensicherheit - DuD&lt;/secondary-title&gt;&lt;/titles&gt;&lt;pages&gt;324-329&lt;/pages&gt;&lt;number&gt;5&lt;/number&gt;&lt;contributors&gt;&lt;authors&gt;&lt;author&gt;Steidle, Roland&lt;/author&gt;&lt;author&gt;Pordesch, Ulrich&lt;/author&gt;&lt;/authors&gt;&lt;/contributors&gt;&lt;added-date format="utc"&gt;1560612639&lt;/added-date&gt;&lt;ref-type name="Journal Article"&gt;17&lt;/ref-type&gt;&lt;rec-number&gt;107&lt;/rec-number&gt;&lt;last-updated-date format="utc"&gt;1560612639&lt;/last-updated-date&gt;&lt;label&gt;Steidle2008&lt;/label&gt;&lt;electronic-resource-num&gt;10.1007/s11623-008-0078-8&lt;/electronic-resource-num&gt;&lt;volume&gt;32&lt;/volume&gt;&lt;/record&gt;&lt;/Cite&gt;&lt;/EndNote&gt;</w:instrText>
      </w:r>
      <w:r w:rsidR="004E2F52">
        <w:rPr>
          <w:lang w:val="de-AT"/>
        </w:rPr>
        <w:fldChar w:fldCharType="separate"/>
      </w:r>
      <w:r w:rsidR="004E2F52">
        <w:rPr>
          <w:noProof/>
          <w:lang w:val="de-AT"/>
        </w:rPr>
        <w:t>(Steidle &amp; Pordesch, 2008)</w:t>
      </w:r>
      <w:r w:rsidR="004E2F52">
        <w:rPr>
          <w:lang w:val="de-AT"/>
        </w:rPr>
        <w:fldChar w:fldCharType="end"/>
      </w:r>
      <w:r w:rsidR="004E2F52">
        <w:rPr>
          <w:lang w:val="de-AT"/>
        </w:rPr>
        <w:t xml:space="preserve">. </w:t>
      </w:r>
      <w:r w:rsidR="00F448A0">
        <w:rPr>
          <w:lang w:val="de-AT"/>
        </w:rPr>
        <w:t xml:space="preserve">Google </w:t>
      </w:r>
      <w:r w:rsidR="00F448A0">
        <w:rPr>
          <w:lang w:val="de-AT"/>
        </w:rPr>
        <w:fldChar w:fldCharType="begin"/>
      </w:r>
      <w:r w:rsidR="00F448A0">
        <w:rPr>
          <w:lang w:val="de-AT"/>
        </w:rPr>
        <w:instrText xml:space="preserve"> ADDIN EN.CITE &lt;EndNote&gt;&lt;Cite ExcludeAuth="1"&gt;&lt;Author&gt;Google&lt;/Author&gt;&lt;Year&gt;2019&lt;/Year&gt;&lt;IDText&gt;Datenschutz &amp;amp; Nutzungsbedingungen&lt;/IDText&gt;&lt;DisplayText&gt;(2019a)&lt;/DisplayText&gt;&lt;record&gt;&lt;urls&gt;&lt;related-urls&gt;&lt;url&gt;https://policies.google.com/privacy?hl=de&lt;/url&gt;&lt;/related-urls&gt;&lt;/urls&gt;&lt;titles&gt;&lt;title&gt;Datenschutz &amp;amp; Nutzungsbedingungen&lt;/title&gt;&lt;/titles&gt;&lt;number&gt;22.5.2019&lt;/number&gt;&lt;contributors&gt;&lt;authors&gt;&lt;author&gt;Google&lt;/author&gt;&lt;/authors&gt;&lt;/contributors&gt;&lt;added-date format="utc"&gt;1560613371&lt;/added-date&gt;&lt;ref-type name="Web Page"&gt;12&lt;/ref-type&gt;&lt;dates&gt;&lt;year&gt;2019&lt;/year&gt;&lt;/dates&gt;&lt;rec-number&gt;108&lt;/rec-number&gt;&lt;publisher&gt;Google Ireland Limited&lt;/publisher&gt;&lt;last-updated-date format="utc"&gt;1560613431&lt;/last-updated-date&gt;&lt;/record&gt;&lt;/Cite&gt;&lt;/EndNote&gt;</w:instrText>
      </w:r>
      <w:r w:rsidR="00F448A0">
        <w:rPr>
          <w:lang w:val="de-AT"/>
        </w:rPr>
        <w:fldChar w:fldCharType="separate"/>
      </w:r>
      <w:r w:rsidR="00F448A0">
        <w:rPr>
          <w:noProof/>
          <w:lang w:val="de-AT"/>
        </w:rPr>
        <w:t>(2019a)</w:t>
      </w:r>
      <w:r w:rsidR="00F448A0">
        <w:rPr>
          <w:lang w:val="de-AT"/>
        </w:rPr>
        <w:fldChar w:fldCharType="end"/>
      </w:r>
      <w:r w:rsidR="00F74971">
        <w:rPr>
          <w:lang w:val="de-AT"/>
        </w:rPr>
        <w:t xml:space="preserve"> </w:t>
      </w:r>
      <w:r w:rsidR="00F448A0">
        <w:rPr>
          <w:lang w:val="de-AT"/>
        </w:rPr>
        <w:t xml:space="preserve">selbst gibt </w:t>
      </w:r>
      <w:r w:rsidR="00A43991">
        <w:rPr>
          <w:lang w:val="de-AT"/>
        </w:rPr>
        <w:t>an</w:t>
      </w:r>
      <w:r w:rsidR="00F448A0">
        <w:rPr>
          <w:lang w:val="de-AT"/>
        </w:rPr>
        <w:t>, dass</w:t>
      </w:r>
      <w:r w:rsidR="004E2F52">
        <w:rPr>
          <w:lang w:val="de-AT"/>
        </w:rPr>
        <w:t xml:space="preserve"> neben IP-Adressen auch Faktoren wie </w:t>
      </w:r>
      <w:r w:rsidR="00E97AE6">
        <w:rPr>
          <w:lang w:val="de-AT"/>
        </w:rPr>
        <w:t>Browsertyp und -sprache oder (als nützlich empfundene) Werbung aufgezeichnet</w:t>
      </w:r>
      <w:r w:rsidR="00F448A0">
        <w:rPr>
          <w:lang w:val="de-AT"/>
        </w:rPr>
        <w:t xml:space="preserve"> werden</w:t>
      </w:r>
      <w:r w:rsidR="00E97AE6">
        <w:rPr>
          <w:lang w:val="de-AT"/>
        </w:rPr>
        <w:t>, die eine eindeutige Browseridentifizierung ermöglichen.</w:t>
      </w:r>
      <w:r w:rsidR="004E2F52">
        <w:rPr>
          <w:lang w:val="de-AT"/>
        </w:rPr>
        <w:t xml:space="preserve"> Trotz Pseudonymisierung von </w:t>
      </w:r>
      <w:r w:rsidR="00E97AE6">
        <w:rPr>
          <w:lang w:val="de-AT"/>
        </w:rPr>
        <w:t>IP-Adressen ist eine Nutzung von Trackingdiensten</w:t>
      </w:r>
      <w:r w:rsidR="00F448A0">
        <w:rPr>
          <w:lang w:val="de-AT"/>
        </w:rPr>
        <w:t xml:space="preserve"> </w:t>
      </w:r>
      <w:r w:rsidR="00E97AE6">
        <w:rPr>
          <w:lang w:val="de-AT"/>
        </w:rPr>
        <w:t xml:space="preserve">nach Anwendbarkeit der DSGVO nur noch mit expliziter Einwilligung </w:t>
      </w:r>
      <w:r w:rsidR="00F74971">
        <w:rPr>
          <w:lang w:val="de-AT"/>
        </w:rPr>
        <w:t xml:space="preserve">und prinzipiell </w:t>
      </w:r>
      <w:r w:rsidR="0094745A">
        <w:rPr>
          <w:lang w:val="de-AT"/>
        </w:rPr>
        <w:t xml:space="preserve">bei Erhebung personenbezogener Daten </w:t>
      </w:r>
      <w:r w:rsidR="00F448A0">
        <w:rPr>
          <w:lang w:val="de-AT"/>
        </w:rPr>
        <w:t xml:space="preserve">möglich </w:t>
      </w:r>
      <w:r w:rsidR="00F448A0">
        <w:rPr>
          <w:lang w:val="de-AT"/>
        </w:rPr>
        <w:fldChar w:fldCharType="begin"/>
      </w:r>
      <w:r w:rsidR="00F448A0">
        <w:rPr>
          <w:lang w:val="de-AT"/>
        </w:rPr>
        <w:instrText xml:space="preserve"> ADDIN EN.CITE &lt;EndNote&gt;&lt;Cite&gt;&lt;Author&gt;Europarat&lt;/Author&gt;&lt;Year&gt;2016&lt;/Year&gt;&lt;IDText&gt;Verordnung (EU) 2016/679 des Europäischen Parlaments und des Rates vom 27. April 2016 zum Schutz natürlicher Personen bei der Verarbeitung personenbezogener Daten, zum freien Datenverkehr und zur Aufhebung der Richtlinie 95/46/EG (Datenschutz-Grundverordnung)&lt;/IDText&gt;&lt;DisplayText&gt;(Europarat &amp;amp; Europäisches Parlament, 2016)&lt;/DisplayText&gt;&lt;record&gt;&lt;urls&gt;&lt;related-urls&gt;&lt;url&gt;https://eur-lex.europa.eu/legal-content/DE/TXT/PDF/?uri=CELEX:32016R0679&amp;amp;from=DE&lt;/url&gt;&lt;/related-urls&gt;&lt;/urls&gt;&lt;titles&gt;&lt;title&gt;Verordnung (EU) 2016/679 des Europäischen Parlaments und des Rates vom 27. April 2016 zum Schutz natürlicher Personen bei der Verarbeitung personenbezogener Daten, zum freien Datenverkehr und zur Aufhebung der Richtlinie 95/46/EG (Datenschutz-Grundverordnung)&lt;/title&gt;&lt;/titles&gt;&lt;contributors&gt;&lt;authors&gt;&lt;author&gt;Europarat&lt;/author&gt;&lt;author&gt;Europäisches Parlament,&lt;/author&gt;&lt;/authors&gt;&lt;/contributors&gt;&lt;added-date format="utc"&gt;1560157823&lt;/added-date&gt;&lt;ref-type name="Legal Rule or Regulation"&gt;50&lt;/ref-type&gt;&lt;dates&gt;&lt;year&gt;2016&lt;/year&gt;&lt;/dates&gt;&lt;rec-number&gt;75&lt;/rec-number&gt;&lt;last-updated-date format="utc"&gt;1560166279&lt;/last-updated-date&gt;&lt;/record&gt;&lt;/Cite&gt;&lt;/EndNote&gt;</w:instrText>
      </w:r>
      <w:r w:rsidR="00F448A0">
        <w:rPr>
          <w:lang w:val="de-AT"/>
        </w:rPr>
        <w:fldChar w:fldCharType="separate"/>
      </w:r>
      <w:r w:rsidR="00F448A0">
        <w:rPr>
          <w:noProof/>
          <w:lang w:val="de-AT"/>
        </w:rPr>
        <w:t>(Europarat &amp; Europäisches Parlament, 2016)</w:t>
      </w:r>
      <w:r w:rsidR="00F448A0">
        <w:rPr>
          <w:lang w:val="de-AT"/>
        </w:rPr>
        <w:fldChar w:fldCharType="end"/>
      </w:r>
      <w:r w:rsidR="00F448A0">
        <w:rPr>
          <w:lang w:val="de-AT"/>
        </w:rPr>
        <w:t>. Diese Einwilligung wird oftmals durch Website-Betreiber angenommen</w:t>
      </w:r>
      <w:r w:rsidR="002B57E0">
        <w:rPr>
          <w:lang w:val="de-AT"/>
        </w:rPr>
        <w:t>, wenn eine Website genutzt wird</w:t>
      </w:r>
      <w:r w:rsidR="00F448A0">
        <w:rPr>
          <w:lang w:val="de-AT"/>
        </w:rPr>
        <w:t xml:space="preserve"> (siehe Abb. 2)</w:t>
      </w:r>
      <w:r w:rsidR="002B57E0">
        <w:rPr>
          <w:lang w:val="de-AT"/>
        </w:rPr>
        <w:t>. Diese Vorgehensweise ist jedoch umstritten und sollte spätestens mit der ePrivacy-Verordnung der Vergangenheit angehören.</w:t>
      </w:r>
    </w:p>
    <w:p w14:paraId="4392DC6B" w14:textId="2F4E8B81" w:rsidR="00F448A0" w:rsidRDefault="000475D6" w:rsidP="00B57C1B">
      <w:pPr>
        <w:rPr>
          <w:noProof/>
        </w:rPr>
      </w:pPr>
      <w:r>
        <w:rPr>
          <w:noProof/>
          <w:lang w:val="de-AT" w:eastAsia="de-AT" w:bidi="ar-SA"/>
        </w:rPr>
        <w:drawing>
          <wp:anchor distT="0" distB="0" distL="114300" distR="114300" simplePos="0" relativeHeight="251662336" behindDoc="1" locked="0" layoutInCell="1" allowOverlap="1" wp14:anchorId="58E58815" wp14:editId="654BFDCA">
            <wp:simplePos x="0" y="0"/>
            <wp:positionH relativeFrom="margin">
              <wp:posOffset>563525</wp:posOffset>
            </wp:positionH>
            <wp:positionV relativeFrom="paragraph">
              <wp:posOffset>10293</wp:posOffset>
            </wp:positionV>
            <wp:extent cx="4650740" cy="1318260"/>
            <wp:effectExtent l="0" t="0" r="0" b="0"/>
            <wp:wrapTight wrapText="bothSides">
              <wp:wrapPolygon edited="0">
                <wp:start x="0" y="0"/>
                <wp:lineTo x="0" y="21225"/>
                <wp:lineTo x="21500" y="21225"/>
                <wp:lineTo x="21500"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369" t="1285" r="636" b="1166"/>
                    <a:stretch/>
                  </pic:blipFill>
                  <pic:spPr bwMode="auto">
                    <a:xfrm>
                      <a:off x="0" y="0"/>
                      <a:ext cx="4650740" cy="13182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F153E75" w14:textId="0AAD2419" w:rsidR="00F448A0" w:rsidRPr="00B9114B" w:rsidRDefault="00F448A0" w:rsidP="00B57C1B">
      <w:pPr>
        <w:rPr>
          <w:lang w:val="de-AT"/>
        </w:rPr>
      </w:pPr>
    </w:p>
    <w:p w14:paraId="40679D23" w14:textId="602C7817" w:rsidR="00B57C1B" w:rsidRDefault="00B57C1B" w:rsidP="00B57C1B">
      <w:pPr>
        <w:rPr>
          <w:lang w:val="de-AT"/>
        </w:rPr>
      </w:pPr>
    </w:p>
    <w:p w14:paraId="2507F0B6" w14:textId="7F98BC89" w:rsidR="000475D6" w:rsidRDefault="000475D6" w:rsidP="00B57C1B">
      <w:pPr>
        <w:rPr>
          <w:lang w:val="de-AT"/>
        </w:rPr>
      </w:pPr>
      <w:r>
        <w:rPr>
          <w:noProof/>
          <w:lang w:val="de-AT" w:eastAsia="de-AT" w:bidi="ar-SA"/>
        </w:rPr>
        <mc:AlternateContent>
          <mc:Choice Requires="wps">
            <w:drawing>
              <wp:anchor distT="0" distB="0" distL="114300" distR="114300" simplePos="0" relativeHeight="251663360" behindDoc="1" locked="0" layoutInCell="1" allowOverlap="1" wp14:anchorId="0B4842AC" wp14:editId="655CEF71">
                <wp:simplePos x="0" y="0"/>
                <wp:positionH relativeFrom="column">
                  <wp:posOffset>563525</wp:posOffset>
                </wp:positionH>
                <wp:positionV relativeFrom="paragraph">
                  <wp:posOffset>198888</wp:posOffset>
                </wp:positionV>
                <wp:extent cx="4650740" cy="635"/>
                <wp:effectExtent l="0" t="0" r="0" b="0"/>
                <wp:wrapTight wrapText="bothSides">
                  <wp:wrapPolygon edited="0">
                    <wp:start x="0" y="0"/>
                    <wp:lineTo x="0" y="20285"/>
                    <wp:lineTo x="21500" y="20285"/>
                    <wp:lineTo x="21500" y="0"/>
                    <wp:lineTo x="0" y="0"/>
                  </wp:wrapPolygon>
                </wp:wrapTight>
                <wp:docPr id="5" name="Textfeld 5"/>
                <wp:cNvGraphicFramePr/>
                <a:graphic xmlns:a="http://schemas.openxmlformats.org/drawingml/2006/main">
                  <a:graphicData uri="http://schemas.microsoft.com/office/word/2010/wordprocessingShape">
                    <wps:wsp>
                      <wps:cNvSpPr txBox="1"/>
                      <wps:spPr>
                        <a:xfrm>
                          <a:off x="0" y="0"/>
                          <a:ext cx="4650740" cy="635"/>
                        </a:xfrm>
                        <a:prstGeom prst="rect">
                          <a:avLst/>
                        </a:prstGeom>
                        <a:solidFill>
                          <a:prstClr val="white"/>
                        </a:solidFill>
                        <a:ln>
                          <a:noFill/>
                        </a:ln>
                      </wps:spPr>
                      <wps:txbx>
                        <w:txbxContent>
                          <w:p w14:paraId="3203C00A" w14:textId="77777777" w:rsidR="00BC2425" w:rsidRPr="002B435B" w:rsidRDefault="00BC2425" w:rsidP="00F448A0">
                            <w:pPr>
                              <w:pStyle w:val="Beschriftung"/>
                              <w:jc w:val="center"/>
                              <w:rPr>
                                <w:noProof/>
                              </w:rPr>
                            </w:pPr>
                            <w:bookmarkStart w:id="26" w:name="_Toc11619489"/>
                            <w:r>
                              <w:t xml:space="preserve">Abbildung </w:t>
                            </w:r>
                            <w:r>
                              <w:fldChar w:fldCharType="begin"/>
                            </w:r>
                            <w:r>
                              <w:instrText xml:space="preserve"> SEQ Abbildung \* ARABIC </w:instrText>
                            </w:r>
                            <w:r>
                              <w:fldChar w:fldCharType="separate"/>
                            </w:r>
                            <w:r w:rsidR="00A5135A">
                              <w:rPr>
                                <w:noProof/>
                              </w:rPr>
                              <w:t>2</w:t>
                            </w:r>
                            <w:r>
                              <w:fldChar w:fldCharType="end"/>
                            </w:r>
                            <w:r>
                              <w:t>: Cookie-Hinweis auf www.orf.at</w:t>
                            </w:r>
                            <w:bookmarkEnd w:id="2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B4842AC" id="Textfeld 5" o:spid="_x0000_s1028" type="#_x0000_t202" style="position:absolute;left:0;text-align:left;margin-left:44.35pt;margin-top:15.65pt;width:366.2pt;height:.0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" stroked="f">
                <v:textbox style="mso-fit-shape-to-text:t" inset="0,0,0,0">
                  <w:txbxContent>
                    <w:p w14:paraId="3203C00A" w14:textId="77777777" w:rsidR="00BC2425" w:rsidRPr="002B435B" w:rsidRDefault="00BC2425" w:rsidP="00F448A0">
                      <w:pPr>
                        <w:pStyle w:val="Beschriftung"/>
                        <w:jc w:val="center"/>
                        <w:rPr>
                          <w:noProof/>
                        </w:rPr>
                      </w:pPr>
                      <w:bookmarkStart w:id="27" w:name="_Toc11619489"/>
                      <w:r>
                        <w:t xml:space="preserve">Abbildung </w:t>
                      </w:r>
                      <w:r>
                        <w:fldChar w:fldCharType="begin"/>
                      </w:r>
                      <w:r>
                        <w:instrText xml:space="preserve"> SEQ Abbildung \* ARABIC </w:instrText>
                      </w:r>
                      <w:r>
                        <w:fldChar w:fldCharType="separate"/>
                      </w:r>
                      <w:r w:rsidR="00A5135A">
                        <w:rPr>
                          <w:noProof/>
                        </w:rPr>
                        <w:t>2</w:t>
                      </w:r>
                      <w:r>
                        <w:fldChar w:fldCharType="end"/>
                      </w:r>
                      <w:r>
                        <w:t>: Cookie-Hinweis auf www.orf.at</w:t>
                      </w:r>
                      <w:bookmarkEnd w:id="27"/>
                    </w:p>
                  </w:txbxContent>
                </v:textbox>
                <w10:wrap type="tight"/>
              </v:shape>
            </w:pict>
          </mc:Fallback>
        </mc:AlternateContent>
      </w:r>
    </w:p>
    <w:p w14:paraId="63844AEC" w14:textId="5FC0B97C" w:rsidR="000475D6" w:rsidRDefault="000475D6" w:rsidP="00B57C1B">
      <w:pPr>
        <w:rPr>
          <w:lang w:val="de-AT"/>
        </w:rPr>
      </w:pPr>
    </w:p>
    <w:p w14:paraId="5D03EB30" w14:textId="58723AE0" w:rsidR="000475D6" w:rsidRDefault="00F74971" w:rsidP="00B57C1B">
      <w:pPr>
        <w:rPr>
          <w:lang w:val="de-AT"/>
        </w:rPr>
      </w:pPr>
      <w:r>
        <w:rPr>
          <w:lang w:val="de-AT"/>
        </w:rPr>
        <w:t xml:space="preserve">Manche Browserhersteller bieten seit einiger Zeit die Möglichkeit, Cookies standardmäßig zu blockieren. Dabei besonders hervorgetan hat sich Mozilla (Firefox Browser). Das Unternehmen gibt selbst an, möglichst wenig Daten zu erfassen, zu anonymisieren, was möglich ist und Daten schnellstmöglich zu löschen </w:t>
      </w:r>
      <w:r>
        <w:rPr>
          <w:lang w:val="de-AT"/>
        </w:rPr>
        <w:fldChar w:fldCharType="begin"/>
      </w:r>
      <w:r>
        <w:rPr>
          <w:lang w:val="de-AT"/>
        </w:rPr>
        <w:instrText xml:space="preserve"> ADDIN EN.CITE &lt;EndNote&gt;&lt;Cite&gt;&lt;Author&gt;Kelly&lt;/Author&gt;&lt;Year&gt;2018&lt;/Year&gt;&lt;IDText&gt;So stehen wir bei Mozilla zu Deiner Privatsphäre&lt;/IDText&gt;&lt;DisplayText&gt;(Kelly, 2018)&lt;/DisplayText&gt;&lt;record&gt;&lt;urls&gt;&lt;related-urls&gt;&lt;url&gt;https://blog.mozilla.org/internetcitizen/de/2018/08/31/so-stehen-wir-bei-mozilla-zu-deiner-privatsphaere/&lt;/url&gt;&lt;/related-urls&gt;&lt;/urls&gt;&lt;titles&gt;&lt;title&gt;So stehen wir bei Mozilla zu Deiner Privatsphäre&lt;/title&gt;&lt;/titles&gt;&lt;number&gt;21.5.2019&lt;/number&gt;&lt;contributors&gt;&lt;authors&gt;&lt;author&gt;Kelly, M.J.&lt;/author&gt;&lt;/authors&gt;&lt;/contributors&gt;&lt;added-date format="utc"&gt;1560614710&lt;/added-date&gt;&lt;ref-type name="Web Page"&gt;12&lt;/ref-type&gt;&lt;dates&gt;&lt;year&gt;2018&lt;/year&gt;&lt;/dates&gt;&lt;rec-number&gt;109&lt;/rec-number&gt;&lt;last-updated-date format="utc"&gt;1560614981&lt;/last-updated-date&gt;&lt;/record&gt;&lt;/Cite&gt;&lt;/EndNote&gt;</w:instrText>
      </w:r>
      <w:r>
        <w:rPr>
          <w:lang w:val="de-AT"/>
        </w:rPr>
        <w:fldChar w:fldCharType="separate"/>
      </w:r>
      <w:r>
        <w:rPr>
          <w:noProof/>
          <w:lang w:val="de-AT"/>
        </w:rPr>
        <w:t>(Kelly, 2018)</w:t>
      </w:r>
      <w:r>
        <w:rPr>
          <w:lang w:val="de-AT"/>
        </w:rPr>
        <w:fldChar w:fldCharType="end"/>
      </w:r>
      <w:r>
        <w:rPr>
          <w:lang w:val="de-AT"/>
        </w:rPr>
        <w:t>.</w:t>
      </w:r>
    </w:p>
    <w:p w14:paraId="56BD87AD" w14:textId="77777777" w:rsidR="000475D6" w:rsidRPr="00B9114B" w:rsidRDefault="000475D6" w:rsidP="00B57C1B">
      <w:pPr>
        <w:rPr>
          <w:lang w:val="de-AT"/>
        </w:rPr>
      </w:pPr>
    </w:p>
    <w:p w14:paraId="62040FCB" w14:textId="022FAB59" w:rsidR="00B57C1B" w:rsidRPr="00B57C1B" w:rsidRDefault="00377C64" w:rsidP="00B57C1B">
      <w:pPr>
        <w:pStyle w:val="berschrift2"/>
        <w:rPr>
          <w:lang w:val="de-AT"/>
        </w:rPr>
      </w:pPr>
      <w:r w:rsidRPr="007F2349">
        <w:rPr>
          <w:lang w:val="de-AT"/>
        </w:rPr>
        <w:br w:type="column"/>
      </w:r>
      <w:bookmarkStart w:id="28" w:name="_Toc11865321"/>
      <w:r w:rsidR="0010710F">
        <w:rPr>
          <w:lang w:val="de-AT"/>
        </w:rPr>
        <w:lastRenderedPageBreak/>
        <w:t>Übermäßige Anwendung der DSGVO</w:t>
      </w:r>
      <w:r w:rsidR="00B57C1B" w:rsidRPr="00B57C1B">
        <w:rPr>
          <w:lang w:val="de-AT"/>
        </w:rPr>
        <w:t xml:space="preserve"> anhand des</w:t>
      </w:r>
      <w:r w:rsidR="00B57C1B">
        <w:rPr>
          <w:lang w:val="de-AT"/>
        </w:rPr>
        <w:t xml:space="preserve"> Wirku</w:t>
      </w:r>
      <w:r w:rsidR="00B57C1B" w:rsidRPr="00B57C1B">
        <w:rPr>
          <w:lang w:val="de-AT"/>
        </w:rPr>
        <w:t xml:space="preserve">ngsbeispiels </w:t>
      </w:r>
      <w:r w:rsidR="00B57C1B">
        <w:rPr>
          <w:lang w:val="de-AT"/>
        </w:rPr>
        <w:t>„</w:t>
      </w:r>
      <w:r w:rsidR="00722583">
        <w:rPr>
          <w:lang w:val="de-AT"/>
        </w:rPr>
        <w:t>Der schriftliche Anruf</w:t>
      </w:r>
      <w:r w:rsidR="00B57C1B" w:rsidRPr="00B57C1B">
        <w:rPr>
          <w:lang w:val="de-AT"/>
        </w:rPr>
        <w:t>“</w:t>
      </w:r>
      <w:bookmarkEnd w:id="28"/>
    </w:p>
    <w:p w14:paraId="50DED4E8" w14:textId="4B8D68D5" w:rsidR="00B57C1B" w:rsidRPr="00BC2425" w:rsidRDefault="00B8068C" w:rsidP="00B57C1B">
      <w:r>
        <w:rPr>
          <w:lang w:val="de-AT"/>
        </w:rPr>
        <w:t>Einige Expertinnen und Experten kritisieren die Datenschutzgrundverordnung in Punkten, wie dem Verhalten bei Anrufen</w:t>
      </w:r>
      <w:r w:rsidR="0094745A">
        <w:rPr>
          <w:lang w:val="de-AT"/>
        </w:rPr>
        <w:t xml:space="preserve"> im alltäglichen Geschäftsgebaren. So bezeichnete der Kölner Rechtsanwalt Christian Solmecke die geforderte Vorgehensweise bei Anrufen von Personen, die einem Unternehmen fremd sind als „absurd“ und als „nicht lebensnah“ </w:t>
      </w:r>
      <w:r w:rsidR="0094745A">
        <w:rPr>
          <w:lang w:val="de-AT"/>
        </w:rPr>
        <w:fldChar w:fldCharType="begin"/>
      </w:r>
      <w:r w:rsidR="0094745A">
        <w:rPr>
          <w:lang w:val="de-AT"/>
        </w:rPr>
        <w:instrText xml:space="preserve"> ADDIN EN.CITE &lt;EndNote&gt;&lt;Cite&gt;&lt;Author&gt;Solmecke&lt;/Author&gt;&lt;Year&gt;2018&lt;/Year&gt;&lt;IDText&gt;DSGVO Wahnsinn: So absurd wird es WIRKLICH, wenn man sich daran hält | RA Christian Solmecke&lt;/IDText&gt;&lt;DisplayText&gt;(Solmecke, 2018)&lt;/DisplayText&gt;&lt;record&gt;&lt;urls&gt;&lt;related-urls&gt;&lt;url&gt;https://www.youtube.com/watch?v=Q_P6Q3fkZB8&lt;/url&gt;&lt;/related-urls&gt;&lt;/urls&gt;&lt;titles&gt;&lt;title&gt;DSGVO Wahnsinn: So absurd wird es WIRKLICH, wenn man sich daran hält | RA Christian Solmecke&lt;/title&gt;&lt;/titles&gt;&lt;access-date&gt;24.5.2019&lt;/access-date&gt;&lt;contributors&gt;&lt;authors&gt;&lt;author&gt;Solmecke, Christian&lt;/author&gt;&lt;/authors&gt;&lt;/contributors&gt;&lt;added-date format="utc"&gt;1560616004&lt;/added-date&gt;&lt;ref-type name="Television Episode"&gt;67&lt;/ref-type&gt;&lt;dates&gt;&lt;year&gt;2018&lt;/year&gt;&lt;/dates&gt;&lt;rec-number&gt;110&lt;/rec-number&gt;&lt;last-updated-date format="utc"&gt;1560616191&lt;/last-updated-date&gt;&lt;/record&gt;&lt;/Cite&gt;&lt;/EndNote&gt;</w:instrText>
      </w:r>
      <w:r w:rsidR="0094745A">
        <w:rPr>
          <w:lang w:val="de-AT"/>
        </w:rPr>
        <w:fldChar w:fldCharType="separate"/>
      </w:r>
      <w:r w:rsidR="0094745A">
        <w:rPr>
          <w:noProof/>
          <w:lang w:val="de-AT"/>
        </w:rPr>
        <w:t>(Solmecke, 2018)</w:t>
      </w:r>
      <w:r w:rsidR="0094745A">
        <w:rPr>
          <w:lang w:val="de-AT"/>
        </w:rPr>
        <w:fldChar w:fldCharType="end"/>
      </w:r>
      <w:r w:rsidR="0094745A">
        <w:rPr>
          <w:lang w:val="de-AT"/>
        </w:rPr>
        <w:t xml:space="preserve">. Nach Abschnitt 2 der Datenschutzgrundverordnung sind bei Erhebung personenbezogener Daten </w:t>
      </w:r>
      <w:r w:rsidR="0010710F">
        <w:rPr>
          <w:lang w:val="de-AT"/>
        </w:rPr>
        <w:t>eingehende</w:t>
      </w:r>
      <w:r w:rsidR="0094745A">
        <w:rPr>
          <w:lang w:val="de-AT"/>
        </w:rPr>
        <w:t xml:space="preserve"> Informationspflichten zu leisten. Diese Informationsrechte nach DSGVO Art</w:t>
      </w:r>
      <w:r w:rsidR="00497802">
        <w:rPr>
          <w:lang w:val="de-AT"/>
        </w:rPr>
        <w:t>ikel</w:t>
      </w:r>
      <w:r w:rsidR="0094745A">
        <w:rPr>
          <w:lang w:val="de-AT"/>
        </w:rPr>
        <w:t xml:space="preserve"> 13 umfassen unter anderem</w:t>
      </w:r>
      <w:r w:rsidR="00497802">
        <w:rPr>
          <w:lang w:val="de-AT"/>
        </w:rPr>
        <w:t xml:space="preserve">: </w:t>
      </w:r>
    </w:p>
    <w:p w14:paraId="3ACD01EE" w14:textId="1079B26E" w:rsidR="0014305E" w:rsidRDefault="0014305E" w:rsidP="0014305E">
      <w:pPr>
        <w:pStyle w:val="Listenabsatz"/>
        <w:numPr>
          <w:ilvl w:val="0"/>
          <w:numId w:val="28"/>
        </w:numPr>
        <w:rPr>
          <w:lang w:val="de-AT"/>
        </w:rPr>
      </w:pPr>
      <w:r>
        <w:t>Namen und die Kontaktdaten des Verantwortlichen</w:t>
      </w:r>
      <w:r>
        <w:rPr>
          <w:lang w:val="de-AT"/>
        </w:rPr>
        <w:t>, sowie unter Umständen die des Vertreters und einen Kontakt zu einem Datenschutzbeauftragten</w:t>
      </w:r>
    </w:p>
    <w:p w14:paraId="27BED937" w14:textId="7ADDAE4C" w:rsidR="0014305E" w:rsidRDefault="0014305E" w:rsidP="0014305E">
      <w:pPr>
        <w:pStyle w:val="Listenabsatz"/>
        <w:numPr>
          <w:ilvl w:val="0"/>
          <w:numId w:val="28"/>
        </w:numPr>
        <w:rPr>
          <w:lang w:val="de-AT"/>
        </w:rPr>
      </w:pPr>
      <w:r>
        <w:rPr>
          <w:lang w:val="de-AT"/>
        </w:rPr>
        <w:t>Zwecke und Rechtsgrundlage für eine Verarbeitung personenbezogener Daten</w:t>
      </w:r>
    </w:p>
    <w:p w14:paraId="25749CF6" w14:textId="17CD8BAD" w:rsidR="0014305E" w:rsidRDefault="0014305E" w:rsidP="0014305E">
      <w:pPr>
        <w:pStyle w:val="Listenabsatz"/>
        <w:numPr>
          <w:ilvl w:val="0"/>
          <w:numId w:val="28"/>
        </w:numPr>
        <w:rPr>
          <w:lang w:val="de-AT"/>
        </w:rPr>
      </w:pPr>
      <w:r>
        <w:rPr>
          <w:lang w:val="de-AT"/>
        </w:rPr>
        <w:t>Speicherdauer oder Kriterien für die Festlegung der Speicherdauer</w:t>
      </w:r>
    </w:p>
    <w:p w14:paraId="437432F4" w14:textId="093785D3" w:rsidR="0014305E" w:rsidRDefault="0014305E" w:rsidP="0014305E">
      <w:pPr>
        <w:pStyle w:val="Listenabsatz"/>
        <w:numPr>
          <w:ilvl w:val="0"/>
          <w:numId w:val="28"/>
        </w:numPr>
        <w:rPr>
          <w:lang w:val="de-AT"/>
        </w:rPr>
      </w:pPr>
      <w:r>
        <w:rPr>
          <w:lang w:val="de-AT"/>
        </w:rPr>
        <w:t>Information über</w:t>
      </w:r>
      <w:r w:rsidR="00FA49B2">
        <w:rPr>
          <w:lang w:val="de-AT"/>
        </w:rPr>
        <w:t xml:space="preserve"> bestehendes</w:t>
      </w:r>
      <w:r>
        <w:rPr>
          <w:lang w:val="de-AT"/>
        </w:rPr>
        <w:t xml:space="preserve"> Beschwerderecht</w:t>
      </w:r>
    </w:p>
    <w:p w14:paraId="6C6BCC79" w14:textId="0FCE8E0F" w:rsidR="0014305E" w:rsidRDefault="0014305E" w:rsidP="0014305E">
      <w:pPr>
        <w:pStyle w:val="Listenabsatz"/>
        <w:numPr>
          <w:ilvl w:val="0"/>
          <w:numId w:val="28"/>
        </w:numPr>
        <w:rPr>
          <w:lang w:val="de-AT"/>
        </w:rPr>
      </w:pPr>
      <w:r>
        <w:rPr>
          <w:lang w:val="de-AT"/>
        </w:rPr>
        <w:t xml:space="preserve">Information über </w:t>
      </w:r>
      <w:r w:rsidR="00FA49B2">
        <w:rPr>
          <w:lang w:val="de-AT"/>
        </w:rPr>
        <w:t xml:space="preserve">bestehendes </w:t>
      </w:r>
      <w:r>
        <w:rPr>
          <w:lang w:val="de-AT"/>
        </w:rPr>
        <w:t>Bereitstellungsrecht</w:t>
      </w:r>
    </w:p>
    <w:p w14:paraId="3E0DCA95" w14:textId="1AC5846D" w:rsidR="005464CD" w:rsidRPr="00B8068C" w:rsidRDefault="00FA49B2" w:rsidP="0040212F">
      <w:pPr>
        <w:rPr>
          <w:lang w:val="de-AT"/>
        </w:rPr>
      </w:pPr>
      <w:r>
        <w:rPr>
          <w:lang w:val="de-AT"/>
        </w:rPr>
        <w:t xml:space="preserve">Diese </w:t>
      </w:r>
      <w:r w:rsidR="00A65287">
        <w:rPr>
          <w:lang w:val="de-AT"/>
        </w:rPr>
        <w:t xml:space="preserve">Information sollte </w:t>
      </w:r>
      <w:r w:rsidR="002E004A">
        <w:rPr>
          <w:lang w:val="de-AT"/>
        </w:rPr>
        <w:t xml:space="preserve">damit </w:t>
      </w:r>
      <w:r w:rsidR="00A65287">
        <w:rPr>
          <w:lang w:val="de-AT"/>
        </w:rPr>
        <w:t>bestenfalls vor Beginn des eigentlichen Telefonats durchgeführt werden, da auch schon bei Anruf</w:t>
      </w:r>
      <w:r w:rsidR="00960D49">
        <w:rPr>
          <w:lang w:val="de-AT"/>
        </w:rPr>
        <w:t xml:space="preserve"> die Aufnahme personenbezogener Daten geschieht</w:t>
      </w:r>
      <w:r w:rsidR="002E004A">
        <w:rPr>
          <w:lang w:val="de-AT"/>
        </w:rPr>
        <w:t xml:space="preserve"> (die Telefonnummer wird gespeichert)</w:t>
      </w:r>
      <w:r w:rsidR="00960D49">
        <w:rPr>
          <w:lang w:val="de-AT"/>
        </w:rPr>
        <w:t>.</w:t>
      </w:r>
      <w:r w:rsidR="002E004A">
        <w:rPr>
          <w:lang w:val="de-AT"/>
        </w:rPr>
        <w:t xml:space="preserve"> </w:t>
      </w:r>
      <w:r w:rsidR="000D0198">
        <w:rPr>
          <w:lang w:val="de-AT"/>
        </w:rPr>
        <w:t>Die Artikel</w:t>
      </w:r>
      <w:r w:rsidR="00B804FD">
        <w:rPr>
          <w:lang w:val="de-AT"/>
        </w:rPr>
        <w:t>-</w:t>
      </w:r>
      <w:r w:rsidR="000D0198">
        <w:rPr>
          <w:lang w:val="de-AT"/>
        </w:rPr>
        <w:t>29</w:t>
      </w:r>
      <w:r w:rsidR="00B804FD">
        <w:rPr>
          <w:lang w:val="de-AT"/>
        </w:rPr>
        <w:t>-</w:t>
      </w:r>
      <w:r w:rsidR="000D0198">
        <w:rPr>
          <w:lang w:val="de-AT"/>
        </w:rPr>
        <w:t xml:space="preserve">Arbeitsgruppe hat aufgrund </w:t>
      </w:r>
      <w:r w:rsidR="00B804FD">
        <w:rPr>
          <w:lang w:val="de-AT"/>
        </w:rPr>
        <w:t xml:space="preserve">der </w:t>
      </w:r>
      <w:r w:rsidR="00FB7178">
        <w:rPr>
          <w:lang w:val="de-AT"/>
        </w:rPr>
        <w:t>strengen</w:t>
      </w:r>
      <w:r w:rsidR="00B804FD">
        <w:rPr>
          <w:lang w:val="de-AT"/>
        </w:rPr>
        <w:t xml:space="preserve"> Vorgaben der Verordnung Vorschläge für eine Adaption der Vorgehensweise geliefert, die ein kurzes mündliches Statement zu erhobenen Daten erlauben, wenn gleichzeitig auf eine in schriftlicher Form vorliegende Datenschutzerklärung hingewiesen wird </w:t>
      </w:r>
      <w:r w:rsidR="001B3F1F">
        <w:rPr>
          <w:lang w:val="de-AT"/>
        </w:rPr>
        <w:fldChar w:fldCharType="begin"/>
      </w:r>
      <w:r w:rsidR="001B3F1F">
        <w:rPr>
          <w:lang w:val="de-AT"/>
        </w:rPr>
        <w:instrText xml:space="preserve"> ADDIN EN.CITE &lt;EndNote&gt;&lt;Cite&gt;&lt;Author&gt;Artikel-29-Datenschutzgruppe&lt;/Author&gt;&lt;Year&gt;2018&lt;/Year&gt;&lt;IDText&gt;Guidelines on transparency under Regulation 2016/679&lt;/IDText&gt;&lt;DisplayText&gt;(Artikel-29-Datenschutzgruppe, 2018)&lt;/DisplayText&gt;&lt;record&gt;&lt;urls&gt;&lt;related-urls&gt;&lt;url&gt;https://www.dsb.gv.at/documents/22758/1101467/Guidelines+on+transparency+under+Regulation+2016-679.pdf/c6611b2a-b63e-4165-86cf-6bd715d30f01&lt;/url&gt;&lt;/related-urls&gt;&lt;/urls&gt;&lt;titles&gt;&lt;title&gt;Guidelines on transparency under Regulation 2016/679&lt;/title&gt;&lt;/titles&gt;&lt;access-date&gt;24.5.2019&lt;/access-date&gt;&lt;contributors&gt;&lt;authors&gt;&lt;author&gt;Artikel-29-Datenschutzgruppe&lt;/author&gt;&lt;/authors&gt;&lt;/contributors&gt;&lt;added-date format="utc"&gt;1560675715&lt;/added-date&gt;&lt;ref-type name="Generic"&gt;13&lt;/ref-type&gt;&lt;dates&gt;&lt;year&gt;2018&lt;/year&gt;&lt;/dates&gt;&lt;rec-number&gt;111&lt;/rec-number&gt;&lt;last-updated-date format="utc"&gt;1560676122&lt;/last-updated-date&gt;&lt;/record&gt;&lt;/Cite&gt;&lt;/EndNote&gt;</w:instrText>
      </w:r>
      <w:r w:rsidR="001B3F1F">
        <w:rPr>
          <w:lang w:val="de-AT"/>
        </w:rPr>
        <w:fldChar w:fldCharType="separate"/>
      </w:r>
      <w:r w:rsidR="001B3F1F">
        <w:rPr>
          <w:noProof/>
          <w:lang w:val="de-AT"/>
        </w:rPr>
        <w:t>(Artikel-29-Datenschutzgruppe, 2018)</w:t>
      </w:r>
      <w:r w:rsidR="001B3F1F">
        <w:rPr>
          <w:lang w:val="de-AT"/>
        </w:rPr>
        <w:fldChar w:fldCharType="end"/>
      </w:r>
      <w:r w:rsidR="00B804FD">
        <w:rPr>
          <w:lang w:val="de-AT"/>
        </w:rPr>
        <w:t>.</w:t>
      </w:r>
      <w:r w:rsidR="001B3F1F">
        <w:rPr>
          <w:lang w:val="de-AT"/>
        </w:rPr>
        <w:t xml:space="preserve"> </w:t>
      </w:r>
      <w:r w:rsidR="00B804FD">
        <w:rPr>
          <w:lang w:val="de-AT"/>
        </w:rPr>
        <w:t xml:space="preserve">Einige Banken und Telekommunikationskonzerne und andere größere Unternehmen versuchen, diese Informationspflicht zu erfüllen, indem sie, bereits vor Erstkontakt mit KundenberaterInnen, automatisierte Sprachnachrichten mit Hinweis auf ihre Datenschutzerklärung abgeben. Dies ist jedoch bei Klein- und Mittelbetrieben oftmals nicht mit einem </w:t>
      </w:r>
      <w:r w:rsidR="0040212F">
        <w:rPr>
          <w:lang w:val="de-AT"/>
        </w:rPr>
        <w:t>nicht-</w:t>
      </w:r>
      <w:r w:rsidR="00B804FD">
        <w:rPr>
          <w:lang w:val="de-AT"/>
        </w:rPr>
        <w:t xml:space="preserve">vertretbaren </w:t>
      </w:r>
      <w:r w:rsidR="0040212F">
        <w:rPr>
          <w:lang w:val="de-AT"/>
        </w:rPr>
        <w:t xml:space="preserve">(finanziellen) </w:t>
      </w:r>
      <w:r w:rsidR="00B804FD">
        <w:rPr>
          <w:lang w:val="de-AT"/>
        </w:rPr>
        <w:t>Aufwand verbunden und damit nicht operativ lösbar</w:t>
      </w:r>
      <w:r w:rsidR="0040212F">
        <w:rPr>
          <w:lang w:val="de-AT"/>
        </w:rPr>
        <w:t>, sie müssen jeden Anruf individuell behandeln.</w:t>
      </w:r>
    </w:p>
    <w:p w14:paraId="1BFA9667" w14:textId="0C622393" w:rsidR="00270E89" w:rsidRPr="00B8068C" w:rsidRDefault="00270E89">
      <w:pPr>
        <w:spacing w:after="200" w:line="276" w:lineRule="auto"/>
        <w:jc w:val="left"/>
        <w:rPr>
          <w:lang w:val="de-AT"/>
        </w:rPr>
      </w:pPr>
      <w:r w:rsidRPr="00B8068C">
        <w:rPr>
          <w:lang w:val="de-AT"/>
        </w:rPr>
        <w:br w:type="page"/>
      </w:r>
    </w:p>
    <w:p w14:paraId="28B520AF" w14:textId="7D16B985" w:rsidR="002921ED" w:rsidRDefault="0005386A" w:rsidP="002921ED">
      <w:pPr>
        <w:pStyle w:val="berschrift2"/>
        <w:rPr>
          <w:lang w:val="de-AT"/>
        </w:rPr>
      </w:pPr>
      <w:bookmarkStart w:id="29" w:name="_Toc11865322"/>
      <w:r>
        <w:rPr>
          <w:lang w:val="de-AT"/>
        </w:rPr>
        <w:lastRenderedPageBreak/>
        <w:t>Urteile und Gerichtsverfahren</w:t>
      </w:r>
      <w:r w:rsidR="009241DD">
        <w:rPr>
          <w:lang w:val="de-AT"/>
        </w:rPr>
        <w:t xml:space="preserve"> und sonstige Erkenntnisse</w:t>
      </w:r>
      <w:r>
        <w:rPr>
          <w:lang w:val="de-AT"/>
        </w:rPr>
        <w:t xml:space="preserve"> </w:t>
      </w:r>
      <w:r w:rsidR="000326D7">
        <w:rPr>
          <w:lang w:val="de-AT"/>
        </w:rPr>
        <w:t>in Bezug auf die</w:t>
      </w:r>
      <w:r w:rsidR="002921ED" w:rsidRPr="00031950">
        <w:rPr>
          <w:lang w:val="de-AT"/>
        </w:rPr>
        <w:t xml:space="preserve"> Datenschutzgrundverordnung</w:t>
      </w:r>
      <w:bookmarkEnd w:id="29"/>
    </w:p>
    <w:p w14:paraId="07346E43" w14:textId="661CC3BE" w:rsidR="008C698C" w:rsidRDefault="00B778A2" w:rsidP="00A749C0">
      <w:pPr>
        <w:rPr>
          <w:lang w:val="de-AT"/>
        </w:rPr>
      </w:pPr>
      <w:r>
        <w:rPr>
          <w:lang w:val="de-AT"/>
        </w:rPr>
        <w:t xml:space="preserve">Soll die Wirksamkeit der </w:t>
      </w:r>
      <w:r w:rsidR="0095732C">
        <w:rPr>
          <w:lang w:val="de-AT"/>
        </w:rPr>
        <w:t>europäischen Datenschutzgrundverordnung i</w:t>
      </w:r>
      <w:r w:rsidR="00B039D7">
        <w:rPr>
          <w:lang w:val="de-AT"/>
        </w:rPr>
        <w:t>n</w:t>
      </w:r>
      <w:r w:rsidR="0095732C">
        <w:rPr>
          <w:lang w:val="de-AT"/>
        </w:rPr>
        <w:t xml:space="preserve"> Bezug auf den Schutz der Persönlichkeitsrechte europäischer Bürger eruiert werden, so ist es notwendig, </w:t>
      </w:r>
      <w:r w:rsidR="00C12072">
        <w:rPr>
          <w:lang w:val="de-AT"/>
        </w:rPr>
        <w:t xml:space="preserve">einen Blick auf die Wirksamkeit durch Strafen und Urteile zu werfen. </w:t>
      </w:r>
      <w:r w:rsidR="0005386A">
        <w:rPr>
          <w:lang w:val="de-AT"/>
        </w:rPr>
        <w:t xml:space="preserve">Im Folgenden wird ein Überblick über einige momentan anhängige und abgeschlossene Verfahren im europäischen Raum gegeben, </w:t>
      </w:r>
      <w:r w:rsidR="00A749C0">
        <w:rPr>
          <w:lang w:val="de-AT"/>
        </w:rPr>
        <w:t>die sich auf die geltende Rechtslage beziehen.</w:t>
      </w:r>
      <w:r w:rsidR="009057C3">
        <w:rPr>
          <w:lang w:val="de-AT"/>
        </w:rPr>
        <w:t xml:space="preserve"> </w:t>
      </w:r>
    </w:p>
    <w:p w14:paraId="0D54AC6A" w14:textId="77777777" w:rsidR="00483A06" w:rsidRDefault="00483A06" w:rsidP="00483A06">
      <w:r>
        <w:t xml:space="preserve">In Deutschland berichtete die Rechtsanwaltskanzlei Martini-Mogg-Vogt, erfolgreich mehrere Verfahren in Bezug auf die DSGVO geführt zu haben, darunter auch ein Urteil zu ungenehmigter Werbung, bei dem das beklagte Unternehmen zu einer Unterlassung verurteilt wurde </w:t>
      </w:r>
      <w:r>
        <w:fldChar w:fldCharType="begin"/>
      </w:r>
      <w:r>
        <w:instrText xml:space="preserve"> ADDIN EN.CITE &lt;EndNote&gt;&lt;Cite&gt;&lt;Author&gt;Haschert&lt;/Author&gt;&lt;Year&gt;2018&lt;/Year&gt;&lt;IDText&gt;Einstweilige Verfügung unter der DSGVO [Pressemeldung]&lt;/IDText&gt;&lt;DisplayText&gt;(Haschert &amp;amp; Müller, 2018)&lt;/DisplayText&gt;&lt;record&gt;&lt;urls&gt;&lt;related-urls&gt;&lt;url&gt;https://www.mmv-recht.de/de/einstweilige-verf%C3%BCgung-unter-der-dsgvo&lt;/url&gt;&lt;/related-urls&gt;&lt;/urls&gt;&lt;titles&gt;&lt;title&gt;Einstweilige Verfügung unter der DSGVO [Pressemeldung]&lt;/title&gt;&lt;/titles&gt;&lt;access-date&gt;6.6.2019&lt;/access-date&gt;&lt;contributors&gt;&lt;authors&gt;&lt;author&gt;Haschert, Thomas&lt;/author&gt;&lt;author&gt;Müller, Kevin&lt;/author&gt;&lt;/authors&gt;&lt;/contributors&gt;&lt;added-date format="utc"&gt;1560680948&lt;/added-date&gt;&lt;ref-type name="Generic"&gt;13&lt;/ref-type&gt;&lt;dates&gt;&lt;year&gt;2018&lt;/year&gt;&lt;/dates&gt;&lt;rec-number&gt;114&lt;/rec-number&gt;&lt;last-updated-date format="utc"&gt;1560681226&lt;/last-updated-date&gt;&lt;/record&gt;&lt;/Cite&gt;&lt;/EndNote&gt;</w:instrText>
      </w:r>
      <w:r>
        <w:fldChar w:fldCharType="separate"/>
      </w:r>
      <w:r>
        <w:rPr>
          <w:noProof/>
        </w:rPr>
        <w:t>(Haschert &amp; Müller, 2018)</w:t>
      </w:r>
      <w:r>
        <w:fldChar w:fldCharType="end"/>
      </w:r>
      <w:r>
        <w:t xml:space="preserve">. Das Landesarbeitsgericht Baden-Württemberg </w:t>
      </w:r>
      <w:r>
        <w:fldChar w:fldCharType="begin"/>
      </w:r>
      <w:r>
        <w:instrText xml:space="preserve"> ADDIN EN.CITE &lt;EndNote&gt;&lt;Cite ExcludeAuth="1"&gt;&lt;Author&gt;LArbG Baden-Württemberg&lt;/Author&gt;&lt;Year&gt;2018&lt;/Year&gt;&lt;IDText&gt;Urteil vom 20.12.2018, 17 Sa 11/18 - Auskunftsanspruch nach der Datenschutzgrundverordnung (DSGVO) - berechtigte Interessen Dritter an einer Geheimhaltung&lt;/IDText&gt;&lt;DisplayText&gt;(2018)&lt;/DisplayText&gt;&lt;record&gt;&lt;urls&gt;&lt;related-urls&gt;&lt;url&gt;http://lrbw.juris.de/cgi-bin/laender_rechtsprechung/document.py?Gericht=bw&amp;amp;nr=27411&lt;/url&gt;&lt;/related-urls&gt;&lt;/urls&gt;&lt;titles&gt;&lt;title&gt;Urteil vom 20.12.2018, 17 Sa 11/18 - Auskunftsanspruch nach der Datenschutzgrundverordnung (DSGVO) - berechtigte Interessen Dritter an einer Geheimhaltung&lt;/title&gt;&lt;/titles&gt;&lt;access-date&gt;6.6.2019&lt;/access-date&gt;&lt;contributors&gt;&lt;authors&gt;&lt;author&gt;LArbG Baden-Württemberg,&lt;/author&gt;&lt;/authors&gt;&lt;/contributors&gt;&lt;added-date format="utc"&gt;1560681735&lt;/added-date&gt;&lt;ref-type name="Generic"&gt;13&lt;/ref-type&gt;&lt;dates&gt;&lt;year&gt;2018&lt;/year&gt;&lt;/dates&gt;&lt;rec-number&gt;115&lt;/rec-number&gt;&lt;last-updated-date format="utc"&gt;1560681825&lt;/last-updated-date&gt;&lt;/record&gt;&lt;/Cite&gt;&lt;/EndNote&gt;</w:instrText>
      </w:r>
      <w:r>
        <w:fldChar w:fldCharType="separate"/>
      </w:r>
      <w:r>
        <w:rPr>
          <w:noProof/>
        </w:rPr>
        <w:t>(2018)</w:t>
      </w:r>
      <w:r>
        <w:fldChar w:fldCharType="end"/>
      </w:r>
      <w:r>
        <w:t xml:space="preserve"> urteilte exemplarisch, dass ArbeitnehmerInnen einen Auskunftsanspruch gemäß DSGVO für Einsicht in ihre Personalakte hätten und stellte damit ein frühes Grundsatzurteil in Deutschland dar.</w:t>
      </w:r>
    </w:p>
    <w:p w14:paraId="083CA660" w14:textId="5E3789BD" w:rsidR="00326219" w:rsidRDefault="00326219" w:rsidP="00A749C0">
      <w:r>
        <w:t xml:space="preserve">Große mediale Aufmerksamkeit erregte im Jänner 2019 eine von der französischen Datenschutzbehörde CNIL </w:t>
      </w:r>
      <w:r w:rsidRPr="00A5135A">
        <w:rPr>
          <w:lang w:val="de-AT"/>
        </w:rPr>
        <w:t>(„</w:t>
      </w:r>
      <w:proofErr w:type="spellStart"/>
      <w:r w:rsidRPr="00A5135A">
        <w:rPr>
          <w:lang w:val="de-AT"/>
        </w:rPr>
        <w:t>Commission</w:t>
      </w:r>
      <w:proofErr w:type="spellEnd"/>
      <w:r w:rsidRPr="00A5135A">
        <w:rPr>
          <w:lang w:val="de-AT"/>
        </w:rPr>
        <w:t xml:space="preserve"> Nationale de </w:t>
      </w:r>
      <w:proofErr w:type="spellStart"/>
      <w:r w:rsidRPr="00A5135A">
        <w:rPr>
          <w:lang w:val="de-AT"/>
        </w:rPr>
        <w:t>l’Informatique</w:t>
      </w:r>
      <w:proofErr w:type="spellEnd"/>
      <w:r w:rsidRPr="00A5135A">
        <w:rPr>
          <w:lang w:val="de-AT"/>
        </w:rPr>
        <w:t xml:space="preserve"> et des </w:t>
      </w:r>
      <w:proofErr w:type="spellStart"/>
      <w:r w:rsidRPr="00A5135A">
        <w:rPr>
          <w:lang w:val="de-AT"/>
        </w:rPr>
        <w:t>Libertés</w:t>
      </w:r>
      <w:proofErr w:type="spellEnd"/>
      <w:r w:rsidRPr="00A5135A">
        <w:rPr>
          <w:lang w:val="de-AT"/>
        </w:rPr>
        <w:t>“)</w:t>
      </w:r>
      <w:r>
        <w:t xml:space="preserve"> verhängte Strafe gegen den Internetkonzern Google. Die Behörde verhängte eine Strafe von 50 Millionen Euro über Google, da der Konzern mit seinen Diensten gegen die DSGVO i</w:t>
      </w:r>
      <w:r w:rsidR="00A23F4D">
        <w:t xml:space="preserve">n den </w:t>
      </w:r>
      <w:r>
        <w:t>Bereich</w:t>
      </w:r>
      <w:r w:rsidR="00A23F4D">
        <w:t>en</w:t>
      </w:r>
      <w:r>
        <w:t xml:space="preserve"> Transparenz, Informationspflicht und Einwilligung im Bereich von Werbeanzeigenpräferenzen verstößt </w:t>
      </w:r>
      <w:r>
        <w:fldChar w:fldCharType="begin"/>
      </w:r>
      <w:r>
        <w:instrText xml:space="preserve"> ADDIN EN.CITE &lt;EndNote&gt;&lt;Cite&gt;&lt;Author&gt;CNIL&lt;/Author&gt;&lt;Year&gt;2019&lt;/Year&gt;&lt;IDText&gt;The CNIL’s restricted committee imposes a financial penalty of 50 Million euros against GOOGLE LLC&lt;/IDText&gt;&lt;DisplayText&gt;(CNIL, 2019)&lt;/DisplayText&gt;&lt;record&gt;&lt;urls&gt;&lt;related-urls&gt;&lt;url&gt;https://www.cnil.fr/en/cnils-restricted-committee-imposes-financial-penalty-50-million-euros-against-google-llc&lt;/url&gt;&lt;/related-urls&gt;&lt;/urls&gt;&lt;titles&gt;&lt;title&gt;The CNIL’s restricted committee imposes a financial penalty of 50 Million euros against GOOGLE LLC&lt;/title&gt;&lt;/titles&gt;&lt;access-date&gt;6.6.2019&lt;/access-date&gt;&lt;contributors&gt;&lt;authors&gt;&lt;author&gt;CNIL&lt;/author&gt;&lt;/authors&gt;&lt;/contributors&gt;&lt;added-date format="utc"&gt;1560686362&lt;/added-date&gt;&lt;ref-type name="Press Release"&gt;63&lt;/ref-type&gt;&lt;dates&gt;&lt;year&gt;2019&lt;/year&gt;&lt;/dates&gt;&lt;rec-number&gt;117&lt;/rec-number&gt;&lt;publisher&gt;Commission Nationale de l’Informatique et des Libertés&lt;/publisher&gt;&lt;last-updated-date format="utc"&gt;1560686431&lt;/last-updated-date&gt;&lt;/record&gt;&lt;/Cite&gt;&lt;/EndNote&gt;</w:instrText>
      </w:r>
      <w:r>
        <w:fldChar w:fldCharType="separate"/>
      </w:r>
      <w:r>
        <w:rPr>
          <w:noProof/>
        </w:rPr>
        <w:t>(CNIL, 2019)</w:t>
      </w:r>
      <w:r>
        <w:fldChar w:fldCharType="end"/>
      </w:r>
      <w:r>
        <w:t>.</w:t>
      </w:r>
    </w:p>
    <w:p w14:paraId="3B9552B5" w14:textId="52F412E5" w:rsidR="00483A06" w:rsidRDefault="00483A06" w:rsidP="00A749C0">
      <w:r>
        <w:t xml:space="preserve">Am 12. Juni 2019 gab der Verein NOYB </w:t>
      </w:r>
      <w:r w:rsidRPr="00A5135A">
        <w:rPr>
          <w:lang w:val="de-AT"/>
        </w:rPr>
        <w:t xml:space="preserve">(„None </w:t>
      </w:r>
      <w:proofErr w:type="spellStart"/>
      <w:r w:rsidRPr="00A5135A">
        <w:rPr>
          <w:lang w:val="de-AT"/>
        </w:rPr>
        <w:t>Of</w:t>
      </w:r>
      <w:proofErr w:type="spellEnd"/>
      <w:r w:rsidRPr="00A5135A">
        <w:rPr>
          <w:lang w:val="de-AT"/>
        </w:rPr>
        <w:t xml:space="preserve"> </w:t>
      </w:r>
      <w:proofErr w:type="spellStart"/>
      <w:r w:rsidRPr="00A5135A">
        <w:rPr>
          <w:lang w:val="de-AT"/>
        </w:rPr>
        <w:t>Your</w:t>
      </w:r>
      <w:proofErr w:type="spellEnd"/>
      <w:r w:rsidRPr="00A5135A">
        <w:rPr>
          <w:lang w:val="de-AT"/>
        </w:rPr>
        <w:t xml:space="preserve"> Business“),</w:t>
      </w:r>
      <w:r>
        <w:t xml:space="preserve"> der sich für die Rechtsdurchsetzung und Einhaltung von Datenschutzgesetzen einsetzt, bekannt, dass der Oberste Gerichtshof in Österreich einer Revision von Facebook nicht stattgegeben hatte </w:t>
      </w:r>
      <w:r>
        <w:fldChar w:fldCharType="begin"/>
      </w:r>
      <w:r>
        <w:instrText xml:space="preserve"> ADDIN EN.CITE &lt;EndNote&gt;&lt;Cite&gt;&lt;Author&gt;NOYB&lt;/Author&gt;&lt;Year&gt;2019&lt;/Year&gt;&lt;IDText&gt;Facebook blitzt beim Obersten Gerichtshof endgültig ab&lt;/IDText&gt;&lt;DisplayText&gt;(NOYB, 2019a)&lt;/DisplayText&gt;&lt;record&gt;&lt;urls&gt;&lt;related-urls&gt;&lt;url&gt;https://noyb.eu/wp-content/uploads/2019/06/PA_OGH_de.pdf&lt;/url&gt;&lt;/related-urls&gt;&lt;/urls&gt;&lt;titles&gt;&lt;title&gt;Facebook blitzt beim Obersten Gerichtshof endgültig ab&amp;#xA;DSGVO-Musterklage ist nun in Wien zu verhandeln [Pressemeldung]&lt;/title&gt;&lt;/titles&gt;&lt;access-date&gt;13.6.2019&lt;/access-date&gt;&lt;contributors&gt;&lt;authors&gt;&lt;author&gt;NOYB&lt;/author&gt;&lt;/authors&gt;&lt;/contributors&gt;&lt;added-date format="utc"&gt;1560679201&lt;/added-date&gt;&lt;ref-type name="Press Release"&gt;63&lt;/ref-type&gt;&lt;dates&gt;&lt;year&gt;2019&lt;/year&gt;&lt;/dates&gt;&lt;rec-number&gt;112&lt;/rec-number&gt;&lt;publisher&gt;NOYB - Europäisches Zentrum für digitale Rechte&lt;/publisher&gt;&lt;last-updated-date format="utc"&gt;1560679691&lt;/last-updated-date&gt;&lt;/record&gt;&lt;/Cite&gt;&lt;/EndNote&gt;</w:instrText>
      </w:r>
      <w:r>
        <w:fldChar w:fldCharType="separate"/>
      </w:r>
      <w:r>
        <w:rPr>
          <w:noProof/>
        </w:rPr>
        <w:t>(NOYB, 2019a)</w:t>
      </w:r>
      <w:r>
        <w:fldChar w:fldCharType="end"/>
      </w:r>
      <w:r>
        <w:t xml:space="preserve">. Der Konzern hatte zuvor argumentiert, dass Rechtsansprüche nach DSGVO nicht vor Gerichten geltend machbar seien </w:t>
      </w:r>
      <w:r>
        <w:fldChar w:fldCharType="begin"/>
      </w:r>
      <w:r>
        <w:instrText xml:space="preserve"> ADDIN EN.CITE &lt;EndNote&gt;&lt;Cite&gt;&lt;Author&gt;Oberster Gerichtshof&lt;/Author&gt;&lt;Year&gt;2019&lt;/Year&gt;&lt;IDText&gt;6 Ob 91/19d - Beschluss vom 11.06.2019&lt;/IDText&gt;&lt;DisplayText&gt;(Oberster Gerichtshof, 2019)&lt;/DisplayText&gt;&lt;record&gt;&lt;urls&gt;&lt;related-urls&gt;&lt;url&gt;https://noyb.eu/wp-content/uploads/2019/06/ogh_e.pdf&lt;/url&gt;&lt;/related-urls&gt;&lt;/urls&gt;&lt;titles&gt;&lt;title&gt;6 Ob 91/19d - Beschluss vom 11.06.2019&lt;/title&gt;&lt;/titles&gt;&lt;access-date&gt;13.6.2019&lt;/access-date&gt;&lt;contributors&gt;&lt;authors&gt;&lt;author&gt;Oberster Gerichtshof,&lt;/author&gt;&lt;/authors&gt;&lt;/contributors&gt;&lt;added-date format="utc"&gt;1560680002&lt;/added-date&gt;&lt;ref-type name="Generic"&gt;13&lt;/ref-type&gt;&lt;dates&gt;&lt;year&gt;2019&lt;/year&gt;&lt;/dates&gt;&lt;rec-number&gt;113&lt;/rec-number&gt;&lt;publisher&gt;Oberster Gerichtshof der Republik Österreich&lt;/publisher&gt;&lt;last-updated-date format="utc"&gt;1560680207&lt;/last-updated-date&gt;&lt;/record&gt;&lt;/Cite&gt;&lt;/EndNote&gt;</w:instrText>
      </w:r>
      <w:r>
        <w:fldChar w:fldCharType="separate"/>
      </w:r>
      <w:r>
        <w:rPr>
          <w:noProof/>
        </w:rPr>
        <w:t>(Oberster Gerichtshof, 2019)</w:t>
      </w:r>
      <w:r>
        <w:fldChar w:fldCharType="end"/>
      </w:r>
      <w:r>
        <w:t xml:space="preserve">. Damit sei laut dem transnationalen Verein eine Grundsatzfrage geklärt, die es ÖsterreicherInnen ermöglicht, ihre Rechte einzuklagen </w:t>
      </w:r>
      <w:r>
        <w:fldChar w:fldCharType="begin"/>
      </w:r>
      <w:r>
        <w:instrText xml:space="preserve"> ADDIN EN.CITE &lt;EndNote&gt;&lt;Cite&gt;&lt;Author&gt;NOYB&lt;/Author&gt;&lt;Year&gt;2019&lt;/Year&gt;&lt;IDText&gt;Facebook blitzt beim Obersten Gerichtshof endgültig ab&lt;/IDText&gt;&lt;DisplayText&gt;(NOYB, 2019a)&lt;/DisplayText&gt;&lt;record&gt;&lt;urls&gt;&lt;related-urls&gt;&lt;url&gt;https://noyb.eu/wp-content/uploads/2019/06/PA_OGH_de.pdf&lt;/url&gt;&lt;/related-urls&gt;&lt;/urls&gt;&lt;titles&gt;&lt;title&gt;Facebook blitzt beim Obersten Gerichtshof endgültig ab&amp;#xA;DSGVO-Musterklage ist nun in Wien zu verhandeln [Pressemeldung]&lt;/title&gt;&lt;/titles&gt;&lt;access-date&gt;13.6.2019&lt;/access-date&gt;&lt;contributors&gt;&lt;authors&gt;&lt;author&gt;NOYB&lt;/author&gt;&lt;/authors&gt;&lt;/contributors&gt;&lt;added-date format="utc"&gt;1560679201&lt;/added-date&gt;&lt;ref-type name="Press Release"&gt;63&lt;/ref-type&gt;&lt;dates&gt;&lt;year&gt;2019&lt;/year&gt;&lt;/dates&gt;&lt;rec-number&gt;112&lt;/rec-number&gt;&lt;publisher&gt;NOYB - Europäisches Zentrum für digitale Rechte&lt;/publisher&gt;&lt;last-updated-date format="utc"&gt;1560679691&lt;/last-updated-date&gt;&lt;/record&gt;&lt;/Cite&gt;&lt;/EndNote&gt;</w:instrText>
      </w:r>
      <w:r>
        <w:fldChar w:fldCharType="separate"/>
      </w:r>
      <w:r>
        <w:rPr>
          <w:noProof/>
        </w:rPr>
        <w:t>(NOYB, 2019a)</w:t>
      </w:r>
      <w:r>
        <w:fldChar w:fldCharType="end"/>
      </w:r>
      <w:r>
        <w:t>.</w:t>
      </w:r>
    </w:p>
    <w:p w14:paraId="0590271C" w14:textId="29B877BA" w:rsidR="00B039D7" w:rsidRDefault="009241DD" w:rsidP="00A749C0">
      <w:r>
        <w:t>Die österreichische Datenschutzbehörde (DSB) gab in ihrem Datenschutzbericht für 2018 an, dass sich die Beschwerden von 156 im Vorjahr (2017) auf 1036 im Jahr 2018 erhöht hatten und insgesamt 134 Verwaltungsstrafverfahren geführt wurden</w:t>
      </w:r>
      <w:r w:rsidR="008C46E5">
        <w:t>,</w:t>
      </w:r>
      <w:r>
        <w:t xml:space="preserve"> von </w:t>
      </w:r>
      <w:r>
        <w:lastRenderedPageBreak/>
        <w:t>denen 83 eingestellt</w:t>
      </w:r>
      <w:r w:rsidR="0012224D">
        <w:t xml:space="preserve"> wurden</w:t>
      </w:r>
      <w:r>
        <w:t xml:space="preserve">, 4 zu Ermahnungen und 5 zu Straferkenntnissen </w:t>
      </w:r>
      <w:r w:rsidR="0012224D">
        <w:t xml:space="preserve">geführt haben </w:t>
      </w:r>
      <w:r w:rsidR="0012224D">
        <w:fldChar w:fldCharType="begin"/>
      </w:r>
      <w:r w:rsidR="0012224D">
        <w:instrText xml:space="preserve"> ADDIN EN.CITE &lt;EndNote&gt;&lt;Cite&gt;&lt;Author&gt;Jelinek&lt;/Author&gt;&lt;Year&gt;2019&lt;/Year&gt;&lt;IDText&gt;Datenschutzbericht 2018&lt;/IDText&gt;&lt;DisplayText&gt;(Jelinek, 2019)&lt;/DisplayText&gt;&lt;record&gt;&lt;urls&gt;&lt;related-urls&gt;&lt;url&gt;https://www.dsb.gv.at/documents/22758/0/datenschutzbericht_2018.pdf/86c43a23-7778-487a-88c4-a151d4b00a77&lt;/url&gt;&lt;/related-urls&gt;&lt;/urls&gt;&lt;titles&gt;&lt;title&gt;Datenschutzbericht 2018&lt;/title&gt;&lt;/titles&gt;&lt;contributors&gt;&lt;authors&gt;&lt;author&gt;Jelinek, Andre&lt;/author&gt;&lt;/authors&gt;&lt;/contributors&gt;&lt;added-date format="utc"&gt;1560683090&lt;/added-date&gt;&lt;ref-type name="Generic"&gt;13&lt;/ref-type&gt;&lt;dates&gt;&lt;year&gt;2019&lt;/year&gt;&lt;/dates&gt;&lt;rec-number&gt;116&lt;/rec-number&gt;&lt;publisher&gt;Datenschutzbehörde DSB&lt;/publisher&gt;&lt;last-updated-date format="utc"&gt;1560683163&lt;/last-updated-date&gt;&lt;/record&gt;&lt;/Cite&gt;&lt;/EndNote&gt;</w:instrText>
      </w:r>
      <w:r w:rsidR="0012224D">
        <w:fldChar w:fldCharType="separate"/>
      </w:r>
      <w:r w:rsidR="0012224D">
        <w:rPr>
          <w:noProof/>
        </w:rPr>
        <w:t>(Jelinek, 2019)</w:t>
      </w:r>
      <w:r w:rsidR="0012224D">
        <w:fldChar w:fldCharType="end"/>
      </w:r>
      <w:r w:rsidR="0012224D">
        <w:t>.</w:t>
      </w:r>
    </w:p>
    <w:p w14:paraId="66306EEB" w14:textId="2A837C63" w:rsidR="00872604" w:rsidRDefault="006762FC" w:rsidP="00A749C0">
      <w:r>
        <w:t>2018 wurden i</w:t>
      </w:r>
      <w:r w:rsidR="00E4668F">
        <w:t xml:space="preserve">n Deutschland laut einer Umfrage </w:t>
      </w:r>
      <w:r>
        <w:t>unter den Datenschutzbeauftragen der Bundesländer</w:t>
      </w:r>
      <w:r w:rsidR="0020537A">
        <w:t xml:space="preserve"> </w:t>
      </w:r>
      <w:r w:rsidR="00E4668F">
        <w:t>in 41 Fällen Bußgelder</w:t>
      </w:r>
      <w:r>
        <w:t xml:space="preserve"> aufgrund von Verstößen gegen die DSGVO verhängt </w:t>
      </w:r>
      <w:r>
        <w:fldChar w:fldCharType="begin"/>
      </w:r>
      <w:r>
        <w:instrText xml:space="preserve"> ADDIN EN.CITE &lt;EndNote&gt;&lt;Cite&gt;&lt;Author&gt;Anger&lt;/Author&gt;&lt;Year&gt;2019&lt;/Year&gt;&lt;IDText&gt;Behörden verhängen erste Bußgelder wegen Verstößen gegen DSGVO&lt;/IDText&gt;&lt;DisplayText&gt;(Anger &amp;amp; Neuerer, 2019)&lt;/DisplayText&gt;&lt;record&gt;&lt;urls&gt;&lt;related-urls&gt;&lt;url&gt;https://www.handelsblatt.com/politik/deutschland/datenschutzgrundverordnung-behoerden-verhaengen-erste-bussgelder-wegen-verstoessen-gegen-dsgvo/23872806.html?ticket=ST-2168517-aN6wCdMplvSkk6DIkZxq-ap3&lt;/url&gt;&lt;/related-urls&gt;&lt;/urls&gt;&lt;titles&gt;&lt;title&gt;Behörden verhängen erste Bußgelder wegen Verstößen gegen DSGVO&lt;/title&gt;&lt;secondary-title&gt;Handelsblatt&lt;/secondary-title&gt;&lt;/titles&gt;&lt;access-date&gt;6.6.2019&lt;/access-date&gt;&lt;contributors&gt;&lt;authors&gt;&lt;author&gt;Anger, Heike&lt;/author&gt;&lt;author&gt;Neuerer, Dietmar&lt;/author&gt;&lt;/authors&gt;&lt;/contributors&gt;&lt;added-date format="utc"&gt;1560688310&lt;/added-date&gt;&lt;ref-type name="Newspaper Article"&gt;23&lt;/ref-type&gt;&lt;dates&gt;&lt;year&gt;2019&lt;/year&gt;&lt;/dates&gt;&lt;rec-number&gt;118&lt;/rec-number&gt;&lt;last-updated-date format="utc"&gt;1560688545&lt;/last-updated-date&gt;&lt;/record&gt;&lt;/Cite&gt;&lt;/EndNote&gt;</w:instrText>
      </w:r>
      <w:r>
        <w:fldChar w:fldCharType="separate"/>
      </w:r>
      <w:r>
        <w:rPr>
          <w:noProof/>
        </w:rPr>
        <w:t>(Anger &amp; Neuerer, 2019)</w:t>
      </w:r>
      <w:r>
        <w:fldChar w:fldCharType="end"/>
      </w:r>
      <w:r>
        <w:t>.</w:t>
      </w:r>
      <w:r w:rsidR="00FA3E69">
        <w:t xml:space="preserve"> </w:t>
      </w:r>
      <w:r w:rsidR="002A0C7F">
        <w:t>Einen besonderen Fall der strengeren Strafverfolgung stellt</w:t>
      </w:r>
      <w:r w:rsidR="00FA3E69">
        <w:t xml:space="preserve"> eine Strafe gegen das </w:t>
      </w:r>
      <w:r w:rsidR="00805877">
        <w:t>Soziale Netzwer</w:t>
      </w:r>
      <w:r w:rsidR="00FA3E69">
        <w:t>k „Knuddels“ dar</w:t>
      </w:r>
      <w:r w:rsidR="00597B0F">
        <w:t xml:space="preserve">. </w:t>
      </w:r>
      <w:r w:rsidR="00872604">
        <w:t>Das Netzwerk wurde na</w:t>
      </w:r>
      <w:r w:rsidR="00FA3E69">
        <w:t xml:space="preserve">ch einem Hackerangriff, bei dem in Klartext gespeicherte Passwörter gestohlen waren, </w:t>
      </w:r>
      <w:r w:rsidR="00597B0F">
        <w:t xml:space="preserve">vom </w:t>
      </w:r>
      <w:r w:rsidR="00597B0F" w:rsidRPr="00597B0F">
        <w:t>Landesbeauftragten für den Datenschutz und die Informationsfreiheit</w:t>
      </w:r>
      <w:r w:rsidR="00597B0F">
        <w:t xml:space="preserve"> (LfDI) mit einer Strafe von 20.000€ bedacht </w:t>
      </w:r>
      <w:r w:rsidR="00597B0F">
        <w:fldChar w:fldCharType="begin"/>
      </w:r>
      <w:r w:rsidR="00597B0F">
        <w:instrText xml:space="preserve"> ADDIN EN.CITE &lt;EndNote&gt;&lt;Cite&gt;&lt;Author&gt;LfDI&lt;/Author&gt;&lt;Year&gt;2018&lt;/Year&gt;&lt;IDText&gt;LfDI Baden-Württemberg verhängt sein erstes Bußgeld in Deutschland nach der DS-GVO [Pressemeldung]&lt;/IDText&gt;&lt;DisplayText&gt;(LfDI, 2018)&lt;/DisplayText&gt;&lt;record&gt;&lt;urls&gt;&lt;related-urls&gt;&lt;url&gt;https://www.baden-wuerttemberg.datenschutz.de/lfdi-baden-wuerttemberg-verhaengt-sein-erstes-bussgeld-in-deutschland-nach-der-ds-gvo/&lt;/url&gt;&lt;/related-urls&gt;&lt;/urls&gt;&lt;titles&gt;&lt;title&gt;LfDI Baden-Württemberg verhängt sein erstes Bußgeld in Deutschland nach der DS-GVO [Pressemeldung]&lt;/title&gt;&lt;/titles&gt;&lt;contributors&gt;&lt;authors&gt;&lt;author&gt;LfDI,&lt;/author&gt;&lt;/authors&gt;&lt;/contributors&gt;&lt;added-date format="utc"&gt;1560688831&lt;/added-date&gt;&lt;ref-type name="Press Release"&gt;63&lt;/ref-type&gt;&lt;dates&gt;&lt;year&gt;2018&lt;/year&gt;&lt;/dates&gt;&lt;rec-number&gt;119&lt;/rec-number&gt;&lt;publisher&gt;Der Landesbeauftragte für den Datenschutz und die Informationsfreiheit&lt;/publisher&gt;&lt;last-updated-date format="utc"&gt;1560689105&lt;/last-updated-date&gt;&lt;/record&gt;&lt;/Cite&gt;&lt;/EndNote&gt;</w:instrText>
      </w:r>
      <w:r w:rsidR="00597B0F">
        <w:fldChar w:fldCharType="separate"/>
      </w:r>
      <w:r w:rsidR="00597B0F">
        <w:rPr>
          <w:noProof/>
        </w:rPr>
        <w:t>(LfDI, 2018)</w:t>
      </w:r>
      <w:r w:rsidR="00597B0F">
        <w:fldChar w:fldCharType="end"/>
      </w:r>
      <w:r w:rsidR="002A0C7F">
        <w:t>.</w:t>
      </w:r>
      <w:r w:rsidR="00D1720F">
        <w:t xml:space="preserve"> </w:t>
      </w:r>
    </w:p>
    <w:p w14:paraId="3F6977EE" w14:textId="2EA30223" w:rsidR="00805877" w:rsidRDefault="00805877" w:rsidP="00A749C0">
      <w:r>
        <w:t>Ein</w:t>
      </w:r>
      <w:r w:rsidR="00E036FE">
        <w:t xml:space="preserve">e Klage </w:t>
      </w:r>
      <w:r>
        <w:t xml:space="preserve">gegen das Soziale Netzwerk </w:t>
      </w:r>
      <w:r w:rsidR="00E036FE">
        <w:t xml:space="preserve">„Facebook“ strebte die Verbraucherzentrale Sachsen im Oktober 2018 an, da sie eine Verletzung der DSGVO in Bezug auf Informationsklarheit zur Verantwortlichkeit der Datenverarbeitung von Facebook-Seiten sieht und dem Konzern mit Europa-Sitz in Irland Untätigkeit vorwirft </w:t>
      </w:r>
      <w:r w:rsidR="00E036FE">
        <w:fldChar w:fldCharType="begin"/>
      </w:r>
      <w:r w:rsidR="00E036FE">
        <w:instrText xml:space="preserve"> ADDIN EN.CITE &lt;EndNote&gt;&lt;Cite&gt;&lt;Author&gt;Verbraucherzentrale Sachsen e.V.&lt;/Author&gt;&lt;Year&gt;2018&lt;/Year&gt;&lt;IDText&gt;Verbraucherzentrale Sachsen verklagt Facebook&lt;/IDText&gt;&lt;DisplayText&gt;(Verbraucherzentrale Sachsen e.V., 2018)&lt;/DisplayText&gt;&lt;record&gt;&lt;urls&gt;&lt;related-urls&gt;&lt;url&gt;https://www.verbraucherzentrale-sachsen.de/pressemeldungen/digitale-welt/verbraucherzentrale-sachsen-verklagt-facebook-30961&lt;/url&gt;&lt;/related-urls&gt;&lt;/urls&gt;&lt;titles&gt;&lt;title&gt;Verbraucherzentrale Sachsen verklagt Facebook&lt;/title&gt;&lt;/titles&gt;&lt;access-date&gt;6.6.2019&lt;/access-date&gt;&lt;contributors&gt;&lt;authors&gt;&lt;author&gt;Verbraucherzentrale Sachsen e.V.,&lt;/author&gt;&lt;/authors&gt;&lt;/contributors&gt;&lt;added-date format="utc"&gt;1560690987&lt;/added-date&gt;&lt;ref-type name="Press Release"&gt;63&lt;/ref-type&gt;&lt;dates&gt;&lt;year&gt;2018&lt;/year&gt;&lt;/dates&gt;&lt;rec-number&gt;120&lt;/rec-number&gt;&lt;publisher&gt;Verbraucherzentrale Sachsen e.V.&lt;/publisher&gt;&lt;last-updated-date format="utc"&gt;1560691124&lt;/last-updated-date&gt;&lt;/record&gt;&lt;/Cite&gt;&lt;/EndNote&gt;</w:instrText>
      </w:r>
      <w:r w:rsidR="00E036FE">
        <w:fldChar w:fldCharType="separate"/>
      </w:r>
      <w:r w:rsidR="00E036FE">
        <w:rPr>
          <w:noProof/>
        </w:rPr>
        <w:t>(Verbraucherzentrale Sachsen e.V., 2018)</w:t>
      </w:r>
      <w:r w:rsidR="00E036FE">
        <w:fldChar w:fldCharType="end"/>
      </w:r>
      <w:r w:rsidR="00E036FE">
        <w:t xml:space="preserve">. </w:t>
      </w:r>
    </w:p>
    <w:p w14:paraId="3221893A" w14:textId="77777777" w:rsidR="00FC38A6" w:rsidRPr="002921ED" w:rsidRDefault="00FC38A6">
      <w:pPr>
        <w:spacing w:after="200" w:line="276" w:lineRule="auto"/>
        <w:jc w:val="left"/>
        <w:rPr>
          <w:b/>
          <w:spacing w:val="5"/>
          <w:sz w:val="30"/>
          <w:szCs w:val="30"/>
          <w:lang w:val="de-AT"/>
        </w:rPr>
      </w:pPr>
      <w:r w:rsidRPr="002921ED">
        <w:rPr>
          <w:lang w:val="de-AT"/>
        </w:rPr>
        <w:br w:type="page"/>
      </w:r>
    </w:p>
    <w:p w14:paraId="4B9A3A68" w14:textId="2CE3C5F4" w:rsidR="002A1DBD" w:rsidRDefault="00B57C1B" w:rsidP="002A1DBD">
      <w:pPr>
        <w:pStyle w:val="berschrift1"/>
      </w:pPr>
      <w:bookmarkStart w:id="30" w:name="_Toc11865323"/>
      <w:r>
        <w:lastRenderedPageBreak/>
        <w:t>Auswirkungen der Datenschutz</w:t>
      </w:r>
      <w:r w:rsidR="00AB5810">
        <w:t>grundverordnung auf den Schutz personenbezogener Daten aus verschiedenen Perspektiven</w:t>
      </w:r>
      <w:bookmarkEnd w:id="30"/>
    </w:p>
    <w:p w14:paraId="392DDA4A" w14:textId="6FD3C409" w:rsidR="00D516C2" w:rsidRDefault="00746440" w:rsidP="00D516C2">
      <w:r>
        <w:t>Datenschutz in Unternehmen war vor Einführung der Datenschutzgrundverordnung eher von tertiärer Priorität. Dieser Umstand kam durch die vergleichsweise zahnlose Gesetzgebung, geringe Verfolgung durch Behörden und niedrige Sanktionsrahmen geltender nationaler Bestimmungen zustande. Nach der Anwendung der Verordnung im Mai 2018 wurde Datenschutz in vielen Unternehmen höher eingestuft</w:t>
      </w:r>
      <w:r w:rsidR="00811C43">
        <w:t>, ein Umstand der vermutlich auch dem massiv erhöhten Strafrahmen von bis zu 20 Millionen Euro oder 4% des erzielten Vorjahresumsatzes zu verdanken ist.</w:t>
      </w:r>
      <w:r>
        <w:t xml:space="preserve"> </w:t>
      </w:r>
    </w:p>
    <w:p w14:paraId="5D7F2868" w14:textId="77777777" w:rsidR="00E64E57" w:rsidRPr="00D516C2" w:rsidRDefault="00E64E57" w:rsidP="00D516C2"/>
    <w:p w14:paraId="76BF746E" w14:textId="731D735C" w:rsidR="00AB5810" w:rsidRDefault="0067315D" w:rsidP="00AB5810">
      <w:pPr>
        <w:pStyle w:val="berschrift2"/>
        <w:rPr>
          <w:lang w:val="de-AT"/>
        </w:rPr>
      </w:pPr>
      <w:bookmarkStart w:id="31" w:name="_Toc11865324"/>
      <w:r>
        <w:rPr>
          <w:lang w:val="de-AT"/>
        </w:rPr>
        <w:t>Unternehmensperspektive</w:t>
      </w:r>
      <w:bookmarkEnd w:id="31"/>
    </w:p>
    <w:p w14:paraId="0C212AA9" w14:textId="653CB482" w:rsidR="0067315D" w:rsidRDefault="003216D1" w:rsidP="003216D1">
      <w:pPr>
        <w:rPr>
          <w:lang w:val="de-AT"/>
        </w:rPr>
      </w:pPr>
      <w:r>
        <w:rPr>
          <w:lang w:val="de-AT"/>
        </w:rPr>
        <w:t xml:space="preserve">Obwohl vor allem Mitteleuropäische Datenschutzgesetze schon vor Einführung der DSGVO </w:t>
      </w:r>
      <w:r w:rsidR="00E714DB">
        <w:rPr>
          <w:lang w:val="de-AT"/>
        </w:rPr>
        <w:t>ein vergleichsweises hohes Niveau</w:t>
      </w:r>
      <w:r>
        <w:rPr>
          <w:lang w:val="de-AT"/>
        </w:rPr>
        <w:t xml:space="preserve"> hatten, </w:t>
      </w:r>
      <w:r w:rsidR="00252EBC">
        <w:rPr>
          <w:lang w:val="de-AT"/>
        </w:rPr>
        <w:t xml:space="preserve">legt eine Studie des deutschen </w:t>
      </w:r>
      <w:r w:rsidR="00FB7178">
        <w:rPr>
          <w:lang w:val="de-AT"/>
        </w:rPr>
        <w:t>Ifo-Instituts</w:t>
      </w:r>
      <w:r w:rsidR="00252EBC">
        <w:rPr>
          <w:lang w:val="de-AT"/>
        </w:rPr>
        <w:t xml:space="preserve"> nahe, dass die Vorbereitung auf die neue Gesetzgebung gravierende</w:t>
      </w:r>
      <w:r w:rsidR="00E714DB">
        <w:rPr>
          <w:lang w:val="de-AT"/>
        </w:rPr>
        <w:t xml:space="preserve"> Eindrücke bei Unternehmen hinterlässt. </w:t>
      </w:r>
      <w:r w:rsidR="00E877CE">
        <w:rPr>
          <w:lang w:val="de-AT"/>
        </w:rPr>
        <w:t>E</w:t>
      </w:r>
      <w:r w:rsidR="00E714DB">
        <w:rPr>
          <w:lang w:val="de-AT"/>
        </w:rPr>
        <w:t xml:space="preserve">ine massive Mehrheit von 76% der PersonalleiterInnen befragter Unternehmen </w:t>
      </w:r>
      <w:r w:rsidR="00E877CE">
        <w:rPr>
          <w:lang w:val="de-AT"/>
        </w:rPr>
        <w:t xml:space="preserve">bewertet </w:t>
      </w:r>
      <w:r w:rsidR="00E714DB">
        <w:rPr>
          <w:lang w:val="de-AT"/>
        </w:rPr>
        <w:t xml:space="preserve">die DSGVO überwiegend negativ, wobei die Verordnung vor allem bei Klein- und Mittelunternehmen negativ abschneidet </w:t>
      </w:r>
      <w:r w:rsidR="00E714DB">
        <w:rPr>
          <w:lang w:val="de-AT"/>
        </w:rPr>
        <w:fldChar w:fldCharType="begin"/>
      </w:r>
      <w:r w:rsidR="00E714DB">
        <w:rPr>
          <w:lang w:val="de-AT"/>
        </w:rPr>
        <w:instrText xml:space="preserve"> ADDIN EN.CITE &lt;EndNote&gt;&lt;Cite&gt;&lt;Author&gt;Schricker&lt;/Author&gt;&lt;Year&gt;2018&lt;/Year&gt;&lt;IDText&gt;Wie sehen die Unternehmen die neue Datenschutzgrundverordnung?&lt;/IDText&gt;&lt;DisplayText&gt;(Schricker, 2018)&lt;/DisplayText&gt;&lt;record&gt;&lt;keywords&gt;&lt;keyword&gt;Germany&lt;/keyword&gt;&lt;keyword&gt;Human Resource Management&lt;/keyword&gt;&lt;keyword&gt;Attitude Surveys&lt;/keyword&gt;&lt;keyword&gt;Data Integrity&lt;/keyword&gt;&lt;keyword&gt;Eu Directives&lt;/keyword&gt;&lt;/keywords&gt;&lt;isbn&gt;0018974X&lt;/isbn&gt;&lt;titles&gt;&lt;title&gt;Wie sehen die Unternehmen die neue Datenschutzgrundverordnung?&lt;/title&gt;&lt;secondary-title&gt;Ifo Schnelldienst&lt;/secondary-title&gt;&lt;/titles&gt;&lt;pages&gt;35-39&lt;/pages&gt;&lt;number&gt;15&lt;/number&gt;&lt;contributors&gt;&lt;authors&gt;&lt;author&gt;Schricker, Julia&lt;/author&gt;&lt;/authors&gt;&lt;/contributors&gt;&lt;added-date format="utc"&gt;1560692789&lt;/added-date&gt;&lt;pub-location&gt;München&lt;/pub-location&gt;&lt;ref-type name="Journal Article"&gt;17&lt;/ref-type&gt;&lt;dates&gt;&lt;year&gt;2018&lt;/year&gt;&lt;/dates&gt;&lt;rec-number&gt;121&lt;/rec-number&gt;&lt;last-updated-date format="utc"&gt;1560692789&lt;/last-updated-date&gt;&lt;volume&gt;71&lt;/volume&gt;&lt;/record&gt;&lt;/Cite&gt;&lt;/EndNote&gt;</w:instrText>
      </w:r>
      <w:r w:rsidR="00E714DB">
        <w:rPr>
          <w:lang w:val="de-AT"/>
        </w:rPr>
        <w:fldChar w:fldCharType="separate"/>
      </w:r>
      <w:r w:rsidR="00E714DB">
        <w:rPr>
          <w:noProof/>
          <w:lang w:val="de-AT"/>
        </w:rPr>
        <w:t>(Schricker, 2018)</w:t>
      </w:r>
      <w:r w:rsidR="00E714DB">
        <w:rPr>
          <w:lang w:val="de-AT"/>
        </w:rPr>
        <w:fldChar w:fldCharType="end"/>
      </w:r>
      <w:r w:rsidR="00E714DB">
        <w:rPr>
          <w:lang w:val="de-AT"/>
        </w:rPr>
        <w:t>.</w:t>
      </w:r>
      <w:r w:rsidR="00947AA6">
        <w:rPr>
          <w:lang w:val="de-AT"/>
        </w:rPr>
        <w:t xml:space="preserve"> </w:t>
      </w:r>
      <w:r w:rsidR="00BC2425">
        <w:rPr>
          <w:lang w:val="de-AT"/>
        </w:rPr>
        <w:t xml:space="preserve">Weitere Beispiele für Negativreaktionen sind aus Kapitel 2 bekannt. In Deutschland schränkten 70% der mittelständischen Unternehmen ihre digitalen Aktivitäten aufgrund der DSGVO ein, auch 43% der Digitalunternehmen </w:t>
      </w:r>
      <w:r w:rsidR="00BC2425">
        <w:rPr>
          <w:lang w:val="de-AT"/>
        </w:rPr>
        <w:fldChar w:fldCharType="begin"/>
      </w:r>
      <w:r w:rsidR="00BC2425">
        <w:rPr>
          <w:lang w:val="de-AT"/>
        </w:rPr>
        <w:instrText xml:space="preserve"> ADDIN EN.CITE &lt;EndNote&gt;&lt;Cite&gt;&lt;Author&gt;Mertens&lt;/Author&gt;&lt;Year&gt;2019&lt;/Year&gt;&lt;IDText&gt;Die Datenschutz-Grundverordnung – eine kritische Sicht&lt;/IDText&gt;&lt;Pages&gt;9&lt;/Pages&gt;&lt;DisplayText&gt;(Mertens, 2019, S. 9)&lt;/DisplayText&gt;&lt;record&gt;&lt;dates&gt;&lt;pub-dates&gt;&lt;date&gt;February 01&lt;/date&gt;&lt;/pub-dates&gt;&lt;year&gt;2019&lt;/year&gt;&lt;/dates&gt;&lt;urls&gt;&lt;related-urls&gt;&lt;url&gt;https://doi.org/10.1365/s35764-019-0159-5&lt;/url&gt;&lt;/related-urls&gt;&lt;/urls&gt;&lt;isbn&gt;1867-5913&lt;/isbn&gt;&lt;work-type&gt;journal article&lt;/work-type&gt;&lt;titles&gt;&lt;title&gt;Die Datenschutz-Grundverordnung – eine kritische Sicht&lt;/title&gt;&lt;secondary-title&gt;Wirtschaftsinformatik &amp;amp; Management&lt;/secondary-title&gt;&lt;/titles&gt;&lt;pages&gt;6-17&lt;/pages&gt;&lt;number&gt;1&lt;/number&gt;&lt;contributors&gt;&lt;authors&gt;&lt;author&gt;Mertens, Peter&lt;/author&gt;&lt;/authors&gt;&lt;/contributors&gt;&lt;added-date format="utc"&gt;1560597909&lt;/added-date&gt;&lt;ref-type name="Journal Article"&gt;17&lt;/ref-type&gt;&lt;rec-number&gt;99&lt;/rec-number&gt;&lt;last-updated-date format="utc"&gt;1560597909&lt;/last-updated-date&gt;&lt;label&gt;Mertens2019&lt;/label&gt;&lt;electronic-resource-num&gt;10.1365/s35764-019-0159-5&lt;/electronic-resource-num&gt;&lt;volume&gt;11&lt;/volume&gt;&lt;/record&gt;&lt;/Cite&gt;&lt;/EndNote&gt;</w:instrText>
      </w:r>
      <w:r w:rsidR="00BC2425">
        <w:rPr>
          <w:lang w:val="de-AT"/>
        </w:rPr>
        <w:fldChar w:fldCharType="separate"/>
      </w:r>
      <w:r w:rsidR="00BC2425">
        <w:rPr>
          <w:noProof/>
          <w:lang w:val="de-AT"/>
        </w:rPr>
        <w:t>(Mertens, 2019, S. 9)</w:t>
      </w:r>
      <w:r w:rsidR="00BC2425">
        <w:rPr>
          <w:lang w:val="de-AT"/>
        </w:rPr>
        <w:fldChar w:fldCharType="end"/>
      </w:r>
      <w:r w:rsidR="00BC2425">
        <w:rPr>
          <w:lang w:val="de-AT"/>
        </w:rPr>
        <w:t xml:space="preserve">. Es ist jedoch sichtbar, dass die Mitarbeiter zumindest irgendeine Form für Datenschutz entwickelt haben: </w:t>
      </w:r>
      <w:r w:rsidR="00947AA6">
        <w:rPr>
          <w:lang w:val="de-AT"/>
        </w:rPr>
        <w:t xml:space="preserve">79% der deutschen Unternehmen geben an, dass ihre Mitarbeiter ein leicht oder stark ausgeprägtes Bewusstsein für Datenschutz besäßen </w:t>
      </w:r>
      <w:r w:rsidR="00947AA6">
        <w:rPr>
          <w:lang w:val="de-AT"/>
        </w:rPr>
        <w:fldChar w:fldCharType="begin"/>
      </w:r>
      <w:r w:rsidR="00947AA6">
        <w:rPr>
          <w:lang w:val="de-AT"/>
        </w:rPr>
        <w:instrText xml:space="preserve"> ADDIN EN.CITE &lt;EndNote&gt;&lt;Cite&gt;&lt;Author&gt;Schricker&lt;/Author&gt;&lt;Year&gt;2018&lt;/Year&gt;&lt;IDText&gt;Wie sehen die Unternehmen die neue Datenschutzgrundverordnung?&lt;/IDText&gt;&lt;DisplayText&gt;(Schricker, 2018)&lt;/DisplayText&gt;&lt;record&gt;&lt;keywords&gt;&lt;keyword&gt;Germany&lt;/keyword&gt;&lt;keyword&gt;Human Resource Management&lt;/keyword&gt;&lt;keyword&gt;Attitude Surveys&lt;/keyword&gt;&lt;keyword&gt;Data Integrity&lt;/keyword&gt;&lt;keyword&gt;Eu Directives&lt;/keyword&gt;&lt;/keywords&gt;&lt;isbn&gt;0018974X&lt;/isbn&gt;&lt;titles&gt;&lt;title&gt;Wie sehen die Unternehmen die neue Datenschutzgrundverordnung?&lt;/title&gt;&lt;secondary-title&gt;Ifo Schnelldienst&lt;/secondary-title&gt;&lt;/titles&gt;&lt;pages&gt;35-39&lt;/pages&gt;&lt;number&gt;15&lt;/number&gt;&lt;contributors&gt;&lt;authors&gt;&lt;author&gt;Schricker, Julia&lt;/author&gt;&lt;/authors&gt;&lt;/contributors&gt;&lt;added-date format="utc"&gt;1560692789&lt;/added-date&gt;&lt;pub-location&gt;München&lt;/pub-location&gt;&lt;ref-type name="Journal Article"&gt;17&lt;/ref-type&gt;&lt;dates&gt;&lt;year&gt;2018&lt;/year&gt;&lt;/dates&gt;&lt;rec-number&gt;121&lt;/rec-number&gt;&lt;last-updated-date format="utc"&gt;1560692789&lt;/last-updated-date&gt;&lt;volume&gt;71&lt;/volume&gt;&lt;/record&gt;&lt;/Cite&gt;&lt;/EndNote&gt;</w:instrText>
      </w:r>
      <w:r w:rsidR="00947AA6">
        <w:rPr>
          <w:lang w:val="de-AT"/>
        </w:rPr>
        <w:fldChar w:fldCharType="separate"/>
      </w:r>
      <w:r w:rsidR="00947AA6">
        <w:rPr>
          <w:noProof/>
          <w:lang w:val="de-AT"/>
        </w:rPr>
        <w:t>(Schricker, 2018)</w:t>
      </w:r>
      <w:r w:rsidR="00947AA6">
        <w:rPr>
          <w:lang w:val="de-AT"/>
        </w:rPr>
        <w:fldChar w:fldCharType="end"/>
      </w:r>
      <w:r w:rsidR="00947AA6">
        <w:rPr>
          <w:lang w:val="de-AT"/>
        </w:rPr>
        <w:t>.</w:t>
      </w:r>
    </w:p>
    <w:p w14:paraId="6C030E82" w14:textId="7B9F74A5" w:rsidR="008F7B34" w:rsidRDefault="00FE1308" w:rsidP="003216D1">
      <w:pPr>
        <w:rPr>
          <w:lang w:val="de-AT"/>
        </w:rPr>
      </w:pPr>
      <w:r>
        <w:rPr>
          <w:lang w:val="de-AT"/>
        </w:rPr>
        <w:t>E</w:t>
      </w:r>
      <w:r w:rsidR="008F7B34">
        <w:rPr>
          <w:lang w:val="de-AT"/>
        </w:rPr>
        <w:t xml:space="preserve">inige Unternehmen, wie die Spieleentwicklungsfirma Gravity Interactive Inc. </w:t>
      </w:r>
      <w:r w:rsidR="008F7B34">
        <w:rPr>
          <w:lang w:val="de-AT"/>
        </w:rPr>
        <w:fldChar w:fldCharType="begin"/>
      </w:r>
      <w:r w:rsidR="008F7B34">
        <w:rPr>
          <w:lang w:val="de-AT"/>
        </w:rPr>
        <w:instrText xml:space="preserve"> ADDIN EN.CITE &lt;EndNote&gt;&lt;Cite ExcludeAuth="1"&gt;&lt;Author&gt;Gravity Interactive Inc.&lt;/Author&gt;&lt;Year&gt;2018&lt;/Year&gt;&lt;IDText&gt;Important Notice Regarding European Region Access&lt;/IDText&gt;&lt;DisplayText&gt;(2018)&lt;/DisplayText&gt;&lt;record&gt;&lt;urls&gt;&lt;related-urls&gt;&lt;url&gt;http://blog.warpportal.com/?p=10892&lt;/url&gt;&lt;/related-urls&gt;&lt;/urls&gt;&lt;titles&gt;&lt;title&gt;Important Notice Regarding European Region Access&lt;/title&gt;&lt;/titles&gt;&lt;access-date&gt;7.6.2019&lt;/access-date&gt;&lt;contributors&gt;&lt;authors&gt;&lt;author&gt;Gravity Interactive Inc.,&lt;/author&gt;&lt;/authors&gt;&lt;/contributors&gt;&lt;added-date format="utc"&gt;1560696170&lt;/added-date&gt;&lt;ref-type name="Generic"&gt;13&lt;/ref-type&gt;&lt;dates&gt;&lt;year&gt;2018&lt;/year&gt;&lt;/dates&gt;&lt;rec-number&gt;124&lt;/rec-number&gt;&lt;last-updated-date format="utc"&gt;1560696233&lt;/last-updated-date&gt;&lt;/record&gt;&lt;/Cite&gt;&lt;/EndNote&gt;</w:instrText>
      </w:r>
      <w:r w:rsidR="008F7B34">
        <w:rPr>
          <w:lang w:val="de-AT"/>
        </w:rPr>
        <w:fldChar w:fldCharType="separate"/>
      </w:r>
      <w:r w:rsidR="008F7B34">
        <w:rPr>
          <w:noProof/>
          <w:lang w:val="de-AT"/>
        </w:rPr>
        <w:t>(2018)</w:t>
      </w:r>
      <w:r w:rsidR="008F7B34">
        <w:rPr>
          <w:lang w:val="de-AT"/>
        </w:rPr>
        <w:fldChar w:fldCharType="end"/>
      </w:r>
      <w:r w:rsidR="008F7B34">
        <w:rPr>
          <w:lang w:val="de-AT"/>
        </w:rPr>
        <w:t xml:space="preserve"> mussten ihre Produkte </w:t>
      </w:r>
      <w:r w:rsidR="008F4F41">
        <w:rPr>
          <w:lang w:val="de-AT"/>
        </w:rPr>
        <w:t xml:space="preserve">für NutzerInnen aus dem Europäischen Wirtschaftsraum einschränken oder terminieren, da sich der administrative und operative Aufwand für sie nicht gelohnt hätte. </w:t>
      </w:r>
    </w:p>
    <w:p w14:paraId="39EC5EBC" w14:textId="77777777" w:rsidR="00BC2425" w:rsidRDefault="00BC2425" w:rsidP="00BC2425">
      <w:pPr>
        <w:rPr>
          <w:lang w:val="de-AT"/>
        </w:rPr>
      </w:pPr>
      <w:r>
        <w:rPr>
          <w:lang w:val="de-AT"/>
        </w:rPr>
        <w:t xml:space="preserve">Der Thüringer Datenschutzbeauftragte sieht seit kurz vor Anwendungspflicht der Datenschutzgrundverordnung stetig steigende Beratungsanfragen, wobei diese sich </w:t>
      </w:r>
      <w:r>
        <w:rPr>
          <w:lang w:val="de-AT"/>
        </w:rPr>
        <w:lastRenderedPageBreak/>
        <w:t xml:space="preserve">größtenteils auf den Bereich der Informationspflichten beziehen. Er schließt auf ein stark gestiegenes Datenschutzbewusstsein in Unternehmen </w:t>
      </w:r>
      <w:r>
        <w:rPr>
          <w:lang w:val="de-AT"/>
        </w:rPr>
        <w:fldChar w:fldCharType="begin"/>
      </w:r>
      <w:r>
        <w:rPr>
          <w:lang w:val="de-AT"/>
        </w:rPr>
        <w:instrText xml:space="preserve"> ADDIN EN.CITE &lt;EndNote&gt;&lt;Cite&gt;&lt;Author&gt;Steinlechner&lt;/Author&gt;&lt;Year&gt;2018&lt;/Year&gt;&lt;IDText&gt;Mehr Datenschutzbewusstsein und mehr offene Fragen&lt;/IDText&gt;&lt;DisplayText&gt;(Steinlechner, 2018)&lt;/DisplayText&gt;&lt;record&gt;&lt;urls&gt;&lt;related-urls&gt;&lt;url&gt;https://www.golem.de/news/dsgvo-mehr-datenschutzbewusstsein-und-mehr-offene-fragen-1812-138438.html&lt;/url&gt;&lt;/related-urls&gt;&lt;/urls&gt;&lt;titles&gt;&lt;title&gt;Mehr Datenschutzbewusstsein und mehr offene Fragen&lt;/title&gt;&lt;/titles&gt;&lt;number&gt;7.6.2019&lt;/number&gt;&lt;contributors&gt;&lt;authors&gt;&lt;author&gt;Steinlechner, Peter&lt;/author&gt;&lt;/authors&gt;&lt;/contributors&gt;&lt;added-date format="utc"&gt;1560694717&lt;/added-date&gt;&lt;ref-type name="Web Page"&gt;12&lt;/ref-type&gt;&lt;dates&gt;&lt;year&gt;2018&lt;/year&gt;&lt;/dates&gt;&lt;rec-number&gt;123&lt;/rec-number&gt;&lt;last-updated-date format="utc"&gt;1560694772&lt;/last-updated-date&gt;&lt;/record&gt;&lt;/Cite&gt;&lt;/EndNote&gt;</w:instrText>
      </w:r>
      <w:r>
        <w:rPr>
          <w:lang w:val="de-AT"/>
        </w:rPr>
        <w:fldChar w:fldCharType="separate"/>
      </w:r>
      <w:r>
        <w:rPr>
          <w:noProof/>
          <w:lang w:val="de-AT"/>
        </w:rPr>
        <w:t>(Steinlechner, 2018)</w:t>
      </w:r>
      <w:r>
        <w:rPr>
          <w:lang w:val="de-AT"/>
        </w:rPr>
        <w:fldChar w:fldCharType="end"/>
      </w:r>
      <w:r>
        <w:rPr>
          <w:lang w:val="de-AT"/>
        </w:rPr>
        <w:t>.</w:t>
      </w:r>
    </w:p>
    <w:p w14:paraId="33D550D0" w14:textId="13EE7740" w:rsidR="00696977" w:rsidRDefault="00825BF4" w:rsidP="003216D1">
      <w:pPr>
        <w:rPr>
          <w:lang w:val="de-AT"/>
        </w:rPr>
      </w:pPr>
      <w:r>
        <w:rPr>
          <w:lang w:val="de-AT"/>
        </w:rPr>
        <w:t xml:space="preserve">Aus Unternehmenssicht stellt die Einführung der Datenschutzgrundverordnung mehrheitlich eine Mehrbelastung durch Zusatzaufwand dar </w:t>
      </w:r>
      <w:r>
        <w:rPr>
          <w:lang w:val="de-AT"/>
        </w:rPr>
        <w:fldChar w:fldCharType="begin"/>
      </w:r>
      <w:r>
        <w:rPr>
          <w:lang w:val="de-AT"/>
        </w:rPr>
        <w:instrText xml:space="preserve"> ADDIN EN.CITE &lt;EndNote&gt;&lt;Cite&gt;&lt;Author&gt;Schricker&lt;/Author&gt;&lt;Year&gt;2018&lt;/Year&gt;&lt;IDText&gt;Wie sehen die Unternehmen die neue Datenschutzgrundverordnung?&lt;/IDText&gt;&lt;DisplayText&gt;(Schricker, 2018)&lt;/DisplayText&gt;&lt;record&gt;&lt;keywords&gt;&lt;keyword&gt;Germany&lt;/keyword&gt;&lt;keyword&gt;Human Resource Management&lt;/keyword&gt;&lt;keyword&gt;Attitude Surveys&lt;/keyword&gt;&lt;keyword&gt;Data Integrity&lt;/keyword&gt;&lt;keyword&gt;Eu Directives&lt;/keyword&gt;&lt;/keywords&gt;&lt;isbn&gt;0018974X&lt;/isbn&gt;&lt;titles&gt;&lt;title&gt;Wie sehen die Unternehmen die neue Datenschutzgrundverordnung?&lt;/title&gt;&lt;secondary-title&gt;Ifo Schnelldienst&lt;/secondary-title&gt;&lt;/titles&gt;&lt;pages&gt;35-39&lt;/pages&gt;&lt;number&gt;15&lt;/number&gt;&lt;contributors&gt;&lt;authors&gt;&lt;author&gt;Schricker, Julia&lt;/author&gt;&lt;/authors&gt;&lt;/contributors&gt;&lt;added-date format="utc"&gt;1560692789&lt;/added-date&gt;&lt;pub-location&gt;München&lt;/pub-location&gt;&lt;ref-type name="Journal Article"&gt;17&lt;/ref-type&gt;&lt;dates&gt;&lt;year&gt;2018&lt;/year&gt;&lt;/dates&gt;&lt;rec-number&gt;121&lt;/rec-number&gt;&lt;last-updated-date format="utc"&gt;1560695766&lt;/last-updated-date&gt;&lt;volume&gt;71&lt;/volume&gt;&lt;/record&gt;&lt;/Cite&gt;&lt;/EndNote&gt;</w:instrText>
      </w:r>
      <w:r>
        <w:rPr>
          <w:lang w:val="de-AT"/>
        </w:rPr>
        <w:fldChar w:fldCharType="separate"/>
      </w:r>
      <w:r>
        <w:rPr>
          <w:noProof/>
          <w:lang w:val="de-AT"/>
        </w:rPr>
        <w:t>(Schricker, 2018)</w:t>
      </w:r>
      <w:r>
        <w:rPr>
          <w:lang w:val="de-AT"/>
        </w:rPr>
        <w:fldChar w:fldCharType="end"/>
      </w:r>
      <w:r>
        <w:rPr>
          <w:lang w:val="de-AT"/>
        </w:rPr>
        <w:t xml:space="preserve">, wobei manche Unternehmen ganz gezielt versuchen, das Thema Datenschutz als Alleinstellungsmerkmal zu nutzen und ihre Geschäftsmodelle an die Verordnung anpassen. Als Beispiele dafür können Rechtskanzleien und Beratungsagenturen </w:t>
      </w:r>
      <w:r w:rsidR="009E3CCC">
        <w:rPr>
          <w:lang w:val="de-AT"/>
        </w:rPr>
        <w:t xml:space="preserve">oder Server-Betreiber </w:t>
      </w:r>
      <w:r>
        <w:rPr>
          <w:lang w:val="de-AT"/>
        </w:rPr>
        <w:t>genannt werden, die ihre Angebote in diesem Sektor erweitert haben</w:t>
      </w:r>
      <w:r w:rsidR="009E3CCC">
        <w:rPr>
          <w:lang w:val="de-AT"/>
        </w:rPr>
        <w:t xml:space="preserve">. Spezialisierte Unternehmen stellen ihren Kunden externe Datenschutzbeauftragte sowie Beratungs- und Schulungsangebote zur Verfügung </w:t>
      </w:r>
      <w:r w:rsidR="009E3CCC">
        <w:rPr>
          <w:lang w:val="de-AT"/>
        </w:rPr>
        <w:fldChar w:fldCharType="begin"/>
      </w:r>
      <w:r w:rsidR="009E3CCC">
        <w:rPr>
          <w:lang w:val="de-AT"/>
        </w:rPr>
        <w:instrText xml:space="preserve"> ADDIN EN.CITE &lt;EndNote&gt;&lt;Cite&gt;&lt;Author&gt;Terhörst&lt;/Author&gt;&lt;Year&gt;2018&lt;/Year&gt;&lt;IDText&gt;Datenschutz als Geschäftsmodell&lt;/IDText&gt;&lt;DisplayText&gt;(Terhörst, 2018)&lt;/DisplayText&gt;&lt;record&gt;&lt;titles&gt;&lt;title&gt;Datenschutz als Geschäftsmodell&lt;/title&gt;&lt;secondary-title&gt;Wirtschaft Aktuell&lt;/secondary-title&gt;&lt;/titles&gt;&lt;number&gt;24&lt;/number&gt;&lt;contributors&gt;&lt;authors&gt;&lt;author&gt;Terhörst, Michael&lt;/author&gt;&lt;/authors&gt;&lt;/contributors&gt;&lt;added-date format="utc"&gt;1560707003&lt;/added-date&gt;&lt;ref-type name="Newspaper Article"&gt;23&lt;/ref-type&gt;&lt;dates&gt;&lt;year&gt;2018&lt;/year&gt;&lt;/dates&gt;&lt;rec-number&gt;125&lt;/rec-number&gt;&lt;last-updated-date format="utc"&gt;1560707063&lt;/last-updated-date&gt;&lt;volume&gt;IY/2018&lt;/volume&gt;&lt;/record&gt;&lt;/Cite&gt;&lt;/EndNote&gt;</w:instrText>
      </w:r>
      <w:r w:rsidR="009E3CCC">
        <w:rPr>
          <w:lang w:val="de-AT"/>
        </w:rPr>
        <w:fldChar w:fldCharType="separate"/>
      </w:r>
      <w:r w:rsidR="009E3CCC">
        <w:rPr>
          <w:noProof/>
          <w:lang w:val="de-AT"/>
        </w:rPr>
        <w:t>(Terhörst, 2018)</w:t>
      </w:r>
      <w:r w:rsidR="009E3CCC">
        <w:rPr>
          <w:lang w:val="de-AT"/>
        </w:rPr>
        <w:fldChar w:fldCharType="end"/>
      </w:r>
      <w:r w:rsidR="009E3CCC">
        <w:rPr>
          <w:lang w:val="de-AT"/>
        </w:rPr>
        <w:t>.</w:t>
      </w:r>
    </w:p>
    <w:p w14:paraId="751BE91B" w14:textId="3D400EA8" w:rsidR="0040212F" w:rsidRDefault="0040212F">
      <w:pPr>
        <w:spacing w:after="200" w:line="276" w:lineRule="auto"/>
        <w:jc w:val="left"/>
      </w:pPr>
    </w:p>
    <w:p w14:paraId="56599AB8" w14:textId="230667DB" w:rsidR="004D71CD" w:rsidRDefault="0040212F" w:rsidP="00CF0648">
      <w:pPr>
        <w:pStyle w:val="berschrift3"/>
      </w:pPr>
      <w:bookmarkStart w:id="32" w:name="_Toc11865325"/>
      <w:r>
        <w:t>Staatliches</w:t>
      </w:r>
      <w:r w:rsidR="00057E1F">
        <w:t>/Öffentliches</w:t>
      </w:r>
      <w:r>
        <w:t xml:space="preserve"> </w:t>
      </w:r>
      <w:r w:rsidR="00B31F85">
        <w:t>Unterstützungsangebot</w:t>
      </w:r>
      <w:bookmarkEnd w:id="32"/>
    </w:p>
    <w:p w14:paraId="47317BB0" w14:textId="16BF9B46" w:rsidR="00C20628" w:rsidRDefault="002838AD" w:rsidP="00D67E6C">
      <w:r>
        <w:t xml:space="preserve">Ein Blick auf die Informationsverfügbarkeit durch öffentliche Organisationen stellt bei einer Beantwortung der Frage nach einem Schutz von Persönlichkeitsrechten einen wichtigen Teilpunkt dar. </w:t>
      </w:r>
      <w:r w:rsidR="00D67E6C">
        <w:t>Um Unternehmen bei der rechtskonformen Umsetzung der Datenschutzgru</w:t>
      </w:r>
      <w:r w:rsidR="002B56AA">
        <w:t xml:space="preserve">ndverordnung behilflich zu sein </w:t>
      </w:r>
      <w:r w:rsidR="00D67E6C">
        <w:t xml:space="preserve">und </w:t>
      </w:r>
      <w:r w:rsidR="002B56AA">
        <w:t>Bewusstsein in Betrieben zu schaffen, bieten einige staatliche oder öffentliche Stellen umfangreiche Materialsammlungen oder Bildungsangebote an.</w:t>
      </w:r>
    </w:p>
    <w:p w14:paraId="4847D3BC" w14:textId="4280468E" w:rsidR="00D67E6C" w:rsidRDefault="00C20628" w:rsidP="00D67E6C">
      <w:r>
        <w:t>Die in Österreich bietet Interessensvertretung der Wirtschaftstreibenden „Wirtschaftskammer Österreich</w:t>
      </w:r>
      <w:r w:rsidR="002838AD">
        <w:t xml:space="preserve"> - WKO</w:t>
      </w:r>
      <w:r>
        <w:t xml:space="preserve">“ </w:t>
      </w:r>
      <w:r>
        <w:fldChar w:fldCharType="begin"/>
      </w:r>
      <w:r>
        <w:instrText xml:space="preserve"> ADDIN EN.CITE &lt;EndNote&gt;&lt;Cite ExcludeAuth="1"&gt;&lt;Author&gt;Wirtschaftskammer Österreich&lt;/Author&gt;&lt;Year&gt;2019&lt;/Year&gt;&lt;IDText&gt;Unterstützung zur Umsetzung der DSGVO&lt;/IDText&gt;&lt;DisplayText&gt;(2019)&lt;/DisplayText&gt;&lt;record&gt;&lt;dates&gt;&lt;pub-dates&gt;&lt;date&gt;5.6.2019&lt;/date&gt;&lt;/pub-dates&gt;&lt;year&gt;2019&lt;/year&gt;&lt;/dates&gt;&lt;urls&gt;&lt;related-urls&gt;&lt;url&gt;https://www.wko.at/service/wirtschaftsrecht-gewerberecht/EU-Datenschutz-Grundverordnung.html&lt;/url&gt;&lt;/related-urls&gt;&lt;/urls&gt;&lt;titles&gt;&lt;title&gt;Unterstützung zur Umsetzung der DSGVO&lt;/title&gt;&lt;/titles&gt;&lt;number&gt;7.6.2019&lt;/number&gt;&lt;contributors&gt;&lt;authors&gt;&lt;author&gt;Wirtschaftskammer Österreich,&lt;/author&gt;&lt;/authors&gt;&lt;/contributors&gt;&lt;added-date format="utc"&gt;1560708463&lt;/added-date&gt;&lt;ref-type name="Web Page"&gt;12&lt;/ref-type&gt;&lt;rec-number&gt;126&lt;/rec-number&gt;&lt;publisher&gt;Wirtschaftskammer Wien&lt;/publisher&gt;&lt;last-updated-date format="utc"&gt;1560708570&lt;/last-updated-date&gt;&lt;/record&gt;&lt;/Cite&gt;&lt;/EndNote&gt;</w:instrText>
      </w:r>
      <w:r>
        <w:fldChar w:fldCharType="separate"/>
      </w:r>
      <w:r>
        <w:rPr>
          <w:noProof/>
        </w:rPr>
        <w:t>(2019)</w:t>
      </w:r>
      <w:r>
        <w:fldChar w:fldCharType="end"/>
      </w:r>
      <w:r>
        <w:t xml:space="preserve"> auf ihrer Website ein umfangreiches Serviceangebot zur Infor</w:t>
      </w:r>
      <w:r w:rsidR="002D7D42">
        <w:t xml:space="preserve">mation der Mitglieder an. Darunter fallen </w:t>
      </w:r>
      <w:r w:rsidR="002838AD">
        <w:t>Informationsd</w:t>
      </w:r>
      <w:r w:rsidR="002D7D42">
        <w:t xml:space="preserve">okumente, </w:t>
      </w:r>
      <w:r w:rsidR="000C708A">
        <w:t xml:space="preserve">regelmäßige </w:t>
      </w:r>
      <w:r w:rsidR="002D7D42">
        <w:t>Veranstaltungen, FAQs, Webinare aber auch gezielte Berat</w:t>
      </w:r>
      <w:r w:rsidR="002838AD">
        <w:t>ungsleistungen, die Mitglieder beanspruchen können.</w:t>
      </w:r>
      <w:r w:rsidR="00392D0E">
        <w:t xml:space="preserve"> </w:t>
      </w:r>
      <w:r w:rsidR="002838AD">
        <w:t xml:space="preserve">Die, den Landeskammern unterstehenden, Wirtschaftsförderungsinstitute (WIFI) bieten Aus- und Weiterbildungen für Datenschutzbeauftragte an, um Unternehmen ein „gesetzeskonformes Datenschutz-Management“ zu ermöglichen </w:t>
      </w:r>
      <w:r w:rsidR="002838AD">
        <w:fldChar w:fldCharType="begin"/>
      </w:r>
      <w:r w:rsidR="002838AD">
        <w:instrText xml:space="preserve"> ADDIN EN.CITE &lt;EndNote&gt;&lt;Cite&gt;&lt;Author&gt;Wirtschaftsförderungsinstitut der   Wirtschaftskammer Österreich&lt;/Author&gt;&lt;Year&gt;2019&lt;/Year&gt;&lt;IDText&gt;Datenschutzbeauftragte: WIFI-Ausbildung&lt;/IDText&gt;&lt;DisplayText&gt;(Wirtschaftsförderungsinstitut der   Wirtschaftskammer Österreich, 2019)&lt;/DisplayText&gt;&lt;record&gt;&lt;urls&gt;&lt;related-urls&gt;&lt;url&gt;https://www.wifi.at/kursbuch/it/datenschutzbeauftragte/datenschutzbeauftragter-ausbildung&lt;/url&gt;&lt;/related-urls&gt;&lt;/urls&gt;&lt;titles&gt;&lt;title&gt;Datenschutzbeauftragte: WIFI-Ausbildung&lt;/title&gt;&lt;/titles&gt;&lt;number&gt;7.6.2019&lt;/number&gt;&lt;contributors&gt;&lt;authors&gt;&lt;author&gt;Wirtschaftsförderungsinstitut der   Wirtschaftskammer Österreich,&lt;/author&gt;&lt;/authors&gt;&lt;/contributors&gt;&lt;added-date format="utc"&gt;1560708993&lt;/added-date&gt;&lt;ref-type name="Web Page"&gt;12&lt;/ref-type&gt;&lt;dates&gt;&lt;year&gt;2019&lt;/year&gt;&lt;/dates&gt;&lt;rec-number&gt;127&lt;/rec-number&gt;&lt;last-updated-date format="utc"&gt;1560709097&lt;/last-updated-date&gt;&lt;/record&gt;&lt;/Cite&gt;&lt;/EndNote&gt;</w:instrText>
      </w:r>
      <w:r w:rsidR="002838AD">
        <w:fldChar w:fldCharType="separate"/>
      </w:r>
      <w:r w:rsidR="002838AD">
        <w:rPr>
          <w:noProof/>
        </w:rPr>
        <w:t>(Wirtschaftsförderungsinstitut der   Wirtschaftskammer Österreich, 2019)</w:t>
      </w:r>
      <w:r w:rsidR="002838AD">
        <w:fldChar w:fldCharType="end"/>
      </w:r>
      <w:r w:rsidR="002838AD">
        <w:t>.</w:t>
      </w:r>
    </w:p>
    <w:p w14:paraId="6DBDB961" w14:textId="4F75AC76" w:rsidR="00392D0E" w:rsidRDefault="00392D0E" w:rsidP="00D67E6C">
      <w:r>
        <w:t>Vonseiten der wirtschaftlichen Interessensvertretung ist e</w:t>
      </w:r>
      <w:r w:rsidR="006937FD">
        <w:t>in breites Angebot gegeben, das</w:t>
      </w:r>
      <w:r>
        <w:t xml:space="preserve"> Unternehmen die Möglichkeit </w:t>
      </w:r>
      <w:r w:rsidR="006937FD">
        <w:t>gibt</w:t>
      </w:r>
      <w:r>
        <w:t xml:space="preserve">, sich mit den gesetzlich vorgeschriebenen Regeln vertraut zu machen und eine verantwortungsbewusste Datenverarbeitung </w:t>
      </w:r>
      <w:r w:rsidR="008D1717">
        <w:t>zu gewährleisten.</w:t>
      </w:r>
    </w:p>
    <w:p w14:paraId="4FB48560" w14:textId="0A8ECFED" w:rsidR="004A5E8D" w:rsidRDefault="004A5E8D" w:rsidP="00D67E6C">
      <w:r>
        <w:lastRenderedPageBreak/>
        <w:t>Au</w:t>
      </w:r>
      <w:r w:rsidR="000C708A">
        <w:t xml:space="preserve">f Arbeitnehmerseite findet sich ein deutlich </w:t>
      </w:r>
      <w:r w:rsidR="00D71FF8">
        <w:t>reduziertes Angebot. Die gesetzliche Interessensvertretung Arbeiterkammer (AK) und der Österreichische Gewerkschaftsbund (ÖGB) bieten über die von ihnen getragene Bildungseinrichtung, das Berufsförderungsinstitut</w:t>
      </w:r>
      <w:r w:rsidR="001F617A">
        <w:t>e</w:t>
      </w:r>
      <w:r w:rsidR="00D71FF8">
        <w:t xml:space="preserve"> (BFI)</w:t>
      </w:r>
      <w:r w:rsidR="001F617A">
        <w:t xml:space="preserve"> </w:t>
      </w:r>
      <w:r w:rsidR="00D71FF8">
        <w:t xml:space="preserve">Seminare zur Ausbildung als zertifizierte Datenschutzbeauftragte an </w:t>
      </w:r>
      <w:r w:rsidR="001F617A">
        <w:fldChar w:fldCharType="begin"/>
      </w:r>
      <w:r w:rsidR="001F617A">
        <w:instrText xml:space="preserve"> ADDIN EN.CITE &lt;EndNote&gt;&lt;Cite&gt;&lt;Author&gt;BFI Oberösterreich&lt;/Author&gt;&lt;Year&gt;2019&lt;/Year&gt;&lt;IDText&gt;Datenschutzbeauftragte/r - Basic&lt;/IDText&gt;&lt;DisplayText&gt;(BFI Oberösterreich, 2019)&lt;/DisplayText&gt;&lt;record&gt;&lt;urls&gt;&lt;related-urls&gt;&lt;url&gt;https://www.bfi-ooe.at/de/kurssuche/erweiterte-kurssuche/2018l-l-176702.html&lt;/url&gt;&lt;/related-urls&gt;&lt;/urls&gt;&lt;titles&gt;&lt;title&gt;Datenschutzbeauftragte/r - Basic&lt;/title&gt;&lt;/titles&gt;&lt;number&gt;7.6.2019&lt;/number&gt;&lt;contributors&gt;&lt;authors&gt;&lt;author&gt;BFI Oberösterreich,&lt;/author&gt;&lt;/authors&gt;&lt;/contributors&gt;&lt;added-date format="utc"&gt;1560710010&lt;/added-date&gt;&lt;ref-type name="Web Page"&gt;12&lt;/ref-type&gt;&lt;dates&gt;&lt;year&gt;2019&lt;/year&gt;&lt;/dates&gt;&lt;rec-number&gt;128&lt;/rec-number&gt;&lt;last-updated-date format="utc"&gt;1560710394&lt;/last-updated-date&gt;&lt;/record&gt;&lt;/Cite&gt;&lt;/EndNote&gt;</w:instrText>
      </w:r>
      <w:r w:rsidR="001F617A">
        <w:fldChar w:fldCharType="separate"/>
      </w:r>
      <w:r w:rsidR="001F617A">
        <w:rPr>
          <w:noProof/>
        </w:rPr>
        <w:t>(BFI Oberösterreich, 2019)</w:t>
      </w:r>
      <w:r w:rsidR="001F617A">
        <w:fldChar w:fldCharType="end"/>
      </w:r>
      <w:r w:rsidR="00D71FF8">
        <w:t>.</w:t>
      </w:r>
      <w:r w:rsidR="00885ACF">
        <w:t xml:space="preserve"> Das Angebot richtet sich primär an Angestellte, aber auch an GeschäftsführerInnen.</w:t>
      </w:r>
    </w:p>
    <w:p w14:paraId="55BF0C1F" w14:textId="60C6C0EE" w:rsidR="004D71CD" w:rsidRDefault="004A4A13" w:rsidP="004D71CD">
      <w:r>
        <w:t xml:space="preserve">Sowohl in Österreich aber </w:t>
      </w:r>
      <w:r w:rsidR="001F617A">
        <w:t xml:space="preserve">auch in Deutschland bieten </w:t>
      </w:r>
      <w:r w:rsidR="00FD53AF">
        <w:t xml:space="preserve">Ableger des </w:t>
      </w:r>
      <w:r w:rsidR="00A809AC">
        <w:t xml:space="preserve">Technischen </w:t>
      </w:r>
      <w:r w:rsidR="001F617A">
        <w:t>Überwachungsverein</w:t>
      </w:r>
      <w:r w:rsidR="00A809AC">
        <w:t>s</w:t>
      </w:r>
      <w:r w:rsidR="001F617A">
        <w:t xml:space="preserve"> (TÜV)</w:t>
      </w:r>
      <w:r w:rsidR="009176BA">
        <w:t xml:space="preserve">, beispielsweise der TÜV Nord </w:t>
      </w:r>
      <w:r w:rsidR="009176BA">
        <w:fldChar w:fldCharType="begin"/>
      </w:r>
      <w:r w:rsidR="009176BA">
        <w:instrText xml:space="preserve"> ADDIN EN.CITE &lt;EndNote&gt;&lt;Cite ExcludeAuth="1"&gt;&lt;Author&gt;TÜV Nord&lt;/Author&gt;&lt;Year&gt;2019&lt;/Year&gt;&lt;IDText&gt;Datenschutz&lt;/IDText&gt;&lt;DisplayText&gt;(2019)&lt;/DisplayText&gt;&lt;record&gt;&lt;urls&gt;&lt;related-urls&gt;&lt;url&gt;https://www.tuev-nord.de/de/weiterbildung/themen/datenschutz/&lt;/url&gt;&lt;/related-urls&gt;&lt;/urls&gt;&lt;titles&gt;&lt;title&gt;Datenschutz&lt;/title&gt;&lt;/titles&gt;&lt;contributors&gt;&lt;authors&gt;&lt;author&gt;TÜV Nord,&lt;/author&gt;&lt;/authors&gt;&lt;/contributors&gt;&lt;added-date format="utc"&gt;1560712053&lt;/added-date&gt;&lt;ref-type name="Web Page"&gt;12&lt;/ref-type&gt;&lt;dates&gt;&lt;year&gt;2019&lt;/year&gt;&lt;/dates&gt;&lt;rec-number&gt;129&lt;/rec-number&gt;&lt;last-updated-date format="utc"&gt;1560712081&lt;/last-updated-date&gt;&lt;volume&gt;7.6.2019&lt;/volume&gt;&lt;/record&gt;&lt;/Cite&gt;&lt;/EndNote&gt;</w:instrText>
      </w:r>
      <w:r w:rsidR="009176BA">
        <w:fldChar w:fldCharType="separate"/>
      </w:r>
      <w:r w:rsidR="009176BA">
        <w:rPr>
          <w:noProof/>
        </w:rPr>
        <w:t>(2019)</w:t>
      </w:r>
      <w:r w:rsidR="009176BA">
        <w:fldChar w:fldCharType="end"/>
      </w:r>
      <w:r w:rsidR="009176BA">
        <w:t>,</w:t>
      </w:r>
      <w:r w:rsidR="00A809AC">
        <w:t xml:space="preserve"> Ausbildungen</w:t>
      </w:r>
      <w:r>
        <w:t xml:space="preserve"> und Veranstaltungen</w:t>
      </w:r>
      <w:r w:rsidR="00A809AC">
        <w:t xml:space="preserve"> </w:t>
      </w:r>
      <w:r w:rsidR="00B6241E">
        <w:t>zum The</w:t>
      </w:r>
      <w:r w:rsidR="00023D7B">
        <w:t>ma Datenschutz an.</w:t>
      </w:r>
    </w:p>
    <w:p w14:paraId="2F38E8B0" w14:textId="77777777" w:rsidR="004A4A13" w:rsidRPr="004D71CD" w:rsidRDefault="004A4A13" w:rsidP="004D71CD"/>
    <w:p w14:paraId="592CDD7E" w14:textId="36604D80" w:rsidR="00CF0648" w:rsidRDefault="00CF0648" w:rsidP="00CF0648">
      <w:pPr>
        <w:pStyle w:val="berschrift3"/>
      </w:pPr>
      <w:bookmarkStart w:id="33" w:name="_Toc11865326"/>
      <w:r>
        <w:t xml:space="preserve">Privates </w:t>
      </w:r>
      <w:r w:rsidR="00AB113E">
        <w:t>Angebot</w:t>
      </w:r>
      <w:bookmarkEnd w:id="33"/>
    </w:p>
    <w:p w14:paraId="1D7A1CC9" w14:textId="52088805" w:rsidR="004E4F12" w:rsidRDefault="00DA123C" w:rsidP="00CF0648">
      <w:r>
        <w:t xml:space="preserve">Neben staatlichen oder staatsnahen Organisationen bietet auch eine Vielzahl an privaten oder privatwirtschaftlichen </w:t>
      </w:r>
      <w:r w:rsidR="002B245F">
        <w:t>Unterstützung im Bereich Datens</w:t>
      </w:r>
      <w:r w:rsidR="004E4F12">
        <w:t>chutz an und hilft, das Rechtsbewusstsein in Unternehmen zu stärken.</w:t>
      </w:r>
      <w:r w:rsidR="00AB113E">
        <w:t xml:space="preserve"> Im Folgenden sind einzelne Beispiele aufgeführt.</w:t>
      </w:r>
    </w:p>
    <w:p w14:paraId="42403C51" w14:textId="4C9FD6B3" w:rsidR="00C76E07" w:rsidRDefault="001B7315" w:rsidP="00CF0648">
      <w:r>
        <w:t>In Österreich bietet die Österreichische Gesellschaft für Datenschutz – ARGE Daten Lehrgänge für ISO-zertifizierte Datenschutzbeauftragte an</w:t>
      </w:r>
      <w:r w:rsidR="006E3768">
        <w:t xml:space="preserve"> </w:t>
      </w:r>
      <w:r w:rsidR="006E3768">
        <w:fldChar w:fldCharType="begin"/>
      </w:r>
      <w:r w:rsidR="004F11DB">
        <w:instrText xml:space="preserve"> ADDIN EN.CITE &lt;EndNote&gt;&lt;Cite&gt;&lt;Author&gt;ARGE Daten&lt;/Author&gt;&lt;Year&gt;2019&lt;/Year&gt;&lt;IDText&gt;Lehrgang ISO-zertifizierter Datenschutzbeauftragter&lt;/IDText&gt;&lt;DisplayText&gt;(ARGE Daten, 2019c)&lt;/DisplayText&gt;&lt;record&gt;&lt;urls&gt;&lt;related-urls&gt;&lt;url&gt;http://www.argedaten.at/datenschutzbeauftragter.html&lt;/url&gt;&lt;/related-urls&gt;&lt;/urls&gt;&lt;titles&gt;&lt;title&gt;Lehrgang ISO-zertifizierter Datenschutzbeauftragter&lt;/title&gt;&lt;/titles&gt;&lt;number&gt;7.6.2019&lt;/number&gt;&lt;contributors&gt;&lt;authors&gt;&lt;author&gt;ARGE Daten,&lt;/author&gt;&lt;/authors&gt;&lt;/contributors&gt;&lt;added-date format="utc"&gt;1560715258&lt;/added-date&gt;&lt;ref-type name="Web Page"&gt;12&lt;/ref-type&gt;&lt;dates&gt;&lt;year&gt;2019&lt;/year&gt;&lt;/dates&gt;&lt;rec-number&gt;132&lt;/rec-number&gt;&lt;last-updated-date format="utc"&gt;1560715344&lt;/last-updated-date&gt;&lt;/record&gt;&lt;/Cite&gt;&lt;/EndNote&gt;</w:instrText>
      </w:r>
      <w:r w:rsidR="006E3768">
        <w:fldChar w:fldCharType="separate"/>
      </w:r>
      <w:r w:rsidR="004F11DB">
        <w:rPr>
          <w:noProof/>
        </w:rPr>
        <w:t>(ARGE Daten, 2019c)</w:t>
      </w:r>
      <w:r w:rsidR="006E3768">
        <w:fldChar w:fldCharType="end"/>
      </w:r>
      <w:r>
        <w:t>.</w:t>
      </w:r>
      <w:r w:rsidR="00641B9C">
        <w:t xml:space="preserve"> Des Weiteren </w:t>
      </w:r>
      <w:r w:rsidR="00C76E07">
        <w:t>veranstaltet der Verein eine Vielzahl an Seminaren zu dem Thema, beispielsweise zu den Themen „Datenverwendung im Unternehmen“ oder „Datenschutz und IT-Sicherheit“</w:t>
      </w:r>
      <w:r w:rsidR="006E3768">
        <w:t xml:space="preserve"> </w:t>
      </w:r>
      <w:r w:rsidR="006E3768">
        <w:fldChar w:fldCharType="begin"/>
      </w:r>
      <w:r w:rsidR="004F11DB">
        <w:instrText xml:space="preserve"> ADDIN EN.CITE &lt;EndNote&gt;&lt;Cite&gt;&lt;Author&gt;ARGE Daten&lt;/Author&gt;&lt;Year&gt;2019&lt;/Year&gt;&lt;IDText&gt;Datenschutz Seminare der ARGE DATEN&lt;/IDText&gt;&lt;DisplayText&gt;(ARGE Daten, 2019b)&lt;/DisplayText&gt;&lt;record&gt;&lt;urls&gt;&lt;related-urls&gt;&lt;url&gt;http://www.argedaten.at/php/cms_monitor.php?q=SEMINARE&lt;/url&gt;&lt;/related-urls&gt;&lt;/urls&gt;&lt;titles&gt;&lt;title&gt;Datenschutz Seminare der ARGE DATEN&lt;/title&gt;&lt;/titles&gt;&lt;number&gt;7.6.2019&lt;/number&gt;&lt;contributors&gt;&lt;authors&gt;&lt;author&gt;ARGE Daten,&lt;/author&gt;&lt;/authors&gt;&lt;/contributors&gt;&lt;added-date format="utc"&gt;1560715131&lt;/added-date&gt;&lt;ref-type name="Web Page"&gt;12&lt;/ref-type&gt;&lt;dates&gt;&lt;year&gt;2019&lt;/year&gt;&lt;/dates&gt;&lt;rec-number&gt;131&lt;/rec-number&gt;&lt;last-updated-date format="utc"&gt;1560715370&lt;/last-updated-date&gt;&lt;/record&gt;&lt;/Cite&gt;&lt;/EndNote&gt;</w:instrText>
      </w:r>
      <w:r w:rsidR="006E3768">
        <w:fldChar w:fldCharType="separate"/>
      </w:r>
      <w:r w:rsidR="004F11DB">
        <w:rPr>
          <w:noProof/>
        </w:rPr>
        <w:t>(ARGE Daten, 2019b)</w:t>
      </w:r>
      <w:r w:rsidR="006E3768">
        <w:fldChar w:fldCharType="end"/>
      </w:r>
      <w:r w:rsidR="00C76E07">
        <w:t>.</w:t>
      </w:r>
    </w:p>
    <w:p w14:paraId="316763FC" w14:textId="3EF13868" w:rsidR="001B7315" w:rsidRDefault="001B7315" w:rsidP="00CF0648">
      <w:r>
        <w:t xml:space="preserve">In Deutschland übernehmen Vereine wie die Gesellschaft für Datenschutz und Datensicherheit </w:t>
      </w:r>
      <w:r w:rsidR="006E3768">
        <w:t xml:space="preserve">(GDD) </w:t>
      </w:r>
      <w:r>
        <w:t xml:space="preserve">umfassende Schulungen und Workshops zum Thema an und veröffentlichen regelmäßig Publikationen </w:t>
      </w:r>
      <w:r>
        <w:fldChar w:fldCharType="begin"/>
      </w:r>
      <w:r>
        <w:instrText xml:space="preserve"> ADDIN EN.CITE &lt;EndNote&gt;&lt;Cite&gt;&lt;Author&gt;GDD&lt;/Author&gt;&lt;Year&gt;2019&lt;/Year&gt;&lt;IDText&gt;Publikationen Arbeits-/Praxishilfen&lt;/IDText&gt;&lt;DisplayText&gt;(GDD, 2019)&lt;/DisplayText&gt;&lt;record&gt;&lt;urls&gt;&lt;related-urls&gt;&lt;url&gt;https://www.gdd.de/gdd-arbeitshilfen&lt;/url&gt;&lt;/related-urls&gt;&lt;/urls&gt;&lt;titles&gt;&lt;title&gt;Publikationen Arbeits-/Praxishilfen&lt;/title&gt;&lt;/titles&gt;&lt;number&gt;7.6.2019&lt;/number&gt;&lt;contributors&gt;&lt;authors&gt;&lt;author&gt;GDD, Gesellschaft für Datenschutz und Datensicherheit e.V.&lt;/author&gt;&lt;/authors&gt;&lt;/contributors&gt;&lt;added-date format="utc"&gt;1560714437&lt;/added-date&gt;&lt;ref-type name="Web Page"&gt;12&lt;/ref-type&gt;&lt;dates&gt;&lt;year&gt;2019&lt;/year&gt;&lt;/dates&gt;&lt;rec-number&gt;130&lt;/rec-number&gt;&lt;last-updated-date format="utc"&gt;1560714513&lt;/last-updated-date&gt;&lt;/record&gt;&lt;/Cite&gt;&lt;/EndNote&gt;</w:instrText>
      </w:r>
      <w:r>
        <w:fldChar w:fldCharType="separate"/>
      </w:r>
      <w:r>
        <w:rPr>
          <w:noProof/>
        </w:rPr>
        <w:t>(GDD, 2019)</w:t>
      </w:r>
      <w:r>
        <w:fldChar w:fldCharType="end"/>
      </w:r>
      <w:r>
        <w:t>.</w:t>
      </w:r>
    </w:p>
    <w:p w14:paraId="34FD481C" w14:textId="32113005" w:rsidR="00CF0648" w:rsidRDefault="00AB113E" w:rsidP="00CF0648">
      <w:r>
        <w:t xml:space="preserve">Das Angebot von privatwirtschaftlicher Seite ist umfassend und würde den Rahmen dieser Abhandlung bei weitem sprengen. Wie bereits </w:t>
      </w:r>
      <w:r w:rsidR="004C381C">
        <w:t xml:space="preserve">in 4.1 Unternehmensperspektive </w:t>
      </w:r>
      <w:r>
        <w:t>erörtert</w:t>
      </w:r>
      <w:r w:rsidR="004C381C">
        <w:t>,</w:t>
      </w:r>
      <w:r>
        <w:t xml:space="preserve"> finden einige private Anbieter lukrative Betätigungsfelder in der Aus- und Weiterbildung, sowie in der Beratung und Betreuung von Unternehmen im Bereich des Datenschutzes.</w:t>
      </w:r>
    </w:p>
    <w:p w14:paraId="6183E141" w14:textId="4C8205C7" w:rsidR="00641B9C" w:rsidRDefault="00641B9C" w:rsidP="00CF0648">
      <w:r>
        <w:t xml:space="preserve">Von </w:t>
      </w:r>
      <w:r w:rsidR="006E3768">
        <w:t>privatwirtschaftlicher</w:t>
      </w:r>
      <w:r>
        <w:t xml:space="preserve"> Seite darf </w:t>
      </w:r>
      <w:r w:rsidR="005B5F2F">
        <w:t>ein reichhaltiges Angebot an Informationsveranstaltungen, Seminaren sowie Aus- und Wei</w:t>
      </w:r>
      <w:r w:rsidR="009A259B">
        <w:t xml:space="preserve">terbildungen angenommen werden. Unternehmen sind dadurch in der Lage, sich ein umfassendes </w:t>
      </w:r>
      <w:r w:rsidR="009A259B">
        <w:lastRenderedPageBreak/>
        <w:t>Bild zu schaffen und die Bestimmungen der DSGVO in ihren betrieblichen Alltag einzugliedern.</w:t>
      </w:r>
    </w:p>
    <w:p w14:paraId="2B2A0B4C" w14:textId="77777777" w:rsidR="00BC2425" w:rsidRPr="00CF0648" w:rsidRDefault="00BC2425" w:rsidP="00CF0648"/>
    <w:p w14:paraId="73C42433" w14:textId="3BFB1A3B" w:rsidR="00AB5810" w:rsidRPr="00C20628" w:rsidRDefault="00BC154A" w:rsidP="00AB5810">
      <w:pPr>
        <w:pStyle w:val="berschrift2"/>
        <w:rPr>
          <w:lang w:val="de-AT"/>
        </w:rPr>
      </w:pPr>
      <w:bookmarkStart w:id="34" w:name="_Toc11865327"/>
      <w:r>
        <w:rPr>
          <w:lang w:val="de-AT"/>
        </w:rPr>
        <w:t>BürgerInnen-Perspektive</w:t>
      </w:r>
      <w:bookmarkEnd w:id="34"/>
    </w:p>
    <w:p w14:paraId="46ADA40D" w14:textId="239D6428" w:rsidR="00CF0648" w:rsidRDefault="004412C6" w:rsidP="00CF0648">
      <w:pPr>
        <w:rPr>
          <w:lang w:val="de-AT"/>
        </w:rPr>
      </w:pPr>
      <w:r>
        <w:rPr>
          <w:lang w:val="de-AT"/>
        </w:rPr>
        <w:t>Die Perspektive der am meisten betroffenen Partei, der Bürgerinnen und Bürger des EWR, einzufangen stellt aufgrund der nichtexistenten Datenlage eine der größten Herausforderungen dar.</w:t>
      </w:r>
    </w:p>
    <w:p w14:paraId="27D8F99D" w14:textId="483955A9" w:rsidR="005E6ED8" w:rsidRDefault="004412C6" w:rsidP="00CF0648">
      <w:pPr>
        <w:rPr>
          <w:lang w:val="de-AT"/>
        </w:rPr>
      </w:pPr>
      <w:r>
        <w:rPr>
          <w:lang w:val="de-AT"/>
        </w:rPr>
        <w:t xml:space="preserve">Die meisten Bürgerinnen und Bürger dürften durch die Datenschutzgrundverordnung eine Sensibilisierung im Bereich ihrer persönlichen Daten und Privatsphäre erlebt haben. </w:t>
      </w:r>
      <w:r w:rsidR="005E6ED8">
        <w:rPr>
          <w:lang w:val="de-AT"/>
        </w:rPr>
        <w:t>Diese Sensibilisierung, die vor allem durch viele Medienberichte und Informationskampagnen vorangetrieben wurde, könnte ein Bewusstsein für bedachteren Umgang mit den eigenen persönlichen Daten geschaffen haben, genaue Schlussfolgerungen dazu müssen aber erst durch Schaffung klarerer Faktenlage begründet werden.</w:t>
      </w:r>
    </w:p>
    <w:p w14:paraId="75B45E95" w14:textId="47E61A18" w:rsidR="004412C6" w:rsidRDefault="005E6ED8" w:rsidP="00CF0648">
      <w:pPr>
        <w:rPr>
          <w:lang w:val="de-AT"/>
        </w:rPr>
      </w:pPr>
      <w:r>
        <w:rPr>
          <w:lang w:val="de-AT"/>
        </w:rPr>
        <w:t xml:space="preserve">Viele NutzerInnen könnten durch die Einführung der DSGVO eher genervt, als sensibilisiert </w:t>
      </w:r>
      <w:r w:rsidR="0021658D">
        <w:rPr>
          <w:lang w:val="de-AT"/>
        </w:rPr>
        <w:t>worden sein</w:t>
      </w:r>
      <w:r>
        <w:rPr>
          <w:lang w:val="de-AT"/>
        </w:rPr>
        <w:t xml:space="preserve">. </w:t>
      </w:r>
      <w:r w:rsidR="004412C6">
        <w:rPr>
          <w:lang w:val="de-AT"/>
        </w:rPr>
        <w:t xml:space="preserve">Dies ist </w:t>
      </w:r>
      <w:r w:rsidR="0021658D">
        <w:rPr>
          <w:lang w:val="de-AT"/>
        </w:rPr>
        <w:t xml:space="preserve">unter Umständen </w:t>
      </w:r>
      <w:r w:rsidR="004412C6">
        <w:rPr>
          <w:lang w:val="de-AT"/>
        </w:rPr>
        <w:t xml:space="preserve">nicht zuletzt dem Umstand geschuldet, dass Unternehmen </w:t>
      </w:r>
      <w:r>
        <w:rPr>
          <w:lang w:val="de-AT"/>
        </w:rPr>
        <w:t xml:space="preserve">den </w:t>
      </w:r>
      <w:r w:rsidR="004412C6">
        <w:rPr>
          <w:lang w:val="de-AT"/>
        </w:rPr>
        <w:t xml:space="preserve">BürgerInnen bis kurz vor Anwendungsbeginn </w:t>
      </w:r>
      <w:r w:rsidR="0021658D">
        <w:rPr>
          <w:lang w:val="de-AT"/>
        </w:rPr>
        <w:t xml:space="preserve">(am </w:t>
      </w:r>
      <w:r w:rsidR="004412C6">
        <w:rPr>
          <w:lang w:val="de-AT"/>
        </w:rPr>
        <w:t>25.5.2018</w:t>
      </w:r>
      <w:r w:rsidR="0021658D">
        <w:rPr>
          <w:lang w:val="de-AT"/>
        </w:rPr>
        <w:t>)</w:t>
      </w:r>
      <w:r w:rsidR="004412C6">
        <w:rPr>
          <w:lang w:val="de-AT"/>
        </w:rPr>
        <w:t xml:space="preserve"> mit hohen Mengen an E-Mails bedachten, die sie zur Zustimmung eines „Double-Opt-In“</w:t>
      </w:r>
      <w:r>
        <w:rPr>
          <w:lang w:val="de-AT"/>
        </w:rPr>
        <w:t xml:space="preserve"> für die Rechtmäßigkeit einer E-Mail-Zusendung </w:t>
      </w:r>
      <w:r w:rsidR="004412C6">
        <w:rPr>
          <w:lang w:val="de-AT"/>
        </w:rPr>
        <w:t>bewegen sollte</w:t>
      </w:r>
      <w:r w:rsidR="0021658D">
        <w:rPr>
          <w:lang w:val="de-AT"/>
        </w:rPr>
        <w:t>n</w:t>
      </w:r>
      <w:r w:rsidR="004412C6">
        <w:rPr>
          <w:lang w:val="de-AT"/>
        </w:rPr>
        <w:t xml:space="preserve">. </w:t>
      </w:r>
      <w:r w:rsidR="004F11DB">
        <w:rPr>
          <w:lang w:val="de-AT"/>
        </w:rPr>
        <w:t>Bei Website-Besuchern werden NutzerInnen</w:t>
      </w:r>
      <w:r>
        <w:rPr>
          <w:lang w:val="de-AT"/>
        </w:rPr>
        <w:t xml:space="preserve"> seit Mai 2018</w:t>
      </w:r>
      <w:r w:rsidR="004F11DB">
        <w:rPr>
          <w:lang w:val="de-AT"/>
        </w:rPr>
        <w:t xml:space="preserve"> in den meisten Fällen </w:t>
      </w:r>
      <w:r w:rsidR="00552CFD">
        <w:rPr>
          <w:lang w:val="de-AT"/>
        </w:rPr>
        <w:t xml:space="preserve">durch sogenannte „Cookie-Banner“ </w:t>
      </w:r>
      <w:r w:rsidR="004F11DB">
        <w:rPr>
          <w:lang w:val="de-AT"/>
        </w:rPr>
        <w:t xml:space="preserve">auf die Verwendung von Cookies hingewiesen, von denen die meisten laut ARGE Daten </w:t>
      </w:r>
      <w:r w:rsidR="004F11DB">
        <w:rPr>
          <w:lang w:val="de-AT"/>
        </w:rPr>
        <w:fldChar w:fldCharType="begin"/>
      </w:r>
      <w:r w:rsidR="004F11DB">
        <w:rPr>
          <w:lang w:val="de-AT"/>
        </w:rPr>
        <w:instrText xml:space="preserve"> ADDIN EN.CITE &lt;EndNote&gt;&lt;Cite ExcludeAuth="1"&gt;&lt;Author&gt;ARGE Daten&lt;/Author&gt;&lt;Year&gt;2019&lt;/Year&gt;&lt;IDText&gt;1 Jahr DSGVO - Was blieb vom &amp;quot;Datenschutz&amp;quot;?&lt;/IDText&gt;&lt;DisplayText&gt;(2019a)&lt;/DisplayText&gt;&lt;record&gt;&lt;urls&gt;&lt;related-urls&gt;&lt;url&gt;http://www.argedaten.at/php/cms_monitor.php?q=PUB-TEXT-ARGEDATEN&amp;amp;s=08649kjo&lt;/url&gt;&lt;/related-urls&gt;&lt;/urls&gt;&lt;titles&gt;&lt;title&gt;1 Jahr DSGVO - Was blieb vom &amp;quot;Datenschutz&amp;quot;?&lt;/title&gt;&lt;/titles&gt;&lt;number&gt;7.6.2019&lt;/number&gt;&lt;contributors&gt;&lt;authors&gt;&lt;author&gt;ARGE Daten,&lt;/author&gt;&lt;/authors&gt;&lt;/contributors&gt;&lt;added-date format="utc"&gt;1560716394&lt;/added-date&gt;&lt;ref-type name="Web Page"&gt;12&lt;/ref-type&gt;&lt;dates&gt;&lt;year&gt;2019&lt;/year&gt;&lt;/dates&gt;&lt;rec-number&gt;133&lt;/rec-number&gt;&lt;last-updated-date format="utc"&gt;1560716739&lt;/last-updated-date&gt;&lt;/record&gt;&lt;/Cite&gt;&lt;/EndNote&gt;</w:instrText>
      </w:r>
      <w:r w:rsidR="004F11DB">
        <w:rPr>
          <w:lang w:val="de-AT"/>
        </w:rPr>
        <w:fldChar w:fldCharType="separate"/>
      </w:r>
      <w:r w:rsidR="004F11DB">
        <w:rPr>
          <w:noProof/>
          <w:lang w:val="de-AT"/>
        </w:rPr>
        <w:t>(2019a)</w:t>
      </w:r>
      <w:r w:rsidR="004F11DB">
        <w:rPr>
          <w:lang w:val="de-AT"/>
        </w:rPr>
        <w:fldChar w:fldCharType="end"/>
      </w:r>
      <w:r w:rsidR="004F11DB">
        <w:rPr>
          <w:lang w:val="de-AT"/>
        </w:rPr>
        <w:t xml:space="preserve"> ihre Funktion in Bezug auf die vorgeschriebene Informationspflicht nicht oder n</w:t>
      </w:r>
      <w:r w:rsidR="00B64ACC">
        <w:rPr>
          <w:lang w:val="de-AT"/>
        </w:rPr>
        <w:t xml:space="preserve">ur spärlich erfüllen. Viele Websites </w:t>
      </w:r>
      <w:r w:rsidR="00552CFD">
        <w:rPr>
          <w:lang w:val="de-AT"/>
        </w:rPr>
        <w:t xml:space="preserve">aus dem Nicht-EWR-Raum </w:t>
      </w:r>
      <w:r w:rsidR="00B64ACC">
        <w:rPr>
          <w:lang w:val="de-AT"/>
        </w:rPr>
        <w:t>sind nur noch mit ausdrücklicher Genehmigung zur Verwend</w:t>
      </w:r>
      <w:r w:rsidR="00025FFA">
        <w:rPr>
          <w:lang w:val="de-AT"/>
        </w:rPr>
        <w:t>ung von Cookies nutzbar. So schließen viele US-amerikanische Firmen NutzerInnen aus dem EWR mittlerweile kategorisch aus oder erlauben eine Benutzung nur noch „auf eigene Gefahr“, wie in Kapitel 3.1 erläutert.</w:t>
      </w:r>
      <w:r>
        <w:rPr>
          <w:lang w:val="de-AT"/>
        </w:rPr>
        <w:t xml:space="preserve"> </w:t>
      </w:r>
    </w:p>
    <w:p w14:paraId="2C3A5CBF" w14:textId="211444E5" w:rsidR="00AB5810" w:rsidRDefault="005E6ED8" w:rsidP="00864EB9">
      <w:pPr>
        <w:rPr>
          <w:lang w:val="de-AT"/>
        </w:rPr>
      </w:pPr>
      <w:r>
        <w:rPr>
          <w:lang w:val="de-AT"/>
        </w:rPr>
        <w:t xml:space="preserve">Ein </w:t>
      </w:r>
      <w:r w:rsidR="00864EB9">
        <w:rPr>
          <w:lang w:val="de-AT"/>
        </w:rPr>
        <w:t xml:space="preserve">Indiz für ein gesteigertes Interesse dürften die Zahlen der Anfragen bei den Datenschutzbehörden liefern, die über den Vorjahresniveaus liegen. Die österreichische Datenschutzbehörde beispielsweise verzeichnete 2018 über sechsmal so viele Anfragen zu datenschutzrechtlichen Sachverhalten, wie im Jahr zuvor – viele davon auch durch Privatpersonen </w:t>
      </w:r>
      <w:r w:rsidR="00864EB9">
        <w:rPr>
          <w:lang w:val="de-AT"/>
        </w:rPr>
        <w:fldChar w:fldCharType="begin"/>
      </w:r>
      <w:r w:rsidR="00864EB9">
        <w:rPr>
          <w:lang w:val="de-AT"/>
        </w:rPr>
        <w:instrText xml:space="preserve"> ADDIN EN.CITE &lt;EndNote&gt;&lt;Cite&gt;&lt;Author&gt;Jelinek&lt;/Author&gt;&lt;Year&gt;2019&lt;/Year&gt;&lt;IDText&gt;Datenschutzbericht 2018&lt;/IDText&gt;&lt;DisplayText&gt;(Jelinek, 2019)&lt;/DisplayText&gt;&lt;record&gt;&lt;urls&gt;&lt;related-urls&gt;&lt;url&gt;https://www.dsb.gv.at/documents/22758/0/datenschutzbericht_2018.pdf/86c43a23-7778-487a-88c4-a151d4b00a77&lt;/url&gt;&lt;/related-urls&gt;&lt;/urls&gt;&lt;titles&gt;&lt;title&gt;Datenschutzbericht 2018&lt;/title&gt;&lt;/titles&gt;&lt;contributors&gt;&lt;authors&gt;&lt;author&gt;Jelinek, Andre&lt;/author&gt;&lt;/authors&gt;&lt;/contributors&gt;&lt;added-date format="utc"&gt;1560683090&lt;/added-date&gt;&lt;ref-type name="Generic"&gt;13&lt;/ref-type&gt;&lt;dates&gt;&lt;year&gt;2019&lt;/year&gt;&lt;/dates&gt;&lt;rec-number&gt;116&lt;/rec-number&gt;&lt;publisher&gt;Datenschutzbehörde DSB&lt;/publisher&gt;&lt;last-updated-date format="utc"&gt;1560695766&lt;/last-updated-date&gt;&lt;/record&gt;&lt;/Cite&gt;&lt;/EndNote&gt;</w:instrText>
      </w:r>
      <w:r w:rsidR="00864EB9">
        <w:rPr>
          <w:lang w:val="de-AT"/>
        </w:rPr>
        <w:fldChar w:fldCharType="separate"/>
      </w:r>
      <w:r w:rsidR="00864EB9">
        <w:rPr>
          <w:noProof/>
          <w:lang w:val="de-AT"/>
        </w:rPr>
        <w:t>(Jelinek, 2019)</w:t>
      </w:r>
      <w:r w:rsidR="00864EB9">
        <w:rPr>
          <w:lang w:val="de-AT"/>
        </w:rPr>
        <w:fldChar w:fldCharType="end"/>
      </w:r>
      <w:r w:rsidR="00864EB9">
        <w:rPr>
          <w:lang w:val="de-AT"/>
        </w:rPr>
        <w:t xml:space="preserve">. Es darf nicht unterschlagen werden, </w:t>
      </w:r>
      <w:r w:rsidR="00864EB9">
        <w:rPr>
          <w:lang w:val="de-AT"/>
        </w:rPr>
        <w:lastRenderedPageBreak/>
        <w:t>dass die auch Anfragen für oder durch Unternehmen von natürlichen Personen durchgeführt werden und diese durch ihre Arbeit an der Materie eine Sensibilisierung erleben könnten.</w:t>
      </w:r>
    </w:p>
    <w:p w14:paraId="5604E12E" w14:textId="7B2F4A38" w:rsidR="00AB5810" w:rsidRPr="00AB5810" w:rsidRDefault="00C51166" w:rsidP="00AB5810">
      <w:pPr>
        <w:rPr>
          <w:lang w:val="de-AT"/>
        </w:rPr>
      </w:pPr>
      <w:r>
        <w:rPr>
          <w:lang w:val="de-AT"/>
        </w:rPr>
        <w:t xml:space="preserve">Laut einer Umfrage des Deutschen Instituts für Vertrauen und Sicherheit im Internet DIVSI </w:t>
      </w:r>
      <w:r>
        <w:rPr>
          <w:lang w:val="de-AT"/>
        </w:rPr>
        <w:fldChar w:fldCharType="begin"/>
      </w:r>
      <w:r>
        <w:rPr>
          <w:lang w:val="de-AT"/>
        </w:rPr>
        <w:instrText xml:space="preserve"> ADDIN EN.CITE &lt;EndNote&gt;&lt;Cite ExcludeAuth="1"&gt;&lt;Author&gt;DIVSI&lt;/Author&gt;&lt;Year&gt;2018&lt;/Year&gt;&lt;IDText&gt;Haben Sie bereits von der neuen Datenschutzgrundverordnung (DSGVO) gehört?&lt;/IDText&gt;&lt;DisplayText&gt;(2018)&lt;/DisplayText&gt;&lt;record&gt;&lt;urls&gt;&lt;related-urls&gt;&lt;url&gt;https://de.statista.com/statistik/daten/studie/891789/umfrage/bekanntheit-der-dsgvo-in-deutschland/&lt;/url&gt;&lt;/related-urls&gt;&lt;/urls&gt;&lt;titles&gt;&lt;title&gt;Haben Sie bereits von der neuen Datenschutzgrundverordnung (DSGVO) gehört?&lt;/title&gt;&lt;/titles&gt;&lt;access-date&gt;19.6.2019&lt;/access-date&gt;&lt;contributors&gt;&lt;authors&gt;&lt;author&gt;DIVSI&lt;/author&gt;&lt;/authors&gt;&lt;/contributors&gt;&lt;added-date format="utc"&gt;1560932801&lt;/added-date&gt;&lt;pub-location&gt;Statista - Das Statistik-Portal&lt;/pub-location&gt;&lt;ref-type name="Report"&gt;27&lt;/ref-type&gt;&lt;dates&gt;&lt;year&gt;2018&lt;/year&gt;&lt;/dates&gt;&lt;rec-number&gt;135&lt;/rec-number&gt;&lt;last-updated-date format="utc"&gt;1560932855&lt;/last-updated-date&gt;&lt;/record&gt;&lt;/Cite&gt;&lt;/EndNote&gt;</w:instrText>
      </w:r>
      <w:r>
        <w:rPr>
          <w:lang w:val="de-AT"/>
        </w:rPr>
        <w:fldChar w:fldCharType="separate"/>
      </w:r>
      <w:r>
        <w:rPr>
          <w:noProof/>
          <w:lang w:val="de-AT"/>
        </w:rPr>
        <w:t>(2018)</w:t>
      </w:r>
      <w:r>
        <w:rPr>
          <w:lang w:val="de-AT"/>
        </w:rPr>
        <w:fldChar w:fldCharType="end"/>
      </w:r>
      <w:r>
        <w:rPr>
          <w:lang w:val="de-AT"/>
        </w:rPr>
        <w:t xml:space="preserve"> kennen 46% der Deutschen die DSGVO und ihre Inhalte, während zumindest 44% davon gehört haben, aber nicht mit den Inhalten vertraut sind. Es lässt sich schlussfolgern, dass eine überwiegende Mehrheit durch Einführung der einheitlichen Regelung nunmehr einen Kenntnisstand über die Existenz von Rechten zum Schutz ihrer Daten besitzt, was eine Sensibilisierung indiziert.</w:t>
      </w:r>
    </w:p>
    <w:p w14:paraId="5C90FFFD" w14:textId="5A3093A0" w:rsidR="008676C2" w:rsidRDefault="00AB5810" w:rsidP="008676C2">
      <w:pPr>
        <w:pStyle w:val="berschrift1"/>
        <w:rPr>
          <w:lang w:val="de-AT"/>
        </w:rPr>
      </w:pPr>
      <w:r>
        <w:rPr>
          <w:lang w:val="de-AT"/>
        </w:rPr>
        <w:br w:type="column"/>
      </w:r>
      <w:bookmarkStart w:id="35" w:name="_Toc11865328"/>
      <w:r>
        <w:rPr>
          <w:lang w:val="de-AT"/>
        </w:rPr>
        <w:lastRenderedPageBreak/>
        <w:t>Fazit</w:t>
      </w:r>
      <w:bookmarkEnd w:id="35"/>
    </w:p>
    <w:p w14:paraId="21A3D07F" w14:textId="16A2D3A3" w:rsidR="00864EB9" w:rsidRDefault="0010710F" w:rsidP="00864EB9">
      <w:pPr>
        <w:rPr>
          <w:lang w:val="de-AT"/>
        </w:rPr>
      </w:pPr>
      <w:r>
        <w:rPr>
          <w:lang w:val="de-AT"/>
        </w:rPr>
        <w:t xml:space="preserve">Knapp ein Jahr nach Einführung der Datenschutzgrundverordnung kann die Frage nach dem Schutz der Persönlichkeitsrechte europäischer Bürger noch nicht allumfassend abschließend geklärt werden, es darf jedoch ein vorläufiges Fazit gezogen werden. </w:t>
      </w:r>
    </w:p>
    <w:p w14:paraId="7F9DD9AB" w14:textId="791C734A" w:rsidR="0010710F" w:rsidRDefault="0010710F" w:rsidP="00864EB9">
      <w:pPr>
        <w:rPr>
          <w:lang w:val="de-AT"/>
        </w:rPr>
      </w:pPr>
      <w:r>
        <w:rPr>
          <w:lang w:val="de-AT"/>
        </w:rPr>
        <w:t xml:space="preserve">Die europäische Datenschutzgrundverordnung entstand historisch und politischen aus einem Bestreben nach der Vereinheitlichung europäischer Lebensstandards und einem Wunsch nach dem Schutz der Grundfreiheiten aller europäischen Bürgerinnen und Bürger. Sie übertrifft ihre Vorgänger und Vorbilder in </w:t>
      </w:r>
      <w:r w:rsidR="00F20DF1">
        <w:rPr>
          <w:lang w:val="de-AT"/>
        </w:rPr>
        <w:t xml:space="preserve">einigen Punkten und enthält neben eine breiter gefächerten Begriffsdefinitionen und genaueren Angaben zu Rechtmäßigkeit der Verarbeitung auch </w:t>
      </w:r>
      <w:r w:rsidR="00520371">
        <w:rPr>
          <w:lang w:val="de-AT"/>
        </w:rPr>
        <w:t xml:space="preserve">rigorose Strafen, die es ermöglichen sollen, auch multinationale Konzerne zur Einhaltung des Rechts zu zwingen. Die DSGVO stellt einen wichtigen Schritt für kommende Richtlinien und Verordnungen dar, die die Rechtsprechung im 21. </w:t>
      </w:r>
      <w:r w:rsidR="009F75CC">
        <w:rPr>
          <w:lang w:val="de-AT"/>
        </w:rPr>
        <w:t>Jahrhundert der Durchsetzung des Datenschutzrechts unterstützen soll und auch kann.</w:t>
      </w:r>
    </w:p>
    <w:p w14:paraId="7E1359FD" w14:textId="21511135" w:rsidR="00BF1A33" w:rsidRDefault="009F75CC" w:rsidP="00BF1A33">
      <w:pPr>
        <w:rPr>
          <w:lang w:val="de-AT"/>
        </w:rPr>
      </w:pPr>
      <w:r>
        <w:rPr>
          <w:lang w:val="de-AT"/>
        </w:rPr>
        <w:t xml:space="preserve">Die Auswirkungen auf die europäischen Bürger (besonders im Bereich der Bewusstseinsbildung) können bisher nur implizit erfasst werden, da es </w:t>
      </w:r>
      <w:r w:rsidR="00495B99">
        <w:rPr>
          <w:lang w:val="de-AT"/>
        </w:rPr>
        <w:t>nur eine geringe</w:t>
      </w:r>
      <w:r>
        <w:rPr>
          <w:lang w:val="de-AT"/>
        </w:rPr>
        <w:t xml:space="preserve"> Faktenlage, beispielsweise für Meinungsbilder und Wissensstand von EndnutzerInnen gibt. </w:t>
      </w:r>
      <w:r w:rsidR="00495B99">
        <w:rPr>
          <w:lang w:val="de-AT"/>
        </w:rPr>
        <w:t xml:space="preserve">Zwar wissen viele deutsche BürgerInnen </w:t>
      </w:r>
      <w:r w:rsidR="00226C6A">
        <w:rPr>
          <w:lang w:val="de-AT"/>
        </w:rPr>
        <w:t xml:space="preserve">über die Existenz von Rechten Bescheid, es wird jedoch noch dauern, bis ein ganzheitliches Bild über den EWR mit Betrachtung tatsächlicher Nutzung herrscht. </w:t>
      </w:r>
      <w:r w:rsidR="00BF1A33">
        <w:rPr>
          <w:lang w:val="de-AT"/>
        </w:rPr>
        <w:t xml:space="preserve">Trotz </w:t>
      </w:r>
      <w:r w:rsidR="00872E04">
        <w:rPr>
          <w:lang w:val="de-AT"/>
        </w:rPr>
        <w:t>der Unklarheiten können bereits</w:t>
      </w:r>
      <w:r w:rsidR="0083786B">
        <w:rPr>
          <w:lang w:val="de-AT"/>
        </w:rPr>
        <w:t xml:space="preserve"> </w:t>
      </w:r>
      <w:r w:rsidR="00BF1A33">
        <w:rPr>
          <w:lang w:val="de-AT"/>
        </w:rPr>
        <w:t>vorläufige Aussagen getroffen werden:</w:t>
      </w:r>
    </w:p>
    <w:p w14:paraId="51AF25E0" w14:textId="04A49E74" w:rsidR="00BF1A33" w:rsidRDefault="00BF1A33" w:rsidP="00BF1A33">
      <w:pPr>
        <w:pStyle w:val="Listenabsatz"/>
        <w:numPr>
          <w:ilvl w:val="0"/>
          <w:numId w:val="36"/>
        </w:numPr>
        <w:rPr>
          <w:lang w:val="de-AT"/>
        </w:rPr>
      </w:pPr>
      <w:r w:rsidRPr="00BF1A33">
        <w:rPr>
          <w:lang w:val="de-AT"/>
        </w:rPr>
        <w:t>Eine Sensibilisierung von Angestellten (z.B. Datenschutzbeauftragte) führt auch zu einer Sensibilisierung des Umfelds</w:t>
      </w:r>
      <w:r w:rsidR="00527AF7">
        <w:rPr>
          <w:lang w:val="de-AT"/>
        </w:rPr>
        <w:t xml:space="preserve"> und steigert damit das Bewusst</w:t>
      </w:r>
      <w:r w:rsidRPr="00BF1A33">
        <w:rPr>
          <w:lang w:val="de-AT"/>
        </w:rPr>
        <w:t xml:space="preserve">sein in der Bevölkerung. Dies darf durch umfassende Schulungsangebote und Informationsveranstaltungen angenommen werden. </w:t>
      </w:r>
    </w:p>
    <w:p w14:paraId="008175A7" w14:textId="3FA2D8CB" w:rsidR="00BF1A33" w:rsidRDefault="00BF1A33" w:rsidP="00BF1A33">
      <w:pPr>
        <w:pStyle w:val="Listenabsatz"/>
        <w:numPr>
          <w:ilvl w:val="0"/>
          <w:numId w:val="36"/>
        </w:numPr>
        <w:rPr>
          <w:lang w:val="de-AT"/>
        </w:rPr>
      </w:pPr>
      <w:r w:rsidRPr="00BF1A33">
        <w:rPr>
          <w:lang w:val="de-AT"/>
        </w:rPr>
        <w:t>Durch ständige Hinweise auf Datensammlung</w:t>
      </w:r>
      <w:r>
        <w:rPr>
          <w:lang w:val="de-AT"/>
        </w:rPr>
        <w:t xml:space="preserve"> (z.B. Cookie-Hinweise)</w:t>
      </w:r>
      <w:r w:rsidRPr="00BF1A33">
        <w:rPr>
          <w:lang w:val="de-AT"/>
        </w:rPr>
        <w:t xml:space="preserve"> könnte ein gesellschaftliches Hinterfragen der umgreifenden Datensammlung </w:t>
      </w:r>
      <w:r>
        <w:rPr>
          <w:lang w:val="de-AT"/>
        </w:rPr>
        <w:t>von</w:t>
      </w:r>
      <w:r w:rsidRPr="00BF1A33">
        <w:rPr>
          <w:lang w:val="de-AT"/>
        </w:rPr>
        <w:t xml:space="preserve"> Konzerne</w:t>
      </w:r>
      <w:r>
        <w:rPr>
          <w:lang w:val="de-AT"/>
        </w:rPr>
        <w:t>n</w:t>
      </w:r>
      <w:r w:rsidRPr="00BF1A33">
        <w:rPr>
          <w:lang w:val="de-AT"/>
        </w:rPr>
        <w:t xml:space="preserve"> angestoßen werden.</w:t>
      </w:r>
    </w:p>
    <w:p w14:paraId="42A1A7B3" w14:textId="3E0DE5F6" w:rsidR="00872E04" w:rsidRDefault="00872E04" w:rsidP="00BF1A33">
      <w:pPr>
        <w:pStyle w:val="Listenabsatz"/>
        <w:numPr>
          <w:ilvl w:val="0"/>
          <w:numId w:val="36"/>
        </w:numPr>
        <w:rPr>
          <w:lang w:val="de-AT"/>
        </w:rPr>
      </w:pPr>
      <w:r>
        <w:rPr>
          <w:lang w:val="de-AT"/>
        </w:rPr>
        <w:t>Die gestiegenen Anfragen und Beschwerden bei Datenschutzbehörden</w:t>
      </w:r>
      <w:r w:rsidR="00226C6A">
        <w:rPr>
          <w:lang w:val="de-AT"/>
        </w:rPr>
        <w:t>, sowie Umfragen</w:t>
      </w:r>
      <w:r>
        <w:rPr>
          <w:lang w:val="de-AT"/>
        </w:rPr>
        <w:t xml:space="preserve"> weisen auf ein signifikant gestiegenes Bewusstsein für Datenschutz hin.</w:t>
      </w:r>
    </w:p>
    <w:p w14:paraId="7063359D" w14:textId="0CC24A9F" w:rsidR="0083786B" w:rsidRDefault="0083786B" w:rsidP="0083786B">
      <w:pPr>
        <w:rPr>
          <w:lang w:val="de-AT"/>
        </w:rPr>
      </w:pPr>
      <w:r>
        <w:rPr>
          <w:lang w:val="de-AT"/>
        </w:rPr>
        <w:lastRenderedPageBreak/>
        <w:t>Für Unternehmen gibt es dank umfassender Informationsangebote keinen wirtschaftlich sinnvollen Grund mehr, Datenschutz nicht auch in den betrieblichen Alltag zu integrieren. Teilweise geförderte Maßnahmen von (teil-)öffentlichen und privaten Anbietern ermöglichen es jedem Unternehmen, ein Grundniveau an Datenschutz zu erreichen. Auch Angestellte erhalten Angebote durch Arbeitnehmervertretungen, um sich auf dem Gebiet weiterzubilden.</w:t>
      </w:r>
    </w:p>
    <w:p w14:paraId="33924087" w14:textId="7AED518D" w:rsidR="0083786B" w:rsidRDefault="0083786B" w:rsidP="0083786B">
      <w:pPr>
        <w:rPr>
          <w:lang w:val="de-AT"/>
        </w:rPr>
      </w:pPr>
      <w:r>
        <w:rPr>
          <w:lang w:val="de-AT"/>
        </w:rPr>
        <w:t>Die Ahndung datenschutzrechtlicher Verstöße, die im Vorfeld noch sehr gefürchtet war, hat noch nich</w:t>
      </w:r>
      <w:r w:rsidR="004034F2">
        <w:rPr>
          <w:lang w:val="de-AT"/>
        </w:rPr>
        <w:t>t ihr volles Potential entfaltet</w:t>
      </w:r>
      <w:r>
        <w:rPr>
          <w:lang w:val="de-AT"/>
        </w:rPr>
        <w:t>. Zwar gibt es bereits Urteile gegen Verstöße in teils beträchtlicher Höhe</w:t>
      </w:r>
      <w:r w:rsidR="004034F2">
        <w:rPr>
          <w:lang w:val="de-AT"/>
        </w:rPr>
        <w:t xml:space="preserve">, jedoch zeigt sich, dass die Datenschutzbehörden noch nicht die volle Macht der Verordnung ausüben. In Österreich beispielsweise ist die Datenschutzbehörde dazu angehalten bei Erstverstößen eine Verwarnung auszusprechen, während in anderen Ländern bereits ab dem ersten Verstoß teils empfindliche Strafen ausgesprochen werden. Es lässt sich vermuten, dass diese von den Behörden inoffiziell gewährte „Schonfrist“ mit Abschluss der aktuell stattfindenden Rekrutierung neuer Angestellter beendet sein wird und Strafen öfter und härter ausgesprochen werden. </w:t>
      </w:r>
    </w:p>
    <w:p w14:paraId="7D5E8B0D" w14:textId="4211DEEB" w:rsidR="004034F2" w:rsidRDefault="004034F2" w:rsidP="0083786B">
      <w:pPr>
        <w:rPr>
          <w:lang w:val="de-AT"/>
        </w:rPr>
      </w:pPr>
      <w:r>
        <w:rPr>
          <w:lang w:val="de-AT"/>
        </w:rPr>
        <w:t>Durch DSGVO sind jedenfalls auch Monopolkonzerne wie Facebook oder Google nicht mehr vor schmerzhaften Verurteilungen sicher, wie erste Urteile beweisen.</w:t>
      </w:r>
      <w:r w:rsidR="006D70F9">
        <w:rPr>
          <w:lang w:val="de-AT"/>
        </w:rPr>
        <w:t xml:space="preserve"> Es bleibt abzuwarten, ob konkurrierende Unternehmen mit höheren Datenschutzstandards </w:t>
      </w:r>
      <w:r w:rsidR="00872E04">
        <w:rPr>
          <w:lang w:val="de-AT"/>
        </w:rPr>
        <w:t>die entstehende Gunst der Stunde nutzen und Monopolstellungen zerbrechen können.</w:t>
      </w:r>
    </w:p>
    <w:p w14:paraId="29B5E4A9" w14:textId="7FB72374" w:rsidR="00872E04" w:rsidRDefault="00872E04" w:rsidP="0083786B">
      <w:pPr>
        <w:rPr>
          <w:lang w:val="de-AT"/>
        </w:rPr>
      </w:pPr>
      <w:r>
        <w:rPr>
          <w:lang w:val="de-AT"/>
        </w:rPr>
        <w:t>Der deutsche</w:t>
      </w:r>
      <w:r w:rsidRPr="00872E04">
        <w:rPr>
          <w:lang w:val="de-AT"/>
        </w:rPr>
        <w:t xml:space="preserve"> Bundesbeauftragte für den Datenschutz und die Informationsfreiheit</w:t>
      </w:r>
      <w:r w:rsidR="00D255BA">
        <w:rPr>
          <w:lang w:val="de-AT"/>
        </w:rPr>
        <w:t xml:space="preserve"> (BfDI)</w:t>
      </w:r>
      <w:r>
        <w:rPr>
          <w:lang w:val="de-AT"/>
        </w:rPr>
        <w:t xml:space="preserve">, sieht die erste Periode der Datenschutzgrundverordnung </w:t>
      </w:r>
      <w:r w:rsidR="00D255BA">
        <w:rPr>
          <w:lang w:val="de-AT"/>
        </w:rPr>
        <w:t>als Erfolg an</w:t>
      </w:r>
      <w:r>
        <w:rPr>
          <w:lang w:val="de-AT"/>
        </w:rPr>
        <w:t xml:space="preserve">, weist aber auch auf Verbesserungspotential in Bezug auf </w:t>
      </w:r>
      <w:r w:rsidR="00D255BA">
        <w:rPr>
          <w:lang w:val="de-AT"/>
        </w:rPr>
        <w:t xml:space="preserve">Rechtsvermittlung hin, bei der es zu Versäumnissen gekommen sei </w:t>
      </w:r>
      <w:r w:rsidR="00D255BA">
        <w:rPr>
          <w:lang w:val="de-AT"/>
        </w:rPr>
        <w:fldChar w:fldCharType="begin"/>
      </w:r>
      <w:r w:rsidR="00D255BA">
        <w:rPr>
          <w:lang w:val="de-AT"/>
        </w:rPr>
        <w:instrText xml:space="preserve"> ADDIN EN.CITE &lt;EndNote&gt;&lt;Cite&gt;&lt;Author&gt;BfDI&lt;/Author&gt;&lt;Year&gt;2019&lt;/Year&gt;&lt;IDText&gt;Ein Jahr DSGVO – ein Erfolg mit weiterem Steigerungspotential&lt;/IDText&gt;&lt;DisplayText&gt;(BfDI, 2019)&lt;/DisplayText&gt;&lt;record&gt;&lt;urls&gt;&lt;related-urls&gt;&lt;url&gt;https://www.bfdi.bund.de/DE/Infothek/Pressemitteilungen/2019/17_EinJahrDSGVO.html&lt;/url&gt;&lt;/related-urls&gt;&lt;/urls&gt;&lt;titles&gt;&lt;title&gt;Ein Jahr DSGVO – ein Erfolg mit weiterem Steigerungspotential&lt;/title&gt;&lt;/titles&gt;&lt;access-date&gt;7.6.2019&lt;/access-date&gt;&lt;contributors&gt;&lt;authors&gt;&lt;author&gt;BfDI, Der Bundesbeauftragte für den Datenschutz und die Informationsfreiheit&lt;/author&gt;&lt;/authors&gt;&lt;/contributors&gt;&lt;added-date format="utc"&gt;1560722318&lt;/added-date&gt;&lt;ref-type name="Press Release"&gt;63&lt;/ref-type&gt;&lt;dates&gt;&lt;year&gt;2019&lt;/year&gt;&lt;/dates&gt;&lt;rec-number&gt;134&lt;/rec-number&gt;&lt;publisher&gt;Der Bundesbeauftragte für den Datenschutz und die Informationsfreiheit&lt;/publisher&gt;&lt;last-updated-date format="utc"&gt;1560722426&lt;/last-updated-date&gt;&lt;/record&gt;&lt;/Cite&gt;&lt;/EndNote&gt;</w:instrText>
      </w:r>
      <w:r w:rsidR="00D255BA">
        <w:rPr>
          <w:lang w:val="de-AT"/>
        </w:rPr>
        <w:fldChar w:fldCharType="separate"/>
      </w:r>
      <w:r w:rsidR="00D255BA">
        <w:rPr>
          <w:noProof/>
          <w:lang w:val="de-AT"/>
        </w:rPr>
        <w:t>(BfDI, 2019)</w:t>
      </w:r>
      <w:r w:rsidR="00D255BA">
        <w:rPr>
          <w:lang w:val="de-AT"/>
        </w:rPr>
        <w:fldChar w:fldCharType="end"/>
      </w:r>
      <w:r w:rsidR="00D255BA">
        <w:rPr>
          <w:lang w:val="de-AT"/>
        </w:rPr>
        <w:t xml:space="preserve">. Weiter sollte bedacht werden, dass ein Binnenmarkt wie der EWR eine Strahlkraft nach außen hin hat, der Märkte wie die USA, Indien oder Japan beeinflusst, in denen die Verordnung </w:t>
      </w:r>
      <w:r w:rsidR="00ED027E">
        <w:rPr>
          <w:lang w:val="de-AT"/>
        </w:rPr>
        <w:t xml:space="preserve">laut BfDI </w:t>
      </w:r>
      <w:r w:rsidR="00ED027E">
        <w:rPr>
          <w:lang w:val="de-AT"/>
        </w:rPr>
        <w:fldChar w:fldCharType="begin"/>
      </w:r>
      <w:r w:rsidR="00ED027E">
        <w:rPr>
          <w:lang w:val="de-AT"/>
        </w:rPr>
        <w:instrText xml:space="preserve"> ADDIN EN.CITE &lt;EndNote&gt;&lt;Cite ExcludeAuth="1"&gt;&lt;Author&gt;BfDI&lt;/Author&gt;&lt;Year&gt;2019&lt;/Year&gt;&lt;IDText&gt;Ein Jahr DSGVO – ein Erfolg mit weiterem Steigerungspotential&lt;/IDText&gt;&lt;DisplayText&gt;(2019)&lt;/DisplayText&gt;&lt;record&gt;&lt;urls&gt;&lt;related-urls&gt;&lt;url&gt;https://www.bfdi.bund.de/DE/Infothek/Pressemitteilungen/2019/17_EinJahrDSGVO.html&lt;/url&gt;&lt;/related-urls&gt;&lt;/urls&gt;&lt;titles&gt;&lt;title&gt;Ein Jahr DSGVO – ein Erfolg mit weiterem Steigerungspotential&lt;/title&gt;&lt;/titles&gt;&lt;access-date&gt;7.6.2019&lt;/access-date&gt;&lt;contributors&gt;&lt;authors&gt;&lt;author&gt;BfDI, Der Bundesbeauftragte für den Datenschutz und die Informationsfreiheit&lt;/author&gt;&lt;/authors&gt;&lt;/contributors&gt;&lt;added-date format="utc"&gt;1560722318&lt;/added-date&gt;&lt;ref-type name="Press Release"&gt;63&lt;/ref-type&gt;&lt;dates&gt;&lt;year&gt;2019&lt;/year&gt;&lt;/dates&gt;&lt;rec-number&gt;134&lt;/rec-number&gt;&lt;publisher&gt;Der Bundesbeauftragte für den Datenschutz und die Informationsfreiheit&lt;/publisher&gt;&lt;last-updated-date format="utc"&gt;1560722426&lt;/last-updated-date&gt;&lt;/record&gt;&lt;/Cite&gt;&lt;/EndNote&gt;</w:instrText>
      </w:r>
      <w:r w:rsidR="00ED027E">
        <w:rPr>
          <w:lang w:val="de-AT"/>
        </w:rPr>
        <w:fldChar w:fldCharType="separate"/>
      </w:r>
      <w:r w:rsidR="00ED027E">
        <w:rPr>
          <w:noProof/>
          <w:lang w:val="de-AT"/>
        </w:rPr>
        <w:t>(2019)</w:t>
      </w:r>
      <w:r w:rsidR="00ED027E">
        <w:rPr>
          <w:lang w:val="de-AT"/>
        </w:rPr>
        <w:fldChar w:fldCharType="end"/>
      </w:r>
      <w:r w:rsidR="00ED027E">
        <w:rPr>
          <w:lang w:val="de-AT"/>
        </w:rPr>
        <w:t xml:space="preserve"> </w:t>
      </w:r>
      <w:r w:rsidR="00D255BA">
        <w:rPr>
          <w:lang w:val="de-AT"/>
        </w:rPr>
        <w:t>eine Vorbildfunktion für eigene Entwürfe stellt.</w:t>
      </w:r>
    </w:p>
    <w:p w14:paraId="6D8BF9DE" w14:textId="75565D49" w:rsidR="00D255BA" w:rsidRDefault="00D255BA" w:rsidP="0083786B">
      <w:pPr>
        <w:rPr>
          <w:lang w:val="de-AT"/>
        </w:rPr>
      </w:pPr>
      <w:r>
        <w:rPr>
          <w:lang w:val="de-AT"/>
        </w:rPr>
        <w:t xml:space="preserve">Die europäische </w:t>
      </w:r>
      <w:r w:rsidR="00954102">
        <w:rPr>
          <w:lang w:val="de-AT"/>
        </w:rPr>
        <w:t>Datenschutzgrundverordnung</w:t>
      </w:r>
      <w:r>
        <w:rPr>
          <w:lang w:val="de-AT"/>
        </w:rPr>
        <w:t xml:space="preserve"> </w:t>
      </w:r>
      <w:r w:rsidR="00ED027E">
        <w:rPr>
          <w:lang w:val="de-AT"/>
        </w:rPr>
        <w:t xml:space="preserve">stellt keine </w:t>
      </w:r>
      <w:r w:rsidR="002E12F7">
        <w:rPr>
          <w:lang w:val="de-AT"/>
        </w:rPr>
        <w:t>allumfassende</w:t>
      </w:r>
      <w:r w:rsidR="00ED027E">
        <w:rPr>
          <w:lang w:val="de-AT"/>
        </w:rPr>
        <w:t xml:space="preserve"> Lösung für </w:t>
      </w:r>
      <w:r w:rsidR="00954102">
        <w:rPr>
          <w:lang w:val="de-AT"/>
        </w:rPr>
        <w:t xml:space="preserve">den Schutz der </w:t>
      </w:r>
      <w:r w:rsidR="004E7216">
        <w:rPr>
          <w:lang w:val="de-AT"/>
        </w:rPr>
        <w:t xml:space="preserve">Persönlichkeitsrechte europäischer Bürger dar. Sie kann und muss jedoch als wichtiger Schritt in die richtige Richtung gesehen werden, die durch Erweiterungen, wie der angekündigten ePrivacy-Verordnung, eine sukzessive Verbesserung und Adaption an moderne Gegebenheiten darstellt. </w:t>
      </w:r>
      <w:r w:rsidR="00954102">
        <w:rPr>
          <w:lang w:val="de-AT"/>
        </w:rPr>
        <w:t>D</w:t>
      </w:r>
      <w:r w:rsidR="000F6F58">
        <w:rPr>
          <w:lang w:val="de-AT"/>
        </w:rPr>
        <w:t xml:space="preserve">atenschutz hat </w:t>
      </w:r>
      <w:r w:rsidR="000F6F58">
        <w:rPr>
          <w:lang w:val="de-AT"/>
        </w:rPr>
        <w:lastRenderedPageBreak/>
        <w:t xml:space="preserve">Einzug in den Alltag </w:t>
      </w:r>
      <w:r w:rsidR="00954102">
        <w:rPr>
          <w:lang w:val="de-AT"/>
        </w:rPr>
        <w:t xml:space="preserve">europäischer Unternehmen gefunden und </w:t>
      </w:r>
      <w:r w:rsidR="000F6F58">
        <w:rPr>
          <w:lang w:val="de-AT"/>
        </w:rPr>
        <w:t>dürfte</w:t>
      </w:r>
      <w:r w:rsidR="00954102">
        <w:rPr>
          <w:lang w:val="de-AT"/>
        </w:rPr>
        <w:t xml:space="preserve"> auch in den nächsten Jahren präsent sein.</w:t>
      </w:r>
    </w:p>
    <w:p w14:paraId="67C9FC2B" w14:textId="77777777" w:rsidR="0083786B" w:rsidRDefault="0083786B" w:rsidP="0083786B">
      <w:pPr>
        <w:rPr>
          <w:lang w:val="de-AT"/>
        </w:rPr>
      </w:pPr>
    </w:p>
    <w:p w14:paraId="4C101AC8" w14:textId="3F167B9D" w:rsidR="007252C7" w:rsidRDefault="007252C7" w:rsidP="002A1DBD">
      <w:pPr>
        <w:pStyle w:val="berschrift1"/>
        <w:numPr>
          <w:ilvl w:val="0"/>
          <w:numId w:val="0"/>
        </w:numPr>
        <w:rPr>
          <w:lang w:val="de-AT"/>
        </w:rPr>
      </w:pPr>
      <w:r>
        <w:rPr>
          <w:lang w:val="de-AT"/>
        </w:rPr>
        <w:br w:type="page"/>
      </w:r>
    </w:p>
    <w:p w14:paraId="20E05B20" w14:textId="77777777" w:rsidR="002A1DBD" w:rsidRPr="007B5060" w:rsidRDefault="002A1DBD" w:rsidP="002A1DBD">
      <w:pPr>
        <w:pStyle w:val="berschrift1"/>
        <w:numPr>
          <w:ilvl w:val="0"/>
          <w:numId w:val="0"/>
        </w:numPr>
        <w:rPr>
          <w:lang w:val="de-AT"/>
        </w:rPr>
      </w:pPr>
      <w:bookmarkStart w:id="36" w:name="_Toc11865329"/>
      <w:r w:rsidRPr="007B5060">
        <w:rPr>
          <w:lang w:val="de-AT"/>
        </w:rPr>
        <w:lastRenderedPageBreak/>
        <w:t>Literaturverzeichnis</w:t>
      </w:r>
      <w:bookmarkEnd w:id="36"/>
    </w:p>
    <w:p w14:paraId="62D7EBD2" w14:textId="2A683874" w:rsidR="00C51166" w:rsidRPr="00CF714B" w:rsidRDefault="00C030F6" w:rsidP="00C51166">
      <w:pPr>
        <w:pStyle w:val="EndNoteBibliography"/>
        <w:spacing w:after="0"/>
        <w:ind w:left="720" w:hanging="720"/>
        <w:rPr>
          <w:lang w:val="de-AT"/>
        </w:rPr>
      </w:pPr>
      <w:r>
        <w:fldChar w:fldCharType="begin"/>
      </w:r>
      <w:r w:rsidRPr="00A00852">
        <w:rPr>
          <w:lang w:val="de-AT"/>
        </w:rPr>
        <w:instrText xml:space="preserve"> ADDIN EN.REFLIST </w:instrText>
      </w:r>
      <w:r>
        <w:fldChar w:fldCharType="separate"/>
      </w:r>
      <w:r w:rsidR="00C51166" w:rsidRPr="00CF714B">
        <w:rPr>
          <w:lang w:val="de-AT"/>
        </w:rPr>
        <w:t>Anger, H. &amp; Neuerer, D. (2019). Behörden verhängen erste Bußgelder wegen Verstößen gegen DSGVO,</w:t>
      </w:r>
      <w:r w:rsidR="00C51166" w:rsidRPr="00CF714B">
        <w:rPr>
          <w:i/>
          <w:lang w:val="de-AT"/>
        </w:rPr>
        <w:t xml:space="preserve"> Handelsblatt</w:t>
      </w:r>
      <w:r w:rsidR="00C51166" w:rsidRPr="00CF714B">
        <w:rPr>
          <w:lang w:val="de-AT"/>
        </w:rPr>
        <w:t xml:space="preserve">. Heruntergeladen von </w:t>
      </w:r>
      <w:hyperlink r:id="rId11" w:history="1">
        <w:r w:rsidR="00C51166" w:rsidRPr="00CF714B">
          <w:rPr>
            <w:rStyle w:val="Hyperlink"/>
            <w:lang w:val="de-AT"/>
          </w:rPr>
          <w:t>https://www.handelsblatt.com/politik/deutschland/datenschutzgrundverordnung-behoerden-verhaengen-erste-bussgelder-wegen-verstoessen-gegen-dsgvo/23872806.html?ticket=ST-2168517-aN6wCdMplvSkk6DIkZxq-ap3</w:t>
        </w:r>
      </w:hyperlink>
    </w:p>
    <w:p w14:paraId="6AF5E746" w14:textId="663B891B" w:rsidR="00C51166" w:rsidRPr="00CF714B" w:rsidRDefault="00C51166" w:rsidP="00C51166">
      <w:pPr>
        <w:pStyle w:val="EndNoteBibliography"/>
        <w:spacing w:after="0"/>
        <w:ind w:left="720" w:hanging="720"/>
        <w:rPr>
          <w:lang w:val="de-AT"/>
        </w:rPr>
      </w:pPr>
      <w:r w:rsidRPr="00CF714B">
        <w:rPr>
          <w:lang w:val="de-AT"/>
        </w:rPr>
        <w:t xml:space="preserve">ARGE Daten. (2019a). </w:t>
      </w:r>
      <w:r w:rsidRPr="00CF714B">
        <w:rPr>
          <w:i/>
          <w:lang w:val="de-AT"/>
        </w:rPr>
        <w:t>1 Jahr DSGVO - Was blieb vom "Datenschutz"?</w:t>
      </w:r>
      <w:r w:rsidRPr="00CF714B">
        <w:rPr>
          <w:lang w:val="de-AT"/>
        </w:rPr>
        <w:t xml:space="preserve">  Heruntergeladen am 7.6.2019 von </w:t>
      </w:r>
      <w:hyperlink r:id="rId12" w:history="1">
        <w:r w:rsidRPr="00CF714B">
          <w:rPr>
            <w:rStyle w:val="Hyperlink"/>
            <w:lang w:val="de-AT"/>
          </w:rPr>
          <w:t>http://www.argedaten.at/php/cms_monitor.php?q=PUB-TEXT-ARGEDATEN&amp;s=08649kjo</w:t>
        </w:r>
      </w:hyperlink>
    </w:p>
    <w:p w14:paraId="26B747AA" w14:textId="17A48EBF" w:rsidR="00C51166" w:rsidRPr="00CF714B" w:rsidRDefault="00C51166" w:rsidP="00C51166">
      <w:pPr>
        <w:pStyle w:val="EndNoteBibliography"/>
        <w:spacing w:after="0"/>
        <w:ind w:left="720" w:hanging="720"/>
        <w:rPr>
          <w:lang w:val="de-AT"/>
        </w:rPr>
      </w:pPr>
      <w:r w:rsidRPr="00CF714B">
        <w:rPr>
          <w:lang w:val="de-AT"/>
        </w:rPr>
        <w:t xml:space="preserve">ARGE Daten. (2019b). </w:t>
      </w:r>
      <w:r w:rsidRPr="00CF714B">
        <w:rPr>
          <w:i/>
          <w:lang w:val="de-AT"/>
        </w:rPr>
        <w:t>Datenschutz Seminare der ARGE DATEN</w:t>
      </w:r>
      <w:r w:rsidRPr="00CF714B">
        <w:rPr>
          <w:lang w:val="de-AT"/>
        </w:rPr>
        <w:t xml:space="preserve">.  Heruntergeladen am 7.6.2019 von </w:t>
      </w:r>
      <w:hyperlink r:id="rId13" w:history="1">
        <w:r w:rsidRPr="00CF714B">
          <w:rPr>
            <w:rStyle w:val="Hyperlink"/>
            <w:lang w:val="de-AT"/>
          </w:rPr>
          <w:t>http://www.argedaten.at/php/cms_monitor.php?q=SEMINARE</w:t>
        </w:r>
      </w:hyperlink>
    </w:p>
    <w:p w14:paraId="04033315" w14:textId="35E3DD3B" w:rsidR="00C51166" w:rsidRPr="00CF714B" w:rsidRDefault="00C51166" w:rsidP="00C51166">
      <w:pPr>
        <w:pStyle w:val="EndNoteBibliography"/>
        <w:spacing w:after="0"/>
        <w:ind w:left="720" w:hanging="720"/>
        <w:rPr>
          <w:lang w:val="de-AT"/>
        </w:rPr>
      </w:pPr>
      <w:r w:rsidRPr="00CF714B">
        <w:rPr>
          <w:lang w:val="de-AT"/>
        </w:rPr>
        <w:t xml:space="preserve">ARGE Daten. (2019c). </w:t>
      </w:r>
      <w:r w:rsidRPr="00CF714B">
        <w:rPr>
          <w:i/>
          <w:lang w:val="de-AT"/>
        </w:rPr>
        <w:t>Lehrgang ISO-zertifizierter Datenschutzbeauftragter</w:t>
      </w:r>
      <w:r w:rsidRPr="00CF714B">
        <w:rPr>
          <w:lang w:val="de-AT"/>
        </w:rPr>
        <w:t xml:space="preserve">.  Heruntergeladen am 7.6.2019 von </w:t>
      </w:r>
      <w:hyperlink r:id="rId14" w:history="1">
        <w:r w:rsidRPr="00CF714B">
          <w:rPr>
            <w:rStyle w:val="Hyperlink"/>
            <w:lang w:val="de-AT"/>
          </w:rPr>
          <w:t>http://www.argedaten.at/datenschutzbeauftragter.html</w:t>
        </w:r>
      </w:hyperlink>
    </w:p>
    <w:p w14:paraId="598C04FB" w14:textId="77777777" w:rsidR="00C51166" w:rsidRPr="00CF714B" w:rsidRDefault="00C51166" w:rsidP="00C51166">
      <w:pPr>
        <w:pStyle w:val="EndNoteBibliography"/>
        <w:spacing w:after="0"/>
        <w:ind w:left="720" w:hanging="720"/>
        <w:rPr>
          <w:lang w:val="de-AT"/>
        </w:rPr>
      </w:pPr>
      <w:r w:rsidRPr="00CF714B">
        <w:rPr>
          <w:lang w:val="de-AT"/>
        </w:rPr>
        <w:t>Artikel-29-Datenschutzgruppe. (2018). Guidelines on transparency under Regulation 2016/679.</w:t>
      </w:r>
    </w:p>
    <w:p w14:paraId="0B77D67E" w14:textId="77777777" w:rsidR="00C51166" w:rsidRPr="00CF714B" w:rsidRDefault="00C51166" w:rsidP="00C51166">
      <w:pPr>
        <w:pStyle w:val="EndNoteBibliography"/>
        <w:spacing w:after="0"/>
        <w:ind w:left="720" w:hanging="720"/>
        <w:rPr>
          <w:lang w:val="de-AT"/>
        </w:rPr>
      </w:pPr>
      <w:r w:rsidRPr="00CF714B">
        <w:rPr>
          <w:lang w:val="fr-FR"/>
        </w:rPr>
        <w:t xml:space="preserve">BfDI, D. B. f. d. D. u. d. I. (2019). </w:t>
      </w:r>
      <w:r w:rsidRPr="00CF714B">
        <w:rPr>
          <w:lang w:val="de-AT"/>
        </w:rPr>
        <w:t>Ein Jahr DSGVO – ein Erfolg mit weiterem Steigerungspotential: Der Bundesbeauftragte für den Datenschutz und die Informationsfreiheit.</w:t>
      </w:r>
    </w:p>
    <w:p w14:paraId="4AA5A5B4" w14:textId="6EB53E6A" w:rsidR="00C51166" w:rsidRPr="00CF714B" w:rsidRDefault="00C51166" w:rsidP="00C51166">
      <w:pPr>
        <w:pStyle w:val="EndNoteBibliography"/>
        <w:spacing w:after="0"/>
        <w:ind w:left="720" w:hanging="720"/>
        <w:rPr>
          <w:lang w:val="de-AT"/>
        </w:rPr>
      </w:pPr>
      <w:r w:rsidRPr="00CF714B">
        <w:rPr>
          <w:lang w:val="de-AT"/>
        </w:rPr>
        <w:t xml:space="preserve">BFI Oberösterreich. (2019). </w:t>
      </w:r>
      <w:r w:rsidRPr="00CF714B">
        <w:rPr>
          <w:i/>
          <w:lang w:val="de-AT"/>
        </w:rPr>
        <w:t>Datenschutzbeauftragte/r - Basic</w:t>
      </w:r>
      <w:r w:rsidRPr="00CF714B">
        <w:rPr>
          <w:lang w:val="de-AT"/>
        </w:rPr>
        <w:t xml:space="preserve">.  Heruntergeladen am 7.6.2019 von </w:t>
      </w:r>
      <w:hyperlink r:id="rId15" w:history="1">
        <w:r w:rsidRPr="00CF714B">
          <w:rPr>
            <w:rStyle w:val="Hyperlink"/>
            <w:lang w:val="de-AT"/>
          </w:rPr>
          <w:t>https://www.bfi-ooe.at/de/kurssuche/erweiterte-kurssuche/2018l-l-176702.html</w:t>
        </w:r>
      </w:hyperlink>
    </w:p>
    <w:p w14:paraId="60E57C19" w14:textId="77777777" w:rsidR="00C51166" w:rsidRPr="00CF714B" w:rsidRDefault="00C51166" w:rsidP="00C51166">
      <w:pPr>
        <w:pStyle w:val="EndNoteBibliography"/>
        <w:spacing w:after="0"/>
        <w:ind w:left="720" w:hanging="720"/>
        <w:rPr>
          <w:lang w:val="de-AT"/>
        </w:rPr>
      </w:pPr>
      <w:r w:rsidRPr="00CF714B">
        <w:rPr>
          <w:lang w:val="de-AT"/>
        </w:rPr>
        <w:t xml:space="preserve">Bizer, J. (2007). Sieben Goldene Regeln des Datenschutzes. [journal article]. </w:t>
      </w:r>
      <w:r w:rsidRPr="00CF714B">
        <w:rPr>
          <w:i/>
          <w:lang w:val="de-AT"/>
        </w:rPr>
        <w:t>Datenschutz und Datensicherheit - DuD, 31</w:t>
      </w:r>
      <w:r w:rsidRPr="00CF714B">
        <w:rPr>
          <w:lang w:val="de-AT"/>
        </w:rPr>
        <w:t>(5), 350-356.</w:t>
      </w:r>
    </w:p>
    <w:p w14:paraId="6CB275B2" w14:textId="77777777" w:rsidR="00C51166" w:rsidRPr="00CF714B" w:rsidRDefault="00C51166" w:rsidP="00C51166">
      <w:pPr>
        <w:pStyle w:val="EndNoteBibliography"/>
        <w:spacing w:after="0"/>
        <w:ind w:left="720" w:hanging="720"/>
        <w:rPr>
          <w:lang w:val="de-AT"/>
        </w:rPr>
      </w:pPr>
      <w:r w:rsidRPr="00CF714B">
        <w:rPr>
          <w:lang w:val="de-AT"/>
        </w:rPr>
        <w:t>BVDW, B. D. W. e. V. (2019). Aktuelle Informationen zur ePrivay-Verordnung.</w:t>
      </w:r>
    </w:p>
    <w:p w14:paraId="5C07F45A" w14:textId="77777777" w:rsidR="00C51166" w:rsidRPr="00CF714B" w:rsidRDefault="00C51166" w:rsidP="00C51166">
      <w:pPr>
        <w:pStyle w:val="EndNoteBibliography"/>
        <w:spacing w:after="0"/>
        <w:ind w:left="720" w:hanging="720"/>
        <w:rPr>
          <w:lang w:val="de-AT"/>
        </w:rPr>
      </w:pPr>
      <w:r w:rsidRPr="00CF714B">
        <w:rPr>
          <w:lang w:val="de-AT"/>
        </w:rPr>
        <w:t>CNIL. (2019). The CNIL’s restricted committee imposes a financial penalty of 50 Million euros against GOOGLE LLC: Commission Nationale de l’Informatique et des Libertés.</w:t>
      </w:r>
    </w:p>
    <w:p w14:paraId="0D48C3DF" w14:textId="77777777" w:rsidR="00C51166" w:rsidRPr="00CF714B" w:rsidRDefault="00C51166" w:rsidP="00C51166">
      <w:pPr>
        <w:pStyle w:val="EndNoteBibliography"/>
        <w:spacing w:after="0"/>
        <w:ind w:left="720" w:hanging="720"/>
        <w:rPr>
          <w:lang w:val="de-AT"/>
        </w:rPr>
      </w:pPr>
      <w:r w:rsidRPr="00CF714B">
        <w:rPr>
          <w:lang w:val="de-AT"/>
        </w:rPr>
        <w:t xml:space="preserve">DIVSI. (2018). </w:t>
      </w:r>
      <w:r w:rsidRPr="00CF714B">
        <w:rPr>
          <w:i/>
          <w:lang w:val="de-AT"/>
        </w:rPr>
        <w:t>Haben Sie bereits von der neuen Datenschutzgrundverordnung (DSGVO) gehört?</w:t>
      </w:r>
      <w:r w:rsidRPr="00CF714B">
        <w:rPr>
          <w:lang w:val="de-AT"/>
        </w:rPr>
        <w:t xml:space="preserve"> Statista - Das Statistik-Portal.</w:t>
      </w:r>
    </w:p>
    <w:p w14:paraId="16146676" w14:textId="77777777" w:rsidR="00C51166" w:rsidRPr="00C51166" w:rsidRDefault="00C51166" w:rsidP="00C51166">
      <w:pPr>
        <w:pStyle w:val="EndNoteBibliography"/>
        <w:spacing w:after="0"/>
        <w:ind w:left="720" w:hanging="720"/>
      </w:pPr>
      <w:r w:rsidRPr="00CF714B">
        <w:rPr>
          <w:lang w:val="de-AT"/>
        </w:rPr>
        <w:t xml:space="preserve">Druschel, P., Backes, M. &amp; Tirtea, R. (2011). </w:t>
      </w:r>
      <w:r w:rsidRPr="00C51166">
        <w:rPr>
          <w:i/>
        </w:rPr>
        <w:t>The Right to be forgotten - between expectations and reality</w:t>
      </w:r>
      <w:r w:rsidRPr="00C51166">
        <w:t>. Heraklion.</w:t>
      </w:r>
    </w:p>
    <w:p w14:paraId="78A55EC2" w14:textId="77777777" w:rsidR="00C51166" w:rsidRPr="00C51166" w:rsidRDefault="00C51166" w:rsidP="00C51166">
      <w:pPr>
        <w:pStyle w:val="EndNoteBibliography"/>
        <w:spacing w:after="0"/>
        <w:ind w:left="720" w:hanging="720"/>
      </w:pPr>
      <w:r w:rsidRPr="00C51166">
        <w:t>EDRi, E. D. R. &amp; Marzouki, M. (2012). Modernizing Council of Europe Convention 108: Comments and Recommendations from a Civil Society Perspective.</w:t>
      </w:r>
    </w:p>
    <w:p w14:paraId="3C26101E" w14:textId="2F1FE580" w:rsidR="00C51166" w:rsidRPr="00CF714B" w:rsidRDefault="00C51166" w:rsidP="00CF714B">
      <w:pPr>
        <w:pStyle w:val="EndNoteBibliography"/>
        <w:ind w:left="720" w:hanging="720"/>
        <w:rPr>
          <w:lang w:val="de-AT"/>
        </w:rPr>
      </w:pPr>
      <w:r w:rsidRPr="00CF714B">
        <w:rPr>
          <w:lang w:val="de-AT"/>
        </w:rPr>
        <w:t>EDSB, E. D. (2011). Stellungnahme des Europäischen Datenschutzbeauftragten zur Mitteilung der Kommission an das</w:t>
      </w:r>
      <w:r w:rsidR="00CF714B">
        <w:rPr>
          <w:lang w:val="de-AT"/>
        </w:rPr>
        <w:t xml:space="preserve"> </w:t>
      </w:r>
      <w:r w:rsidRPr="00CF714B">
        <w:rPr>
          <w:lang w:val="de-AT"/>
        </w:rPr>
        <w:t>Europäische Parlament, den Rat, den Europäischen Wirtschafts- und Sozialausschuss und den</w:t>
      </w:r>
      <w:r w:rsidR="00CF714B">
        <w:rPr>
          <w:lang w:val="de-AT"/>
        </w:rPr>
        <w:t xml:space="preserve"> </w:t>
      </w:r>
      <w:r w:rsidRPr="00CF714B">
        <w:rPr>
          <w:lang w:val="de-AT"/>
        </w:rPr>
        <w:t>Ausschuss der Regionen — „Gesamtkonzept für den Datenschutz in der Europäischen Union“.</w:t>
      </w:r>
    </w:p>
    <w:p w14:paraId="44924ADA" w14:textId="77777777" w:rsidR="00C51166" w:rsidRPr="00C51166" w:rsidRDefault="00C51166" w:rsidP="00C51166">
      <w:pPr>
        <w:pStyle w:val="EndNoteBibliography"/>
        <w:spacing w:after="0"/>
        <w:ind w:left="720" w:hanging="720"/>
      </w:pPr>
      <w:r w:rsidRPr="00C51166">
        <w:t>Europarat. (1968). Recommendation 509 (1968) - Human rights and modern scientific and technological developments.</w:t>
      </w:r>
    </w:p>
    <w:p w14:paraId="4BC7BF70" w14:textId="77777777" w:rsidR="00C51166" w:rsidRPr="00CF714B" w:rsidRDefault="00C51166" w:rsidP="00C51166">
      <w:pPr>
        <w:pStyle w:val="EndNoteBibliography"/>
        <w:ind w:left="720" w:hanging="720"/>
        <w:rPr>
          <w:lang w:val="de-AT"/>
        </w:rPr>
      </w:pPr>
      <w:r w:rsidRPr="00CF714B">
        <w:rPr>
          <w:lang w:val="de-AT"/>
        </w:rPr>
        <w:t>Konvention 108 - Übereinkommen zum Schutz des Menschen bei der automatischen</w:t>
      </w:r>
    </w:p>
    <w:p w14:paraId="557DCA0E" w14:textId="77777777" w:rsidR="00C51166" w:rsidRPr="00C51166" w:rsidRDefault="00C51166" w:rsidP="00C51166">
      <w:pPr>
        <w:pStyle w:val="EndNoteBibliography"/>
        <w:spacing w:after="0"/>
      </w:pPr>
      <w:r w:rsidRPr="00C51166">
        <w:t>Verarbeitung personenbezogener Daten (1981).</w:t>
      </w:r>
    </w:p>
    <w:p w14:paraId="05FA0301" w14:textId="77777777" w:rsidR="00C51166" w:rsidRPr="00C51166" w:rsidRDefault="00C51166" w:rsidP="00C51166">
      <w:pPr>
        <w:pStyle w:val="EndNoteBibliography"/>
        <w:spacing w:after="0"/>
        <w:ind w:left="720" w:hanging="720"/>
      </w:pPr>
      <w:r w:rsidRPr="00C51166">
        <w:t>Convention 108 +   Convention for the protection of individuals with regard to the processing of personal data  (2018a).</w:t>
      </w:r>
    </w:p>
    <w:p w14:paraId="598E59E8" w14:textId="77777777" w:rsidR="00C51166" w:rsidRPr="00C51166" w:rsidRDefault="00C51166" w:rsidP="00C51166">
      <w:pPr>
        <w:pStyle w:val="EndNoteBibliography"/>
        <w:spacing w:after="0"/>
        <w:ind w:left="720" w:hanging="720"/>
      </w:pPr>
      <w:r w:rsidRPr="00C51166">
        <w:t>Europarat. (2018b). The modernised Convention 108: Overview of the Novelties.</w:t>
      </w:r>
    </w:p>
    <w:p w14:paraId="55DF97DB" w14:textId="5735655D" w:rsidR="00C51166" w:rsidRPr="00CF714B" w:rsidRDefault="00C51166" w:rsidP="00C51166">
      <w:pPr>
        <w:pStyle w:val="EndNoteBibliography"/>
        <w:spacing w:after="0"/>
        <w:ind w:left="720" w:hanging="720"/>
        <w:rPr>
          <w:lang w:val="de-AT"/>
        </w:rPr>
      </w:pPr>
      <w:r w:rsidRPr="00CF714B">
        <w:rPr>
          <w:lang w:val="de-AT"/>
        </w:rPr>
        <w:t xml:space="preserve">Europarat. (2018c). </w:t>
      </w:r>
      <w:r w:rsidRPr="00CF714B">
        <w:rPr>
          <w:i/>
          <w:lang w:val="de-AT"/>
        </w:rPr>
        <w:t>Unterschriften und Ratifikationsstand des Vertrags 223</w:t>
      </w:r>
      <w:r w:rsidRPr="00CF714B">
        <w:rPr>
          <w:lang w:val="de-AT"/>
        </w:rPr>
        <w:t xml:space="preserve">.  Heruntergeladen am 19.05.2019 von </w:t>
      </w:r>
      <w:hyperlink r:id="rId16" w:history="1">
        <w:r w:rsidRPr="00CF714B">
          <w:rPr>
            <w:rStyle w:val="Hyperlink"/>
            <w:lang w:val="de-AT"/>
          </w:rPr>
          <w:t>https://www.coe.int/de/web/conventions/full-list/-/conventions/treaty/223/signatures</w:t>
        </w:r>
      </w:hyperlink>
    </w:p>
    <w:p w14:paraId="586B9B1E" w14:textId="77777777" w:rsidR="00C51166" w:rsidRPr="00CF714B" w:rsidRDefault="00C51166" w:rsidP="00C51166">
      <w:pPr>
        <w:pStyle w:val="EndNoteBibliography"/>
        <w:spacing w:after="0"/>
        <w:ind w:left="720" w:hanging="720"/>
        <w:rPr>
          <w:lang w:val="de-AT"/>
        </w:rPr>
      </w:pPr>
      <w:r w:rsidRPr="00CF714B">
        <w:rPr>
          <w:lang w:val="de-AT"/>
        </w:rPr>
        <w:t>Richtlinie 97/66/EG des Europäischen Parlaments und des Rates vom 15. Dezember 1997 über die Verarbeitung personenbezogener Daten und den Schutz der Privatsphäre im Bereich der Telekommunikation (1997).</w:t>
      </w:r>
    </w:p>
    <w:p w14:paraId="589638E7" w14:textId="77777777" w:rsidR="00C51166" w:rsidRPr="00CF714B" w:rsidRDefault="00C51166" w:rsidP="00C51166">
      <w:pPr>
        <w:pStyle w:val="EndNoteBibliography"/>
        <w:spacing w:after="0"/>
        <w:ind w:left="720" w:hanging="720"/>
        <w:rPr>
          <w:lang w:val="de-AT"/>
        </w:rPr>
      </w:pPr>
      <w:r w:rsidRPr="00CF714B">
        <w:rPr>
          <w:lang w:val="de-AT"/>
        </w:rPr>
        <w:lastRenderedPageBreak/>
        <w:t>Richtlinie 2002/58/EG des Europäischen Parlaments und des Rates vom 12. Juli 2002 über die Verarbeitung personenbezogener Daten und den Schutz der Privatsphäre in der elektronischen Kommunikation (Datenschutzrichtlinie für elektronische Kommunikation)   (2002).</w:t>
      </w:r>
    </w:p>
    <w:p w14:paraId="6476276C" w14:textId="77777777" w:rsidR="00C51166" w:rsidRPr="00CF714B" w:rsidRDefault="00C51166" w:rsidP="00C51166">
      <w:pPr>
        <w:pStyle w:val="EndNoteBibliography"/>
        <w:spacing w:after="0"/>
        <w:ind w:left="720" w:hanging="720"/>
        <w:rPr>
          <w:lang w:val="de-AT"/>
        </w:rPr>
      </w:pPr>
      <w:r w:rsidRPr="00CF714B">
        <w:rPr>
          <w:lang w:val="de-AT"/>
        </w:rPr>
        <w:t>Richtlinie 2009/136/EG des Europäischen Parlaments und des Rates vom 25. November 2009 zur Änderung der Richtlinie 2002/22/EG über den Universaldienst und Nutzerrechte bei elektronischen Kommunikationsnetzen und -diensten, der Richtlinie 2002/58/EG über die Verarbeitung personenbezogener Daten und den Schutz der Privatsphäre in der elektronischen Kommunikation und der Verordnung (EG) Nr. 2006/2004 über die Zusammenarbeit im Verbraucherschutz (Text von Bedeutung für den EWR) (2009).</w:t>
      </w:r>
    </w:p>
    <w:p w14:paraId="0B8DE0B0" w14:textId="77777777" w:rsidR="00C51166" w:rsidRPr="00CF714B" w:rsidRDefault="00C51166" w:rsidP="00C51166">
      <w:pPr>
        <w:pStyle w:val="EndNoteBibliography"/>
        <w:spacing w:after="0"/>
        <w:ind w:left="720" w:hanging="720"/>
        <w:rPr>
          <w:lang w:val="de-AT"/>
        </w:rPr>
      </w:pPr>
      <w:r w:rsidRPr="00CF714B">
        <w:rPr>
          <w:lang w:val="de-AT"/>
        </w:rPr>
        <w:t>Verordnung (EU) 2016/679 des Europäischen Parlaments und des Rates vom 27. April 2016 zum Schutz natürlicher Personen bei der Verarbeitung personenbezogener Daten, zum freien Datenverkehr und zur Aufhebung der Richtlinie 95/46/EG (Datenschutz-Grundverordnung) (2016).</w:t>
      </w:r>
    </w:p>
    <w:p w14:paraId="343C0E52" w14:textId="77777777" w:rsidR="00C51166" w:rsidRPr="00CF714B" w:rsidRDefault="00C51166" w:rsidP="00C51166">
      <w:pPr>
        <w:pStyle w:val="EndNoteBibliography"/>
        <w:ind w:left="720" w:hanging="720"/>
        <w:rPr>
          <w:lang w:val="de-AT"/>
        </w:rPr>
      </w:pPr>
      <w:r w:rsidRPr="00CF714B">
        <w:rPr>
          <w:lang w:val="de-AT"/>
        </w:rPr>
        <w:t>Europäische Kommission. (1990a). Vorschlag für eine Richtlinie des Rates zum Schutz von Personen bei der Verarbeitung</w:t>
      </w:r>
    </w:p>
    <w:p w14:paraId="6426ABA0" w14:textId="77777777" w:rsidR="00C51166" w:rsidRPr="00CF714B" w:rsidRDefault="00C51166" w:rsidP="00C51166">
      <w:pPr>
        <w:pStyle w:val="EndNoteBibliography"/>
        <w:spacing w:after="0"/>
        <w:rPr>
          <w:lang w:val="de-AT"/>
        </w:rPr>
      </w:pPr>
      <w:r w:rsidRPr="00CF714B">
        <w:rPr>
          <w:lang w:val="de-AT"/>
        </w:rPr>
        <w:t>personenbezogener Daten: Amtsblatt der Europäischen Gemeinschaften.</w:t>
      </w:r>
    </w:p>
    <w:p w14:paraId="3343369C" w14:textId="77777777" w:rsidR="00C51166" w:rsidRPr="00CF714B" w:rsidRDefault="00C51166" w:rsidP="00C51166">
      <w:pPr>
        <w:pStyle w:val="EndNoteBibliography"/>
        <w:ind w:left="720" w:hanging="720"/>
        <w:rPr>
          <w:lang w:val="de-AT"/>
        </w:rPr>
      </w:pPr>
      <w:r w:rsidRPr="00CF714B">
        <w:rPr>
          <w:lang w:val="de-AT"/>
        </w:rPr>
        <w:t>Europäische Kommission. (1990b). Vorschlag für eine Richtlinie des Rates zum Schutz von Personen bei der Verarbeitung</w:t>
      </w:r>
    </w:p>
    <w:p w14:paraId="7EB74035" w14:textId="77777777" w:rsidR="00C51166" w:rsidRPr="00CF714B" w:rsidRDefault="00C51166" w:rsidP="00C51166">
      <w:pPr>
        <w:pStyle w:val="EndNoteBibliography"/>
        <w:spacing w:after="0"/>
        <w:rPr>
          <w:lang w:val="de-AT"/>
        </w:rPr>
      </w:pPr>
      <w:r w:rsidRPr="00CF714B">
        <w:rPr>
          <w:lang w:val="de-AT"/>
        </w:rPr>
        <w:t>personenbezogener Daten (Bd. C 277, S. 3-12): Amtsblatt der Europäischen Gemeinschaften.</w:t>
      </w:r>
    </w:p>
    <w:p w14:paraId="096E5CBE" w14:textId="77777777" w:rsidR="00C51166" w:rsidRPr="00CF714B" w:rsidRDefault="00C51166" w:rsidP="00C51166">
      <w:pPr>
        <w:pStyle w:val="EndNoteBibliography"/>
        <w:spacing w:after="0"/>
        <w:ind w:left="720" w:hanging="720"/>
        <w:rPr>
          <w:lang w:val="de-AT"/>
        </w:rPr>
      </w:pPr>
      <w:r w:rsidRPr="00CF714B">
        <w:rPr>
          <w:lang w:val="de-AT"/>
        </w:rPr>
        <w:t>Europäische Kommission. (2012). 2012/0011 (COD) Vorschlag für Verordnung des Europäischen Parlaments und des Rates zum Schutz natürlicher Personen bei der Verarbeitung personenbezogener Daten und zum freien Datenverkehr (Datenschutz-Grundverordnung).</w:t>
      </w:r>
    </w:p>
    <w:p w14:paraId="653B4E78" w14:textId="77777777" w:rsidR="00C51166" w:rsidRPr="00CF714B" w:rsidRDefault="00C51166" w:rsidP="00C51166">
      <w:pPr>
        <w:pStyle w:val="EndNoteBibliography"/>
        <w:spacing w:after="0"/>
        <w:ind w:left="720" w:hanging="720"/>
        <w:rPr>
          <w:lang w:val="de-AT"/>
        </w:rPr>
      </w:pPr>
      <w:r w:rsidRPr="00CF714B">
        <w:rPr>
          <w:lang w:val="de-AT"/>
        </w:rPr>
        <w:t>Durchführungsbeschluss (EU) 2016/1250 der Kommission vom 12. Juli 2016 gemäß der Richtlinie 95/46/EG des Europäischen Parlaments und des Rates über die Angemessenheit des vom EU-US-Datenschutzschild gebotenen Schutzes (Bekannt gegeben unter Aktenzeichen C(2016) 4176) (Text von Bedeutung für den EWR), C(2016) 4176 C.F.R. (2016).</w:t>
      </w:r>
    </w:p>
    <w:p w14:paraId="43631897" w14:textId="06297C94" w:rsidR="00C51166" w:rsidRPr="00CF714B" w:rsidRDefault="00C51166" w:rsidP="00CF714B">
      <w:pPr>
        <w:pStyle w:val="EndNoteBibliography"/>
        <w:ind w:left="720" w:hanging="720"/>
        <w:rPr>
          <w:lang w:val="de-AT"/>
        </w:rPr>
      </w:pPr>
      <w:r w:rsidRPr="00CF714B">
        <w:rPr>
          <w:lang w:val="de-AT"/>
        </w:rPr>
        <w:t>Europäische Kommission. (2017). Vorschlag für eine Verordnung des Europäischen Parlaments und des Rates über die Achtung des Privatlebens und den Schutz personenbezogener Daten in der</w:t>
      </w:r>
      <w:r w:rsidR="00CF714B">
        <w:rPr>
          <w:lang w:val="de-AT"/>
        </w:rPr>
        <w:t xml:space="preserve"> </w:t>
      </w:r>
      <w:r w:rsidRPr="00CF714B">
        <w:rPr>
          <w:lang w:val="de-AT"/>
        </w:rPr>
        <w:t>elektronischen Kommunikation und zur Aufhebung der Richtlinie 2002/58/EG</w:t>
      </w:r>
    </w:p>
    <w:p w14:paraId="36DA4F3F" w14:textId="77777777" w:rsidR="00C51166" w:rsidRPr="00CF714B" w:rsidRDefault="00C51166" w:rsidP="00C51166">
      <w:pPr>
        <w:pStyle w:val="EndNoteBibliography"/>
        <w:spacing w:after="0"/>
        <w:rPr>
          <w:lang w:val="de-AT"/>
        </w:rPr>
      </w:pPr>
      <w:r w:rsidRPr="00CF714B">
        <w:rPr>
          <w:lang w:val="de-AT"/>
        </w:rPr>
        <w:t>(Verordnung über Privatsphäre und elektronische Kommunikation).</w:t>
      </w:r>
    </w:p>
    <w:p w14:paraId="70D31069" w14:textId="77777777" w:rsidR="00C51166" w:rsidRPr="00CF714B" w:rsidRDefault="00C51166" w:rsidP="00C51166">
      <w:pPr>
        <w:pStyle w:val="EndNoteBibliography"/>
        <w:spacing w:after="0"/>
        <w:ind w:left="720" w:hanging="720"/>
        <w:rPr>
          <w:lang w:val="de-AT"/>
        </w:rPr>
      </w:pPr>
      <w:r w:rsidRPr="00CF714B">
        <w:rPr>
          <w:lang w:val="de-AT"/>
        </w:rPr>
        <w:t>Europäisches Parlament. (2016). Parlament verabschiedet EU-Datenschutzreform – EU fit fürs digitale Zeitalter [Pressemeldung].</w:t>
      </w:r>
    </w:p>
    <w:p w14:paraId="7A46ED51" w14:textId="77777777" w:rsidR="00C51166" w:rsidRPr="00CF714B" w:rsidRDefault="00C51166" w:rsidP="00C51166">
      <w:pPr>
        <w:pStyle w:val="EndNoteBibliography"/>
        <w:spacing w:after="0"/>
        <w:ind w:left="720" w:hanging="720"/>
        <w:rPr>
          <w:lang w:val="de-AT"/>
        </w:rPr>
      </w:pPr>
      <w:r w:rsidRPr="00CF714B">
        <w:rPr>
          <w:lang w:val="de-AT"/>
        </w:rPr>
        <w:t>Richtlinie 95/46/EG des Europäischen Parlaments und des Rates vom 24. Oktober 1995 zum Schutz natürlicher Personen bei der Verarbeitung personenbezogener Daten und zum freien Datenverkehr (1995).</w:t>
      </w:r>
    </w:p>
    <w:p w14:paraId="5FA06421" w14:textId="77777777" w:rsidR="00C51166" w:rsidRPr="00C51166" w:rsidRDefault="00C51166" w:rsidP="00C51166">
      <w:pPr>
        <w:pStyle w:val="EndNoteBibliography"/>
        <w:spacing w:after="0"/>
        <w:ind w:left="720" w:hanging="720"/>
      </w:pPr>
      <w:r w:rsidRPr="00C51166">
        <w:t>Evans, A. C. (1981). European Data Protection Law.</w:t>
      </w:r>
      <w:r w:rsidRPr="00C51166">
        <w:rPr>
          <w:i/>
        </w:rPr>
        <w:t xml:space="preserve"> 29</w:t>
      </w:r>
      <w:r w:rsidRPr="00C51166">
        <w:t>(4), 571-582.</w:t>
      </w:r>
    </w:p>
    <w:p w14:paraId="75D859F0" w14:textId="62EB6F29" w:rsidR="00C51166" w:rsidRPr="00CF714B" w:rsidRDefault="00C51166" w:rsidP="00C51166">
      <w:pPr>
        <w:pStyle w:val="EndNoteBibliography"/>
        <w:spacing w:after="0"/>
        <w:ind w:left="720" w:hanging="720"/>
        <w:rPr>
          <w:lang w:val="de-AT"/>
        </w:rPr>
      </w:pPr>
      <w:r w:rsidRPr="00C51166">
        <w:t xml:space="preserve">GDD, G. f. D. u. D. e. V. (2019). </w:t>
      </w:r>
      <w:r w:rsidRPr="00CF714B">
        <w:rPr>
          <w:i/>
          <w:lang w:val="de-AT"/>
        </w:rPr>
        <w:t>Publikationen Arbeits-/Praxishilfen</w:t>
      </w:r>
      <w:r w:rsidRPr="00CF714B">
        <w:rPr>
          <w:lang w:val="de-AT"/>
        </w:rPr>
        <w:t xml:space="preserve">.  Heruntergeladen am 7.6.2019 von </w:t>
      </w:r>
      <w:hyperlink r:id="rId17" w:history="1">
        <w:r w:rsidRPr="00CF714B">
          <w:rPr>
            <w:rStyle w:val="Hyperlink"/>
            <w:lang w:val="de-AT"/>
          </w:rPr>
          <w:t>https://www.gdd.de/gdd-arbeitshilfen</w:t>
        </w:r>
      </w:hyperlink>
    </w:p>
    <w:p w14:paraId="65FA82E7" w14:textId="77777777" w:rsidR="00C51166" w:rsidRPr="00CF714B" w:rsidRDefault="00C51166" w:rsidP="00C51166">
      <w:pPr>
        <w:pStyle w:val="EndNoteBibliography"/>
        <w:ind w:left="720" w:hanging="720"/>
        <w:rPr>
          <w:lang w:val="de-AT"/>
        </w:rPr>
      </w:pPr>
      <w:r w:rsidRPr="00CF714B">
        <w:rPr>
          <w:lang w:val="de-AT"/>
        </w:rPr>
        <w:t>Gerichtshof der Europäischen Union. (2014). Der Betreiber einer Internetsuchmaschine ist bei personenbezogenen Daten, die auf</w:t>
      </w:r>
    </w:p>
    <w:p w14:paraId="08A8B1B3" w14:textId="77777777" w:rsidR="00C51166" w:rsidRPr="00CF714B" w:rsidRDefault="00C51166" w:rsidP="00C51166">
      <w:pPr>
        <w:pStyle w:val="EndNoteBibliography"/>
        <w:rPr>
          <w:lang w:val="de-AT"/>
        </w:rPr>
      </w:pPr>
      <w:r w:rsidRPr="00CF714B">
        <w:rPr>
          <w:lang w:val="de-AT"/>
        </w:rPr>
        <w:t>von Dritten veröffentlichten Internetseiten erscheinen, für die von ihm</w:t>
      </w:r>
    </w:p>
    <w:p w14:paraId="3A9CE343" w14:textId="77777777" w:rsidR="00C51166" w:rsidRPr="00CF714B" w:rsidRDefault="00C51166" w:rsidP="00C51166">
      <w:pPr>
        <w:pStyle w:val="EndNoteBibliography"/>
        <w:spacing w:after="0"/>
        <w:rPr>
          <w:lang w:val="de-AT"/>
        </w:rPr>
      </w:pPr>
      <w:r w:rsidRPr="00CF714B">
        <w:rPr>
          <w:lang w:val="de-AT"/>
        </w:rPr>
        <w:t>vorgenommene Verarbeitung verantwortlich.</w:t>
      </w:r>
    </w:p>
    <w:p w14:paraId="35F18C06" w14:textId="77777777" w:rsidR="00C51166" w:rsidRPr="00CF714B" w:rsidRDefault="00C51166" w:rsidP="00C51166">
      <w:pPr>
        <w:pStyle w:val="EndNoteBibliography"/>
        <w:spacing w:after="0"/>
        <w:ind w:left="720" w:hanging="720"/>
        <w:rPr>
          <w:lang w:val="de-AT"/>
        </w:rPr>
      </w:pPr>
      <w:r w:rsidRPr="00CF714B">
        <w:rPr>
          <w:lang w:val="de-AT"/>
        </w:rPr>
        <w:t xml:space="preserve">Gola, P., Jaspers, A., Müthlein, T. &amp; Schwartmann, R. (2017). </w:t>
      </w:r>
      <w:r w:rsidRPr="00CF714B">
        <w:rPr>
          <w:i/>
          <w:lang w:val="de-AT"/>
        </w:rPr>
        <w:t xml:space="preserve">Datenschutz-Grundverordnung im Überblick : Erläuterungen, Schaubilder und </w:t>
      </w:r>
      <w:r w:rsidRPr="00CF714B">
        <w:rPr>
          <w:i/>
          <w:lang w:val="de-AT"/>
        </w:rPr>
        <w:lastRenderedPageBreak/>
        <w:t>Organisationshilfen für die Datenschutzpraxis</w:t>
      </w:r>
      <w:r w:rsidRPr="00CF714B">
        <w:rPr>
          <w:lang w:val="de-AT"/>
        </w:rPr>
        <w:t xml:space="preserve"> (2. Auflage Aufl.). Frechen: [Frechen] : Datakontext.</w:t>
      </w:r>
    </w:p>
    <w:p w14:paraId="1BD465E6" w14:textId="2EDFE3A7" w:rsidR="00C51166" w:rsidRPr="00CF714B" w:rsidRDefault="00C51166" w:rsidP="00C51166">
      <w:pPr>
        <w:pStyle w:val="EndNoteBibliography"/>
        <w:spacing w:after="0"/>
        <w:ind w:left="720" w:hanging="720"/>
        <w:rPr>
          <w:lang w:val="de-AT"/>
        </w:rPr>
      </w:pPr>
      <w:r w:rsidRPr="00CF714B">
        <w:rPr>
          <w:lang w:val="de-AT"/>
        </w:rPr>
        <w:t xml:space="preserve">Google. (2019a). </w:t>
      </w:r>
      <w:r w:rsidRPr="00CF714B">
        <w:rPr>
          <w:i/>
          <w:lang w:val="de-AT"/>
        </w:rPr>
        <w:t>Datenschutz &amp; Nutzungsbedingungen</w:t>
      </w:r>
      <w:r w:rsidRPr="00CF714B">
        <w:rPr>
          <w:lang w:val="de-AT"/>
        </w:rPr>
        <w:t xml:space="preserve">.  Heruntergeladen am 22.5.2019 von </w:t>
      </w:r>
      <w:hyperlink r:id="rId18" w:history="1">
        <w:r w:rsidRPr="00CF714B">
          <w:rPr>
            <w:rStyle w:val="Hyperlink"/>
            <w:lang w:val="de-AT"/>
          </w:rPr>
          <w:t>https://policies.google.com/privacy?hl=de</w:t>
        </w:r>
      </w:hyperlink>
    </w:p>
    <w:p w14:paraId="068802CD" w14:textId="41A1D072" w:rsidR="00C51166" w:rsidRPr="00CF714B" w:rsidRDefault="00C51166" w:rsidP="00C51166">
      <w:pPr>
        <w:pStyle w:val="EndNoteBibliography"/>
        <w:spacing w:after="0"/>
        <w:ind w:left="720" w:hanging="720"/>
        <w:rPr>
          <w:lang w:val="de-AT"/>
        </w:rPr>
      </w:pPr>
      <w:r w:rsidRPr="00CF714B">
        <w:rPr>
          <w:lang w:val="de-AT"/>
        </w:rPr>
        <w:t xml:space="preserve">Google. (2019b). </w:t>
      </w:r>
      <w:r w:rsidRPr="00CF714B">
        <w:rPr>
          <w:i/>
          <w:lang w:val="de-AT"/>
        </w:rPr>
        <w:t>IP-Anonymisierung in Analytics</w:t>
      </w:r>
      <w:r w:rsidRPr="00CF714B">
        <w:rPr>
          <w:lang w:val="de-AT"/>
        </w:rPr>
        <w:t xml:space="preserve">.  Heruntergeladen am 9.6.2019 von </w:t>
      </w:r>
      <w:hyperlink r:id="rId19" w:history="1">
        <w:r w:rsidRPr="00CF714B">
          <w:rPr>
            <w:rStyle w:val="Hyperlink"/>
            <w:lang w:val="de-AT"/>
          </w:rPr>
          <w:t>https://support.google.com/analytics/answer/2763052?hl=de</w:t>
        </w:r>
      </w:hyperlink>
    </w:p>
    <w:p w14:paraId="718D4A6F" w14:textId="77777777" w:rsidR="00C51166" w:rsidRPr="00C51166" w:rsidRDefault="00C51166" w:rsidP="00C51166">
      <w:pPr>
        <w:pStyle w:val="EndNoteBibliography"/>
        <w:spacing w:after="0"/>
        <w:ind w:left="720" w:hanging="720"/>
      </w:pPr>
      <w:r w:rsidRPr="00C51166">
        <w:t>Gravity Interactive Inc. (2018). Important Notice Regarding European Region Access.</w:t>
      </w:r>
    </w:p>
    <w:p w14:paraId="693B1ED2" w14:textId="77777777" w:rsidR="00C51166" w:rsidRPr="00CF714B" w:rsidRDefault="00C51166" w:rsidP="00C51166">
      <w:pPr>
        <w:pStyle w:val="EndNoteBibliography"/>
        <w:spacing w:after="0"/>
        <w:ind w:left="720" w:hanging="720"/>
        <w:rPr>
          <w:lang w:val="de-AT"/>
        </w:rPr>
      </w:pPr>
      <w:r w:rsidRPr="00C51166">
        <w:t xml:space="preserve">Haschert, T. &amp; Müller, K. (2018). </w:t>
      </w:r>
      <w:r w:rsidRPr="00CF714B">
        <w:rPr>
          <w:lang w:val="de-AT"/>
        </w:rPr>
        <w:t>Einstweilige Verfügung unter der DSGVO [Pressemeldung].</w:t>
      </w:r>
    </w:p>
    <w:p w14:paraId="3A9C59F7" w14:textId="77777777" w:rsidR="00C51166" w:rsidRPr="00CF714B" w:rsidRDefault="00C51166" w:rsidP="00C51166">
      <w:pPr>
        <w:pStyle w:val="EndNoteBibliography"/>
        <w:spacing w:after="0"/>
        <w:ind w:left="720" w:hanging="720"/>
        <w:rPr>
          <w:lang w:val="de-AT"/>
        </w:rPr>
      </w:pPr>
      <w:r w:rsidRPr="00CF714B">
        <w:rPr>
          <w:lang w:val="de-AT"/>
        </w:rPr>
        <w:t>Hessisches Datenschutzgesetz (HDSG) (1998).</w:t>
      </w:r>
    </w:p>
    <w:p w14:paraId="721CC816" w14:textId="5E063D0B" w:rsidR="00C51166" w:rsidRPr="00C51166" w:rsidRDefault="00C51166" w:rsidP="00C51166">
      <w:pPr>
        <w:pStyle w:val="EndNoteBibliography"/>
        <w:spacing w:after="0"/>
        <w:ind w:left="720" w:hanging="720"/>
      </w:pPr>
      <w:r w:rsidRPr="00CF714B">
        <w:rPr>
          <w:i/>
          <w:lang w:val="de-AT"/>
        </w:rPr>
        <w:t>Holland, M.</w:t>
      </w:r>
      <w:r w:rsidRPr="00CF714B">
        <w:rPr>
          <w:lang w:val="de-AT"/>
        </w:rPr>
        <w:t xml:space="preserve"> (2018, 25.5.2018). </w:t>
      </w:r>
      <w:r w:rsidRPr="00CF714B">
        <w:rPr>
          <w:i/>
          <w:lang w:val="de-AT"/>
        </w:rPr>
        <w:t>DSGVO: US-Nachrichtenseiten sperren Europäer aus</w:t>
      </w:r>
      <w:r w:rsidRPr="00CF714B">
        <w:rPr>
          <w:lang w:val="de-AT"/>
        </w:rPr>
        <w:t xml:space="preserve">.  </w:t>
      </w:r>
      <w:r w:rsidRPr="00C51166">
        <w:t xml:space="preserve">Heruntergeladen am 17.5.2019 von </w:t>
      </w:r>
      <w:hyperlink r:id="rId20" w:history="1">
        <w:r w:rsidRPr="00C51166">
          <w:rPr>
            <w:rStyle w:val="Hyperlink"/>
          </w:rPr>
          <w:t>https://www.heise.de/newsticker/meldung/DSGVO-US-Nachrichtenseiten-sperren-Europaeer-aus-4058457.html</w:t>
        </w:r>
      </w:hyperlink>
    </w:p>
    <w:p w14:paraId="6A4FA214" w14:textId="77777777" w:rsidR="00C51166" w:rsidRPr="00CF714B" w:rsidRDefault="00C51166" w:rsidP="00C51166">
      <w:pPr>
        <w:pStyle w:val="EndNoteBibliography"/>
        <w:spacing w:after="0"/>
        <w:ind w:left="720" w:hanging="720"/>
        <w:rPr>
          <w:lang w:val="de-AT"/>
        </w:rPr>
      </w:pPr>
      <w:r w:rsidRPr="00C51166">
        <w:t xml:space="preserve">Isaak, J. &amp; Hanna, M. J. (2018). User Data Privacy: Facebook, Cambridge Analytica, and Privacy Protection. </w:t>
      </w:r>
      <w:r w:rsidRPr="00CF714B">
        <w:rPr>
          <w:i/>
          <w:lang w:val="de-AT"/>
        </w:rPr>
        <w:t>Computer, 51</w:t>
      </w:r>
      <w:r w:rsidRPr="00CF714B">
        <w:rPr>
          <w:lang w:val="de-AT"/>
        </w:rPr>
        <w:t>(8), 56-59.</w:t>
      </w:r>
    </w:p>
    <w:p w14:paraId="7141BE41" w14:textId="77777777" w:rsidR="00C51166" w:rsidRPr="00CF714B" w:rsidRDefault="00C51166" w:rsidP="00C51166">
      <w:pPr>
        <w:pStyle w:val="EndNoteBibliography"/>
        <w:spacing w:after="0"/>
        <w:ind w:left="720" w:hanging="720"/>
        <w:rPr>
          <w:lang w:val="de-AT"/>
        </w:rPr>
      </w:pPr>
      <w:r w:rsidRPr="00CF714B">
        <w:rPr>
          <w:lang w:val="de-AT"/>
        </w:rPr>
        <w:t>Jelinek, A. (2019). Datenschutzbericht 2018: Datenschutzbehörde DSB.</w:t>
      </w:r>
    </w:p>
    <w:p w14:paraId="6358361B" w14:textId="4C7A366E" w:rsidR="00C51166" w:rsidRPr="00CF714B" w:rsidRDefault="00C51166" w:rsidP="00C51166">
      <w:pPr>
        <w:pStyle w:val="EndNoteBibliography"/>
        <w:spacing w:after="0"/>
        <w:ind w:left="720" w:hanging="720"/>
        <w:rPr>
          <w:lang w:val="de-AT"/>
        </w:rPr>
      </w:pPr>
      <w:r w:rsidRPr="00CF714B">
        <w:rPr>
          <w:lang w:val="de-AT"/>
        </w:rPr>
        <w:t xml:space="preserve">k.A. (2019). </w:t>
      </w:r>
      <w:r w:rsidRPr="00CF714B">
        <w:rPr>
          <w:i/>
          <w:lang w:val="de-AT"/>
        </w:rPr>
        <w:t>Online-Tracking, das konform mit DSGVO und ePrivacy ist | Cookiebot</w:t>
      </w:r>
      <w:r w:rsidRPr="00CF714B">
        <w:rPr>
          <w:lang w:val="de-AT"/>
        </w:rPr>
        <w:t xml:space="preserve">.  Heruntergeladen am 11.6.2019 von </w:t>
      </w:r>
      <w:hyperlink r:id="rId21" w:history="1">
        <w:r w:rsidRPr="00CF714B">
          <w:rPr>
            <w:rStyle w:val="Hyperlink"/>
            <w:lang w:val="de-AT"/>
          </w:rPr>
          <w:t>https://www.cookiebot.com/de/</w:t>
        </w:r>
      </w:hyperlink>
    </w:p>
    <w:p w14:paraId="1C68181D" w14:textId="7D0499F0" w:rsidR="00C51166" w:rsidRPr="00CF714B" w:rsidRDefault="00C51166" w:rsidP="00C51166">
      <w:pPr>
        <w:pStyle w:val="EndNoteBibliography"/>
        <w:spacing w:after="0"/>
        <w:ind w:left="720" w:hanging="720"/>
        <w:rPr>
          <w:lang w:val="de-AT"/>
        </w:rPr>
      </w:pPr>
      <w:r w:rsidRPr="00CF714B">
        <w:rPr>
          <w:lang w:val="de-AT"/>
        </w:rPr>
        <w:t xml:space="preserve">Kelly, M. J. (2018). </w:t>
      </w:r>
      <w:r w:rsidRPr="00CF714B">
        <w:rPr>
          <w:i/>
          <w:lang w:val="de-AT"/>
        </w:rPr>
        <w:t>So stehen wir bei Mozilla zu Deiner Privatsphäre</w:t>
      </w:r>
      <w:r w:rsidRPr="00CF714B">
        <w:rPr>
          <w:lang w:val="de-AT"/>
        </w:rPr>
        <w:t xml:space="preserve">.  Heruntergeladen am 21.5.2019 von </w:t>
      </w:r>
      <w:hyperlink r:id="rId22" w:history="1">
        <w:r w:rsidRPr="00CF714B">
          <w:rPr>
            <w:rStyle w:val="Hyperlink"/>
            <w:lang w:val="de-AT"/>
          </w:rPr>
          <w:t>https://blog.mozilla.org/internetcitizen/de/2018/08/31/so-stehen-wir-bei-mozilla-zu-deiner-privatsphaere/</w:t>
        </w:r>
      </w:hyperlink>
    </w:p>
    <w:p w14:paraId="53AB4F65" w14:textId="77777777" w:rsidR="00C51166" w:rsidRPr="00CF714B" w:rsidRDefault="00C51166" w:rsidP="00C51166">
      <w:pPr>
        <w:pStyle w:val="EndNoteBibliography"/>
        <w:spacing w:after="0"/>
        <w:ind w:left="720" w:hanging="720"/>
        <w:rPr>
          <w:lang w:val="de-AT"/>
        </w:rPr>
      </w:pPr>
      <w:r w:rsidRPr="00CF714B">
        <w:rPr>
          <w:lang w:val="de-AT"/>
        </w:rPr>
        <w:t>LArbG Baden-Württemberg. (2018). Urteil vom 20.12.2018, 17 Sa 11/18 - Auskunftsanspruch nach der Datenschutzgrundverordnung (DSGVO) - berechtigte Interessen Dritter an einer Geheimhaltung.</w:t>
      </w:r>
    </w:p>
    <w:p w14:paraId="3A1FC834" w14:textId="77777777" w:rsidR="00C51166" w:rsidRPr="00CF714B" w:rsidRDefault="00C51166" w:rsidP="00C51166">
      <w:pPr>
        <w:pStyle w:val="EndNoteBibliography"/>
        <w:spacing w:after="0"/>
        <w:ind w:left="720" w:hanging="720"/>
        <w:rPr>
          <w:lang w:val="de-AT"/>
        </w:rPr>
      </w:pPr>
      <w:r w:rsidRPr="00CF714B">
        <w:rPr>
          <w:lang w:val="de-AT"/>
        </w:rPr>
        <w:t>LfDI. (2018). LfDI Baden-Württemberg verhängt sein erstes Bußgeld in Deutschland nach der DS-GVO [Pressemeldung]: Der Landesbeauftragte für den Datenschutz und die Informationsfreiheit.</w:t>
      </w:r>
    </w:p>
    <w:p w14:paraId="78CD14DB" w14:textId="2F80B898" w:rsidR="00C51166" w:rsidRPr="00CF714B" w:rsidRDefault="00C51166" w:rsidP="00C51166">
      <w:pPr>
        <w:pStyle w:val="EndNoteBibliography"/>
        <w:spacing w:after="0"/>
        <w:ind w:left="720" w:hanging="720"/>
        <w:rPr>
          <w:lang w:val="de-AT"/>
        </w:rPr>
      </w:pPr>
      <w:r w:rsidRPr="00C51166">
        <w:t xml:space="preserve">MacAskill, E. (09.6.2013, 2013). Edward Snowden, NSA file source: 'If they want to get you, in time they will'. </w:t>
      </w:r>
      <w:r w:rsidRPr="00CF714B">
        <w:rPr>
          <w:lang w:val="de-AT"/>
        </w:rPr>
        <w:t xml:space="preserve">Heruntergeladen von </w:t>
      </w:r>
      <w:hyperlink r:id="rId23" w:history="1">
        <w:r w:rsidRPr="00CF714B">
          <w:rPr>
            <w:rStyle w:val="Hyperlink"/>
            <w:lang w:val="de-AT"/>
          </w:rPr>
          <w:t>https://www.theguardian.com/world/2013/jun/09/nsa-whistleblower-edward-snowden-why</w:t>
        </w:r>
      </w:hyperlink>
    </w:p>
    <w:p w14:paraId="661F9785" w14:textId="77777777" w:rsidR="00C51166" w:rsidRPr="00CF714B" w:rsidRDefault="00C51166" w:rsidP="00C51166">
      <w:pPr>
        <w:pStyle w:val="EndNoteBibliography"/>
        <w:spacing w:after="0"/>
        <w:ind w:left="720" w:hanging="720"/>
        <w:rPr>
          <w:lang w:val="de-AT"/>
        </w:rPr>
      </w:pPr>
      <w:r w:rsidRPr="00CF714B">
        <w:rPr>
          <w:lang w:val="de-AT"/>
        </w:rPr>
        <w:t xml:space="preserve">Mertens, P. (2019). Die Datenschutz-Grundverordnung – eine kritische Sicht. [journal article]. </w:t>
      </w:r>
      <w:r w:rsidRPr="00CF714B">
        <w:rPr>
          <w:i/>
          <w:lang w:val="de-AT"/>
        </w:rPr>
        <w:t>Wirtschaftsinformatik &amp; Management, 11</w:t>
      </w:r>
      <w:r w:rsidRPr="00CF714B">
        <w:rPr>
          <w:lang w:val="de-AT"/>
        </w:rPr>
        <w:t>(1), 6-17.</w:t>
      </w:r>
    </w:p>
    <w:p w14:paraId="0118E2FF" w14:textId="77777777" w:rsidR="00C51166" w:rsidRPr="00CF714B" w:rsidRDefault="00C51166" w:rsidP="00C51166">
      <w:pPr>
        <w:pStyle w:val="EndNoteBibliography"/>
        <w:ind w:left="720" w:hanging="720"/>
        <w:rPr>
          <w:lang w:val="de-AT"/>
        </w:rPr>
      </w:pPr>
      <w:r w:rsidRPr="00CF714B">
        <w:rPr>
          <w:lang w:val="de-AT"/>
        </w:rPr>
        <w:t>NOYB. (2019a). Facebook blitzt beim Obersten Gerichtshof endgültig ab</w:t>
      </w:r>
    </w:p>
    <w:p w14:paraId="642B6428" w14:textId="77777777" w:rsidR="00C51166" w:rsidRPr="00CF714B" w:rsidRDefault="00C51166" w:rsidP="00C51166">
      <w:pPr>
        <w:pStyle w:val="EndNoteBibliography"/>
        <w:spacing w:after="0"/>
        <w:rPr>
          <w:lang w:val="de-AT"/>
        </w:rPr>
      </w:pPr>
      <w:r w:rsidRPr="00CF714B">
        <w:rPr>
          <w:lang w:val="de-AT"/>
        </w:rPr>
        <w:t>DSGVO-Musterklage ist nun in Wien zu verhandeln [Pressemeldung]: NOYB - Europäisches Zentrum für digitale Rechte.</w:t>
      </w:r>
    </w:p>
    <w:p w14:paraId="2F8B90B4" w14:textId="48316F0E" w:rsidR="00C51166" w:rsidRPr="00CF714B" w:rsidRDefault="00C51166" w:rsidP="00C51166">
      <w:pPr>
        <w:pStyle w:val="EndNoteBibliography"/>
        <w:spacing w:after="0"/>
        <w:ind w:left="720" w:hanging="720"/>
        <w:rPr>
          <w:lang w:val="de-AT"/>
        </w:rPr>
      </w:pPr>
      <w:r w:rsidRPr="00CF714B">
        <w:rPr>
          <w:lang w:val="de-AT"/>
        </w:rPr>
        <w:t xml:space="preserve">NOYB. (2019b). </w:t>
      </w:r>
      <w:r w:rsidRPr="00CF714B">
        <w:rPr>
          <w:i/>
          <w:lang w:val="de-AT"/>
        </w:rPr>
        <w:t>FAQs</w:t>
      </w:r>
      <w:r w:rsidRPr="00CF714B">
        <w:rPr>
          <w:lang w:val="de-AT"/>
        </w:rPr>
        <w:t xml:space="preserve">.  Heruntergeladen am 5.6.2019 von </w:t>
      </w:r>
      <w:hyperlink r:id="rId24" w:history="1">
        <w:r w:rsidRPr="00CF714B">
          <w:rPr>
            <w:rStyle w:val="Hyperlink"/>
            <w:lang w:val="de-AT"/>
          </w:rPr>
          <w:t>https://noyb.eu/faqs/?lang=de</w:t>
        </w:r>
      </w:hyperlink>
    </w:p>
    <w:p w14:paraId="2DC696FF" w14:textId="2DCCDF7A" w:rsidR="00C51166" w:rsidRPr="00CF714B" w:rsidRDefault="00C51166" w:rsidP="00C51166">
      <w:pPr>
        <w:pStyle w:val="EndNoteBibliography"/>
        <w:spacing w:after="0"/>
        <w:ind w:left="720" w:hanging="720"/>
        <w:rPr>
          <w:lang w:val="de-AT"/>
        </w:rPr>
      </w:pPr>
      <w:r w:rsidRPr="00C51166">
        <w:t xml:space="preserve">O'Connor, J. (2018, 20.3.2019). </w:t>
      </w:r>
      <w:r w:rsidRPr="00C51166">
        <w:rPr>
          <w:i/>
        </w:rPr>
        <w:t>Websites not available in the European Union after GDPR</w:t>
      </w:r>
      <w:r w:rsidRPr="00C51166">
        <w:t xml:space="preserve">.  </w:t>
      </w:r>
      <w:r w:rsidRPr="00CF714B">
        <w:rPr>
          <w:lang w:val="de-AT"/>
        </w:rPr>
        <w:t xml:space="preserve">Heruntergeladen am 21.5.2019 von </w:t>
      </w:r>
      <w:hyperlink r:id="rId25" w:history="1">
        <w:r w:rsidRPr="00CF714B">
          <w:rPr>
            <w:rStyle w:val="Hyperlink"/>
            <w:lang w:val="de-AT"/>
          </w:rPr>
          <w:t>https://data.verifiedjoseph.com/dataset/websites-not-available-eu-gdpr</w:t>
        </w:r>
      </w:hyperlink>
    </w:p>
    <w:p w14:paraId="2B73E68E" w14:textId="77777777" w:rsidR="00C51166" w:rsidRPr="00CF714B" w:rsidRDefault="00C51166" w:rsidP="00C51166">
      <w:pPr>
        <w:pStyle w:val="EndNoteBibliography"/>
        <w:spacing w:after="0"/>
        <w:ind w:left="720" w:hanging="720"/>
        <w:rPr>
          <w:lang w:val="de-AT"/>
        </w:rPr>
      </w:pPr>
      <w:r w:rsidRPr="00CF714B">
        <w:rPr>
          <w:lang w:val="de-AT"/>
        </w:rPr>
        <w:t>Oberster Gerichtshof. (2019). 6 Ob 91/19d - Beschluss vom 11.06.2019: Oberster Gerichtshof der Republik Österreich.</w:t>
      </w:r>
    </w:p>
    <w:p w14:paraId="4E878DAB" w14:textId="77777777" w:rsidR="00C51166" w:rsidRPr="00C51166" w:rsidRDefault="00C51166" w:rsidP="00C51166">
      <w:pPr>
        <w:pStyle w:val="EndNoteBibliography"/>
        <w:spacing w:after="0"/>
        <w:ind w:left="720" w:hanging="720"/>
      </w:pPr>
      <w:r w:rsidRPr="00C51166">
        <w:t>OECD, O. f. w. Z. u. E. (1980). Annex to the recommendation of the Council of 23 September 1980.</w:t>
      </w:r>
    </w:p>
    <w:p w14:paraId="67BA3056" w14:textId="77777777" w:rsidR="00C51166" w:rsidRPr="00C51166" w:rsidRDefault="00C51166" w:rsidP="00C51166">
      <w:pPr>
        <w:pStyle w:val="EndNoteBibliography"/>
        <w:spacing w:after="0"/>
        <w:ind w:left="720" w:hanging="720"/>
      </w:pPr>
      <w:r w:rsidRPr="00C51166">
        <w:t>OECD, O. f. w. Z. u. E. (2013). The OECD Privacy Framework.</w:t>
      </w:r>
    </w:p>
    <w:p w14:paraId="7D4522B8" w14:textId="13324FEB" w:rsidR="00C51166" w:rsidRPr="00CF714B" w:rsidRDefault="00C51166" w:rsidP="00C51166">
      <w:pPr>
        <w:pStyle w:val="EndNoteBibliography"/>
        <w:spacing w:after="0"/>
        <w:ind w:left="720" w:hanging="720"/>
        <w:rPr>
          <w:lang w:val="de-AT"/>
        </w:rPr>
      </w:pPr>
      <w:r w:rsidRPr="00C51166">
        <w:t xml:space="preserve">Pluta, W. (2008). </w:t>
      </w:r>
      <w:r w:rsidRPr="00CF714B">
        <w:rPr>
          <w:lang w:val="de-AT"/>
        </w:rPr>
        <w:t>Interview: "Daten brauchen ein Verfallsdatum",</w:t>
      </w:r>
      <w:r w:rsidRPr="00CF714B">
        <w:rPr>
          <w:i/>
          <w:lang w:val="de-AT"/>
        </w:rPr>
        <w:t xml:space="preserve"> Golem.de</w:t>
      </w:r>
      <w:r w:rsidRPr="00CF714B">
        <w:rPr>
          <w:lang w:val="de-AT"/>
        </w:rPr>
        <w:t xml:space="preserve">. Heruntergeladen von </w:t>
      </w:r>
      <w:hyperlink r:id="rId26" w:history="1">
        <w:r w:rsidRPr="00CF714B">
          <w:rPr>
            <w:rStyle w:val="Hyperlink"/>
            <w:lang w:val="de-AT"/>
          </w:rPr>
          <w:t>https://www.golem.de/0804/58721.html</w:t>
        </w:r>
      </w:hyperlink>
    </w:p>
    <w:p w14:paraId="496B2F59" w14:textId="1DC8FDE7" w:rsidR="00C51166" w:rsidRPr="00CF714B" w:rsidRDefault="00C51166" w:rsidP="00C51166">
      <w:pPr>
        <w:pStyle w:val="EndNoteBibliography"/>
        <w:spacing w:after="0"/>
        <w:ind w:left="720" w:hanging="720"/>
        <w:rPr>
          <w:lang w:val="de-AT"/>
        </w:rPr>
      </w:pPr>
      <w:r w:rsidRPr="00CF714B">
        <w:rPr>
          <w:lang w:val="de-AT"/>
        </w:rPr>
        <w:t>rk/dpa. (2012). Kritik an EU-Kommissarin Reding -    „Recht auf Vergessen“ finden Piraten „naiv“,</w:t>
      </w:r>
      <w:r w:rsidRPr="00CF714B">
        <w:rPr>
          <w:i/>
          <w:lang w:val="de-AT"/>
        </w:rPr>
        <w:t xml:space="preserve"> FOCUS Online</w:t>
      </w:r>
      <w:r w:rsidRPr="00CF714B">
        <w:rPr>
          <w:lang w:val="de-AT"/>
        </w:rPr>
        <w:t xml:space="preserve">. Heruntergeladen von </w:t>
      </w:r>
      <w:hyperlink r:id="rId27" w:history="1">
        <w:r w:rsidRPr="00CF714B">
          <w:rPr>
            <w:rStyle w:val="Hyperlink"/>
            <w:lang w:val="de-AT"/>
          </w:rPr>
          <w:t>https://www.focus.de/politik/ausland/kritik-an-eu-kommissarin-reding-recht-auf-vergessen-finden-piraten-naiv_aid_706930.html</w:t>
        </w:r>
      </w:hyperlink>
    </w:p>
    <w:p w14:paraId="08F36255" w14:textId="77777777" w:rsidR="00C51166" w:rsidRPr="00CF714B" w:rsidRDefault="00C51166" w:rsidP="00C51166">
      <w:pPr>
        <w:pStyle w:val="EndNoteBibliography"/>
        <w:ind w:left="720" w:hanging="720"/>
        <w:rPr>
          <w:lang w:val="de-AT"/>
        </w:rPr>
      </w:pPr>
      <w:r w:rsidRPr="00CF714B">
        <w:rPr>
          <w:lang w:val="de-AT"/>
        </w:rPr>
        <w:t>Roßnagel, A. (2018). Schriftliche Stellungnahme zum Fachgespräch zur Datenschutz-Grundverordnung am 24. Februar 2016 im Ausschuss Digitale Agenda des</w:t>
      </w:r>
    </w:p>
    <w:p w14:paraId="10D41AEE" w14:textId="77777777" w:rsidR="00C51166" w:rsidRPr="00CF714B" w:rsidRDefault="00C51166" w:rsidP="00C51166">
      <w:pPr>
        <w:pStyle w:val="EndNoteBibliography"/>
        <w:spacing w:after="0"/>
        <w:rPr>
          <w:lang w:val="de-AT"/>
        </w:rPr>
      </w:pPr>
      <w:r w:rsidRPr="00CF714B">
        <w:rPr>
          <w:lang w:val="de-AT"/>
        </w:rPr>
        <w:lastRenderedPageBreak/>
        <w:t>Deutschen Bundestags.</w:t>
      </w:r>
    </w:p>
    <w:p w14:paraId="5CAFC2D7" w14:textId="77777777" w:rsidR="00C51166" w:rsidRPr="00CF714B" w:rsidRDefault="00C51166" w:rsidP="00C51166">
      <w:pPr>
        <w:pStyle w:val="EndNoteBibliography"/>
        <w:spacing w:after="0"/>
        <w:ind w:left="720" w:hanging="720"/>
        <w:rPr>
          <w:lang w:val="de-AT"/>
        </w:rPr>
      </w:pPr>
      <w:r w:rsidRPr="00CF714B">
        <w:rPr>
          <w:lang w:val="de-AT"/>
        </w:rPr>
        <w:t xml:space="preserve">Schricker, J. (2018). Wie sehen die Unternehmen die neue Datenschutzgrundverordnung? </w:t>
      </w:r>
      <w:r w:rsidRPr="00CF714B">
        <w:rPr>
          <w:i/>
          <w:lang w:val="de-AT"/>
        </w:rPr>
        <w:t>Ifo Schnelldienst, 71</w:t>
      </w:r>
      <w:r w:rsidRPr="00CF714B">
        <w:rPr>
          <w:lang w:val="de-AT"/>
        </w:rPr>
        <w:t>(15), 35-39.</w:t>
      </w:r>
    </w:p>
    <w:p w14:paraId="1C2333B6" w14:textId="77777777" w:rsidR="00C51166" w:rsidRPr="00CF714B" w:rsidRDefault="00C51166" w:rsidP="00C51166">
      <w:pPr>
        <w:pStyle w:val="EndNoteBibliography"/>
        <w:spacing w:after="0"/>
        <w:ind w:left="720" w:hanging="720"/>
        <w:rPr>
          <w:lang w:val="de-AT"/>
        </w:rPr>
      </w:pPr>
      <w:r w:rsidRPr="00CF714B">
        <w:rPr>
          <w:lang w:val="de-AT"/>
        </w:rPr>
        <w:t>Solmecke, C. (2018). DSGVO Wahnsinn: So absurd wird es WIRKLICH, wenn man sich daran hält | RA Christian Solmecke.</w:t>
      </w:r>
    </w:p>
    <w:p w14:paraId="0C9DAE37" w14:textId="77777777" w:rsidR="00C51166" w:rsidRPr="00CF714B" w:rsidRDefault="00C51166" w:rsidP="00C51166">
      <w:pPr>
        <w:pStyle w:val="EndNoteBibliography"/>
        <w:spacing w:after="0"/>
        <w:ind w:left="720" w:hanging="720"/>
        <w:rPr>
          <w:lang w:val="de-AT"/>
        </w:rPr>
      </w:pPr>
      <w:r w:rsidRPr="00CF714B">
        <w:rPr>
          <w:lang w:val="de-AT"/>
        </w:rPr>
        <w:t xml:space="preserve">Steidle, R. &amp; Pordesch, U. (2008). Im Netz von Google. Web-Tracking und Datenschutz. [journal article]. </w:t>
      </w:r>
      <w:r w:rsidRPr="00CF714B">
        <w:rPr>
          <w:i/>
          <w:lang w:val="de-AT"/>
        </w:rPr>
        <w:t>Datenschutz und Datensicherheit - DuD, 32</w:t>
      </w:r>
      <w:r w:rsidRPr="00CF714B">
        <w:rPr>
          <w:lang w:val="de-AT"/>
        </w:rPr>
        <w:t>(5), 324-329.</w:t>
      </w:r>
    </w:p>
    <w:p w14:paraId="3BC31290" w14:textId="6BC3DC98" w:rsidR="00C51166" w:rsidRPr="00CF714B" w:rsidRDefault="00C51166" w:rsidP="00C51166">
      <w:pPr>
        <w:pStyle w:val="EndNoteBibliography"/>
        <w:spacing w:after="0"/>
        <w:ind w:left="720" w:hanging="720"/>
        <w:rPr>
          <w:lang w:val="de-AT"/>
        </w:rPr>
      </w:pPr>
      <w:r w:rsidRPr="00CF714B">
        <w:rPr>
          <w:lang w:val="de-AT"/>
        </w:rPr>
        <w:t xml:space="preserve">Steinlechner, P. (2018). </w:t>
      </w:r>
      <w:r w:rsidRPr="00CF714B">
        <w:rPr>
          <w:i/>
          <w:lang w:val="de-AT"/>
        </w:rPr>
        <w:t>Mehr Datenschutzbewusstsein und mehr offene Fragen</w:t>
      </w:r>
      <w:r w:rsidRPr="00CF714B">
        <w:rPr>
          <w:lang w:val="de-AT"/>
        </w:rPr>
        <w:t xml:space="preserve">.  Heruntergeladen am 7.6.2019 von </w:t>
      </w:r>
      <w:hyperlink r:id="rId28" w:history="1">
        <w:r w:rsidRPr="00CF714B">
          <w:rPr>
            <w:rStyle w:val="Hyperlink"/>
            <w:lang w:val="de-AT"/>
          </w:rPr>
          <w:t>https://www.golem.de/news/dsgvo-mehr-datenschutzbewusstsein-und-mehr-offene-fragen-1812-138438.html</w:t>
        </w:r>
      </w:hyperlink>
    </w:p>
    <w:p w14:paraId="6DDDCA0F" w14:textId="77777777" w:rsidR="00C51166" w:rsidRPr="00CF714B" w:rsidRDefault="00C51166" w:rsidP="00C51166">
      <w:pPr>
        <w:pStyle w:val="EndNoteBibliography"/>
        <w:spacing w:after="0"/>
        <w:ind w:left="720" w:hanging="720"/>
        <w:rPr>
          <w:lang w:val="de-AT"/>
        </w:rPr>
      </w:pPr>
      <w:r w:rsidRPr="00CF714B">
        <w:rPr>
          <w:lang w:val="de-AT"/>
        </w:rPr>
        <w:t>Terhörst, M. (2018). Datenschutz als Geschäftsmodell,</w:t>
      </w:r>
      <w:r w:rsidRPr="00CF714B">
        <w:rPr>
          <w:i/>
          <w:lang w:val="de-AT"/>
        </w:rPr>
        <w:t xml:space="preserve"> Wirtschaft Aktuell</w:t>
      </w:r>
      <w:r w:rsidRPr="00CF714B">
        <w:rPr>
          <w:lang w:val="de-AT"/>
        </w:rPr>
        <w:t xml:space="preserve">. </w:t>
      </w:r>
    </w:p>
    <w:p w14:paraId="6591B398" w14:textId="0E92D683" w:rsidR="00C51166" w:rsidRPr="00CF714B" w:rsidRDefault="00C51166" w:rsidP="00C51166">
      <w:pPr>
        <w:pStyle w:val="EndNoteBibliography"/>
        <w:spacing w:after="0"/>
        <w:ind w:left="720" w:hanging="720"/>
        <w:rPr>
          <w:lang w:val="de-AT"/>
        </w:rPr>
      </w:pPr>
      <w:r w:rsidRPr="00CF714B">
        <w:rPr>
          <w:lang w:val="de-AT"/>
        </w:rPr>
        <w:t xml:space="preserve">TIME Magazin. (2019). </w:t>
      </w:r>
      <w:r w:rsidRPr="00CF714B">
        <w:rPr>
          <w:i/>
          <w:lang w:val="de-AT"/>
        </w:rPr>
        <w:t>Time</w:t>
      </w:r>
      <w:r w:rsidRPr="00CF714B">
        <w:rPr>
          <w:lang w:val="de-AT"/>
        </w:rPr>
        <w:t xml:space="preserve">.  Heruntergeladen am 21.5.2019 von </w:t>
      </w:r>
      <w:hyperlink r:id="rId29" w:history="1">
        <w:r w:rsidRPr="00CF714B">
          <w:rPr>
            <w:rStyle w:val="Hyperlink"/>
            <w:lang w:val="de-AT"/>
          </w:rPr>
          <w:t>https://time.com/</w:t>
        </w:r>
      </w:hyperlink>
    </w:p>
    <w:p w14:paraId="222A8E51" w14:textId="7EF0FD50" w:rsidR="00C51166" w:rsidRPr="00CF714B" w:rsidRDefault="00C51166" w:rsidP="00C51166">
      <w:pPr>
        <w:pStyle w:val="EndNoteBibliography"/>
        <w:spacing w:after="0"/>
        <w:ind w:left="720" w:hanging="720"/>
        <w:rPr>
          <w:lang w:val="de-AT"/>
        </w:rPr>
      </w:pPr>
      <w:r w:rsidRPr="00CF714B">
        <w:rPr>
          <w:lang w:val="de-AT"/>
        </w:rPr>
        <w:t xml:space="preserve">TÜV Nord. (2019). </w:t>
      </w:r>
      <w:r w:rsidRPr="00CF714B">
        <w:rPr>
          <w:i/>
          <w:lang w:val="de-AT"/>
        </w:rPr>
        <w:t>Datenschutz</w:t>
      </w:r>
      <w:r w:rsidRPr="00CF714B">
        <w:rPr>
          <w:lang w:val="de-AT"/>
        </w:rPr>
        <w:t xml:space="preserve">.  7.6.2019 von </w:t>
      </w:r>
      <w:hyperlink r:id="rId30" w:history="1">
        <w:r w:rsidRPr="00CF714B">
          <w:rPr>
            <w:rStyle w:val="Hyperlink"/>
            <w:lang w:val="de-AT"/>
          </w:rPr>
          <w:t>https://www.tuev-nord.de/de/weiterbildung/themen/datenschutz/</w:t>
        </w:r>
      </w:hyperlink>
    </w:p>
    <w:p w14:paraId="72E50314" w14:textId="77777777" w:rsidR="00C51166" w:rsidRPr="00CF714B" w:rsidRDefault="00C51166" w:rsidP="00C51166">
      <w:pPr>
        <w:pStyle w:val="EndNoteBibliography"/>
        <w:spacing w:after="0"/>
        <w:ind w:left="720" w:hanging="720"/>
        <w:rPr>
          <w:lang w:val="de-AT"/>
        </w:rPr>
      </w:pPr>
      <w:r w:rsidRPr="00CF714B">
        <w:rPr>
          <w:lang w:val="de-AT"/>
        </w:rPr>
        <w:t>Verbraucherzentrale Sachsen e.V. (2018). Verbraucherzentrale Sachsen verklagt Facebook: Verbraucherzentrale Sachsen e.V.</w:t>
      </w:r>
    </w:p>
    <w:p w14:paraId="54FA14E9" w14:textId="77777777" w:rsidR="00C51166" w:rsidRPr="00CF714B" w:rsidRDefault="00C51166" w:rsidP="00C51166">
      <w:pPr>
        <w:pStyle w:val="EndNoteBibliography"/>
        <w:spacing w:after="0"/>
        <w:ind w:left="720" w:hanging="720"/>
        <w:rPr>
          <w:lang w:val="de-AT"/>
        </w:rPr>
      </w:pPr>
      <w:r w:rsidRPr="00C51166">
        <w:t xml:space="preserve">Voss, W. G. (2017). First the GDPR, now the proposed ePrivacy Regulation.(General Data Protection Regulation). </w:t>
      </w:r>
      <w:r w:rsidRPr="00CF714B">
        <w:rPr>
          <w:i/>
          <w:lang w:val="de-AT"/>
        </w:rPr>
        <w:t>Journal of Internet Law, 21</w:t>
      </w:r>
      <w:r w:rsidRPr="00CF714B">
        <w:rPr>
          <w:lang w:val="de-AT"/>
        </w:rPr>
        <w:t>(1), 3.</w:t>
      </w:r>
    </w:p>
    <w:p w14:paraId="4232FD90" w14:textId="1E38AB86" w:rsidR="00C51166" w:rsidRPr="00CF714B" w:rsidRDefault="00C51166" w:rsidP="00C51166">
      <w:pPr>
        <w:pStyle w:val="EndNoteBibliography"/>
        <w:spacing w:after="0"/>
        <w:ind w:left="720" w:hanging="720"/>
        <w:rPr>
          <w:lang w:val="de-AT"/>
        </w:rPr>
      </w:pPr>
      <w:r w:rsidRPr="00CF714B">
        <w:rPr>
          <w:lang w:val="de-AT"/>
        </w:rPr>
        <w:t xml:space="preserve">Wirtschaftsförderungsinstitut der   Wirtschaftskammer Österreich. (2019). </w:t>
      </w:r>
      <w:r w:rsidRPr="00CF714B">
        <w:rPr>
          <w:i/>
          <w:lang w:val="de-AT"/>
        </w:rPr>
        <w:t>Datenschutzbeauftragte: WIFI-Ausbildung</w:t>
      </w:r>
      <w:r w:rsidRPr="00CF714B">
        <w:rPr>
          <w:lang w:val="de-AT"/>
        </w:rPr>
        <w:t xml:space="preserve">.  Heruntergeladen am 7.6.2019 von </w:t>
      </w:r>
      <w:hyperlink r:id="rId31" w:history="1">
        <w:r w:rsidRPr="00CF714B">
          <w:rPr>
            <w:rStyle w:val="Hyperlink"/>
            <w:lang w:val="de-AT"/>
          </w:rPr>
          <w:t>https://www.wifi.at/kursbuch/it/datenschutzbeauftragte/datenschutzbeauftragter-ausbildung</w:t>
        </w:r>
      </w:hyperlink>
    </w:p>
    <w:p w14:paraId="4631D118" w14:textId="6BEBE1D8" w:rsidR="00C51166" w:rsidRPr="00CF714B" w:rsidRDefault="00C51166" w:rsidP="00C51166">
      <w:pPr>
        <w:pStyle w:val="EndNoteBibliography"/>
        <w:spacing w:after="0"/>
        <w:ind w:left="720" w:hanging="720"/>
        <w:rPr>
          <w:lang w:val="de-AT"/>
        </w:rPr>
      </w:pPr>
      <w:r w:rsidRPr="00CF714B">
        <w:rPr>
          <w:lang w:val="de-AT"/>
        </w:rPr>
        <w:t xml:space="preserve">Wirtschaftskammer Österreich. (2019, 5.6.2019). </w:t>
      </w:r>
      <w:r w:rsidRPr="00CF714B">
        <w:rPr>
          <w:i/>
          <w:lang w:val="de-AT"/>
        </w:rPr>
        <w:t>Unterstützung zur Umsetzung der DSGVO</w:t>
      </w:r>
      <w:r w:rsidRPr="00CF714B">
        <w:rPr>
          <w:lang w:val="de-AT"/>
        </w:rPr>
        <w:t xml:space="preserve">.  Heruntergeladen am 7.6.2019 von </w:t>
      </w:r>
      <w:hyperlink r:id="rId32" w:history="1">
        <w:r w:rsidRPr="00CF714B">
          <w:rPr>
            <w:rStyle w:val="Hyperlink"/>
            <w:lang w:val="de-AT"/>
          </w:rPr>
          <w:t>https://www.wko.at/service/wirtschaftsrecht-gewerberecht/EU-Datenschutz-Grundverordnung.html</w:t>
        </w:r>
      </w:hyperlink>
    </w:p>
    <w:p w14:paraId="65A930CF" w14:textId="028DAB67" w:rsidR="00C51166" w:rsidRPr="00CF714B" w:rsidRDefault="00C51166" w:rsidP="00CF714B">
      <w:pPr>
        <w:pStyle w:val="EndNoteBibliography"/>
        <w:ind w:left="720" w:hanging="720"/>
        <w:rPr>
          <w:lang w:val="de-AT"/>
        </w:rPr>
      </w:pPr>
      <w:r w:rsidRPr="00CF714B">
        <w:rPr>
          <w:lang w:val="de-AT"/>
        </w:rPr>
        <w:t>Allgemeines bürgerliches Gesetzbuch für die gesammten deutschen Erbländer der Oesterreichischen</w:t>
      </w:r>
      <w:r w:rsidR="00CF714B">
        <w:rPr>
          <w:lang w:val="de-AT"/>
        </w:rPr>
        <w:t xml:space="preserve"> </w:t>
      </w:r>
      <w:r w:rsidRPr="00CF714B">
        <w:rPr>
          <w:lang w:val="de-AT"/>
        </w:rPr>
        <w:t>Monarchie StF: JGS Nr. 946/1811 (1811).</w:t>
      </w:r>
    </w:p>
    <w:p w14:paraId="236DC11E" w14:textId="77777777" w:rsidR="00C51166" w:rsidRPr="00CF714B" w:rsidRDefault="00C51166" w:rsidP="00C51166">
      <w:pPr>
        <w:pStyle w:val="EndNoteBibliography"/>
        <w:spacing w:after="0"/>
        <w:ind w:left="720" w:hanging="720"/>
        <w:rPr>
          <w:lang w:val="de-AT"/>
        </w:rPr>
      </w:pPr>
      <w:r w:rsidRPr="00CF714B">
        <w:rPr>
          <w:lang w:val="de-AT"/>
        </w:rPr>
        <w:t xml:space="preserve">Österreich. (1958). 210. Konvention zum Schutze der Menschenrechte und Grundfreiheiten. </w:t>
      </w:r>
      <w:r w:rsidRPr="00CF714B">
        <w:rPr>
          <w:i/>
          <w:lang w:val="de-AT"/>
        </w:rPr>
        <w:t>Bundesgesetzblatt für die Republik Österreich</w:t>
      </w:r>
      <w:r w:rsidRPr="00CF714B">
        <w:rPr>
          <w:lang w:val="de-AT"/>
        </w:rPr>
        <w:t>.</w:t>
      </w:r>
    </w:p>
    <w:p w14:paraId="595B1A69" w14:textId="77777777" w:rsidR="00C51166" w:rsidRPr="00CF714B" w:rsidRDefault="00C51166" w:rsidP="00C51166">
      <w:pPr>
        <w:pStyle w:val="EndNoteBibliography"/>
        <w:spacing w:after="0"/>
        <w:ind w:left="720" w:hanging="720"/>
        <w:rPr>
          <w:lang w:val="de-AT"/>
        </w:rPr>
      </w:pPr>
      <w:r w:rsidRPr="00CF714B">
        <w:rPr>
          <w:lang w:val="de-AT"/>
        </w:rPr>
        <w:t>591. Internationaler Pakt über bürgerliche und politische Rechte samt Vorbehalten (1978).</w:t>
      </w:r>
    </w:p>
    <w:p w14:paraId="0728BE88" w14:textId="5DA2D4EA" w:rsidR="00C51166" w:rsidRPr="00CF714B" w:rsidRDefault="00C51166" w:rsidP="00CF714B">
      <w:pPr>
        <w:pStyle w:val="EndNoteBibliography"/>
        <w:ind w:left="720" w:hanging="720"/>
        <w:rPr>
          <w:lang w:val="de-AT"/>
        </w:rPr>
      </w:pPr>
      <w:r w:rsidRPr="00CF714B">
        <w:rPr>
          <w:lang w:val="de-AT"/>
        </w:rPr>
        <w:t>70. Bundesgesetz: Erlassung eines Telekommunikationsgesetzes und Änderung des Bundesgesetzes</w:t>
      </w:r>
      <w:r w:rsidR="00CF714B">
        <w:rPr>
          <w:lang w:val="de-AT"/>
        </w:rPr>
        <w:t xml:space="preserve"> </w:t>
      </w:r>
      <w:r w:rsidRPr="00CF714B">
        <w:rPr>
          <w:lang w:val="de-AT"/>
        </w:rPr>
        <w:t>über die Verkehrs-Arbeitsinspektion und des KommAustria-Gesetzes (2003).</w:t>
      </w:r>
    </w:p>
    <w:p w14:paraId="5DA2505A" w14:textId="19C1618E" w:rsidR="00C51166" w:rsidRPr="00CF714B" w:rsidRDefault="00C51166" w:rsidP="00CF714B">
      <w:pPr>
        <w:pStyle w:val="EndNoteBibliography"/>
        <w:ind w:left="720" w:hanging="720"/>
        <w:rPr>
          <w:lang w:val="de-AT"/>
        </w:rPr>
      </w:pPr>
      <w:r w:rsidRPr="00CF714B">
        <w:rPr>
          <w:lang w:val="de-AT"/>
        </w:rPr>
        <w:t>Bundesgesetz zum Schutz natürlicher Personen bei der Verarbeitung personenbezogener Daten</w:t>
      </w:r>
      <w:r w:rsidR="00CF714B">
        <w:rPr>
          <w:lang w:val="de-AT"/>
        </w:rPr>
        <w:t xml:space="preserve"> </w:t>
      </w:r>
      <w:r w:rsidRPr="00CF714B">
        <w:rPr>
          <w:lang w:val="de-AT"/>
        </w:rPr>
        <w:t>(Datenschutzgesetz – DSG) (2019).</w:t>
      </w:r>
    </w:p>
    <w:p w14:paraId="432BEC59" w14:textId="24A0C565" w:rsidR="00E53DA5" w:rsidRDefault="00C030F6" w:rsidP="00CF714B">
      <w:pPr>
        <w:pStyle w:val="SMLiteraturverzeichnis"/>
      </w:pPr>
      <w:r>
        <w:fldChar w:fldCharType="end"/>
      </w:r>
    </w:p>
    <w:sectPr w:rsidR="00E53DA5" w:rsidSect="008D7D86">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8B979" w14:textId="77777777" w:rsidR="00987E00" w:rsidRDefault="00987E00" w:rsidP="00D156F0">
      <w:r>
        <w:separator/>
      </w:r>
    </w:p>
  </w:endnote>
  <w:endnote w:type="continuationSeparator" w:id="0">
    <w:p w14:paraId="1F15016B" w14:textId="77777777" w:rsidR="00987E00" w:rsidRDefault="00987E00" w:rsidP="00D1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8B441" w14:textId="77777777" w:rsidR="00987E00" w:rsidRDefault="00987E00" w:rsidP="00D156F0">
      <w:r>
        <w:separator/>
      </w:r>
    </w:p>
  </w:footnote>
  <w:footnote w:type="continuationSeparator" w:id="0">
    <w:p w14:paraId="502F3E7D" w14:textId="77777777" w:rsidR="00987E00" w:rsidRDefault="00987E00" w:rsidP="00D15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lenraster"/>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4576"/>
      <w:gridCol w:w="4494"/>
    </w:tblGrid>
    <w:tr w:rsidR="00BC2425" w14:paraId="7396CF66" w14:textId="77777777" w:rsidTr="006235A7">
      <w:tc>
        <w:tcPr>
          <w:tcW w:w="4606" w:type="dxa"/>
        </w:tcPr>
        <w:p w14:paraId="58720338" w14:textId="71949C6D" w:rsidR="00BC2425" w:rsidRDefault="00BC2425" w:rsidP="002D7A47">
          <w:pPr>
            <w:pStyle w:val="Kopfzeile"/>
          </w:pPr>
          <w:r>
            <w:rPr>
              <w:noProof/>
            </w:rPr>
            <w:fldChar w:fldCharType="begin"/>
          </w:r>
          <w:r>
            <w:rPr>
              <w:noProof/>
            </w:rPr>
            <w:instrText xml:space="preserve"> STYLEREF  Titel  \* MERGEFORMAT </w:instrText>
          </w:r>
          <w:r>
            <w:rPr>
              <w:noProof/>
            </w:rPr>
            <w:fldChar w:fldCharType="separate"/>
          </w:r>
          <w:r w:rsidR="00D23EEF">
            <w:rPr>
              <w:noProof/>
            </w:rPr>
            <w:t>Die europäische Datenschutzgrundverordnung:</w:t>
          </w:r>
          <w:r>
            <w:rPr>
              <w:noProof/>
            </w:rPr>
            <w:fldChar w:fldCharType="end"/>
          </w:r>
        </w:p>
      </w:tc>
      <w:tc>
        <w:tcPr>
          <w:tcW w:w="4606" w:type="dxa"/>
        </w:tcPr>
        <w:p w14:paraId="28F2543F" w14:textId="77777777" w:rsidR="00BC2425" w:rsidRDefault="00BC2425" w:rsidP="002D7A47">
          <w:pPr>
            <w:pStyle w:val="Kopfzeile"/>
            <w:jc w:val="right"/>
          </w:pPr>
          <w:r>
            <w:fldChar w:fldCharType="begin"/>
          </w:r>
          <w:r>
            <w:instrText xml:space="preserve"> PAGE   \* MERGEFORMAT </w:instrText>
          </w:r>
          <w:r>
            <w:fldChar w:fldCharType="separate"/>
          </w:r>
          <w:r w:rsidR="00D23EEF">
            <w:rPr>
              <w:noProof/>
            </w:rPr>
            <w:t>18</w:t>
          </w:r>
          <w:r>
            <w:rPr>
              <w:noProof/>
            </w:rPr>
            <w:fldChar w:fldCharType="end"/>
          </w:r>
        </w:p>
      </w:tc>
    </w:tr>
  </w:tbl>
  <w:p w14:paraId="7B9F6613" w14:textId="77777777" w:rsidR="00BC2425" w:rsidRPr="006235A7" w:rsidRDefault="00BC2425">
    <w:pPr>
      <w:pStyle w:val="Kopfzeil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C2EC8"/>
    <w:multiLevelType w:val="multilevel"/>
    <w:tmpl w:val="2668D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6640A5"/>
    <w:multiLevelType w:val="hybridMultilevel"/>
    <w:tmpl w:val="B89CCF9C"/>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299D1EAD"/>
    <w:multiLevelType w:val="hybridMultilevel"/>
    <w:tmpl w:val="43D230B8"/>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2B2552B8"/>
    <w:multiLevelType w:val="hybridMultilevel"/>
    <w:tmpl w:val="9338462E"/>
    <w:lvl w:ilvl="0" w:tplc="4F82A1AA">
      <w:start w:val="3"/>
      <w:numFmt w:val="bullet"/>
      <w:lvlText w:val=""/>
      <w:lvlJc w:val="left"/>
      <w:pPr>
        <w:ind w:left="720" w:hanging="360"/>
      </w:pPr>
      <w:rPr>
        <w:rFonts w:ascii="Wingdings" w:eastAsiaTheme="minorHAnsi" w:hAnsi="Wingdings" w:cstheme="majorBid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300142F8"/>
    <w:multiLevelType w:val="hybridMultilevel"/>
    <w:tmpl w:val="4D34321C"/>
    <w:lvl w:ilvl="0" w:tplc="B50AB0C2">
      <w:start w:val="1"/>
      <w:numFmt w:val="bullet"/>
      <w:pStyle w:val="Listenabsatz"/>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6B20EB7"/>
    <w:multiLevelType w:val="hybridMultilevel"/>
    <w:tmpl w:val="CEEEFCBA"/>
    <w:lvl w:ilvl="0" w:tplc="62688ECC">
      <w:numFmt w:val="bullet"/>
      <w:lvlText w:val=""/>
      <w:lvlJc w:val="left"/>
      <w:pPr>
        <w:ind w:left="720" w:hanging="360"/>
      </w:pPr>
      <w:rPr>
        <w:rFonts w:ascii="Symbol" w:eastAsiaTheme="minorHAnsi" w:hAnsi="Symbol" w:cstheme="majorBid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3EBB48BE"/>
    <w:multiLevelType w:val="hybridMultilevel"/>
    <w:tmpl w:val="02A8537C"/>
    <w:lvl w:ilvl="0" w:tplc="9140C292">
      <w:numFmt w:val="bullet"/>
      <w:lvlText w:val=""/>
      <w:lvlJc w:val="left"/>
      <w:pPr>
        <w:ind w:left="720" w:hanging="360"/>
      </w:pPr>
      <w:rPr>
        <w:rFonts w:ascii="Wingdings" w:eastAsiaTheme="minorHAnsi" w:hAnsi="Wingdings" w:cstheme="maj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34B5C4B"/>
    <w:multiLevelType w:val="hybridMultilevel"/>
    <w:tmpl w:val="A874F016"/>
    <w:lvl w:ilvl="0" w:tplc="DA0ED53A">
      <w:numFmt w:val="bullet"/>
      <w:lvlText w:val=""/>
      <w:lvlJc w:val="left"/>
      <w:pPr>
        <w:ind w:left="720" w:hanging="360"/>
      </w:pPr>
      <w:rPr>
        <w:rFonts w:ascii="Symbol" w:eastAsiaTheme="minorHAnsi" w:hAnsi="Symbol" w:cstheme="maj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4A7239F7"/>
    <w:multiLevelType w:val="hybridMultilevel"/>
    <w:tmpl w:val="C6F4F9A8"/>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4FE976C0"/>
    <w:multiLevelType w:val="hybridMultilevel"/>
    <w:tmpl w:val="FFF4D4D6"/>
    <w:lvl w:ilvl="0" w:tplc="E048B598">
      <w:start w:val="1"/>
      <w:numFmt w:val="bullet"/>
      <w:pStyle w:val="Formatvorlage1"/>
      <w:lvlText w:val=""/>
      <w:lvlJc w:val="left"/>
      <w:pPr>
        <w:ind w:left="1065" w:hanging="705"/>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55ED2403"/>
    <w:multiLevelType w:val="hybridMultilevel"/>
    <w:tmpl w:val="FD2E767E"/>
    <w:lvl w:ilvl="0" w:tplc="38D22106">
      <w:numFmt w:val="bullet"/>
      <w:lvlText w:val="•"/>
      <w:lvlJc w:val="left"/>
      <w:pPr>
        <w:ind w:left="1065" w:hanging="705"/>
      </w:pPr>
      <w:rPr>
        <w:rFonts w:ascii="Verdana" w:eastAsiaTheme="minorHAnsi" w:hAnsi="Verdana" w:cstheme="maj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CFC03FE"/>
    <w:multiLevelType w:val="hybridMultilevel"/>
    <w:tmpl w:val="8FF40B02"/>
    <w:lvl w:ilvl="0" w:tplc="0C07000F">
      <w:start w:val="1"/>
      <w:numFmt w:val="decimal"/>
      <w:lvlText w:val="%1."/>
      <w:lvlJc w:val="left"/>
      <w:pPr>
        <w:ind w:left="720" w:hanging="360"/>
      </w:pPr>
      <w:rPr>
        <w:rFont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E37412E"/>
    <w:multiLevelType w:val="multilevel"/>
    <w:tmpl w:val="F97C8FA2"/>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3" w15:restartNumberingAfterBreak="0">
    <w:nsid w:val="60FF6512"/>
    <w:multiLevelType w:val="hybridMultilevel"/>
    <w:tmpl w:val="30A463FE"/>
    <w:lvl w:ilvl="0" w:tplc="D390F09C">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62552147"/>
    <w:multiLevelType w:val="hybridMultilevel"/>
    <w:tmpl w:val="B7EC822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6D663DEE"/>
    <w:multiLevelType w:val="hybridMultilevel"/>
    <w:tmpl w:val="D158B39A"/>
    <w:lvl w:ilvl="0" w:tplc="83C0C844">
      <w:start w:val="1"/>
      <w:numFmt w:val="bullet"/>
      <w:lvlText w:val=""/>
      <w:lvlJc w:val="left"/>
      <w:pPr>
        <w:ind w:left="1065" w:hanging="705"/>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71297F37"/>
    <w:multiLevelType w:val="hybridMultilevel"/>
    <w:tmpl w:val="8690C12C"/>
    <w:lvl w:ilvl="0" w:tplc="38D22106">
      <w:numFmt w:val="bullet"/>
      <w:lvlText w:val="•"/>
      <w:lvlJc w:val="left"/>
      <w:pPr>
        <w:ind w:left="1065" w:hanging="705"/>
      </w:pPr>
      <w:rPr>
        <w:rFonts w:ascii="Verdana" w:eastAsiaTheme="minorHAnsi" w:hAnsi="Verdana" w:cstheme="maj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4"/>
  </w:num>
  <w:num w:numId="22">
    <w:abstractNumId w:val="10"/>
  </w:num>
  <w:num w:numId="23">
    <w:abstractNumId w:val="16"/>
  </w:num>
  <w:num w:numId="24">
    <w:abstractNumId w:val="15"/>
  </w:num>
  <w:num w:numId="25">
    <w:abstractNumId w:val="12"/>
  </w:num>
  <w:num w:numId="26">
    <w:abstractNumId w:val="4"/>
  </w:num>
  <w:num w:numId="27">
    <w:abstractNumId w:val="9"/>
  </w:num>
  <w:num w:numId="28">
    <w:abstractNumId w:val="5"/>
  </w:num>
  <w:num w:numId="29">
    <w:abstractNumId w:val="11"/>
  </w:num>
  <w:num w:numId="30">
    <w:abstractNumId w:val="3"/>
  </w:num>
  <w:num w:numId="31">
    <w:abstractNumId w:val="7"/>
  </w:num>
  <w:num w:numId="32">
    <w:abstractNumId w:val="13"/>
  </w:num>
  <w:num w:numId="33">
    <w:abstractNumId w:val="1"/>
  </w:num>
  <w:num w:numId="34">
    <w:abstractNumId w:val="6"/>
  </w:num>
  <w:num w:numId="35">
    <w:abstractNumId w:val="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WU APA deutsch GWA Kastner&lt;/Style&gt;&lt;LeftDelim&gt;{&lt;/LeftDelim&gt;&lt;RightDelim&gt;}&lt;/RightDelim&gt;&lt;FontName&gt;Verdana&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AC2822"/>
    <w:rsid w:val="00005913"/>
    <w:rsid w:val="0001231C"/>
    <w:rsid w:val="000157CF"/>
    <w:rsid w:val="00020D13"/>
    <w:rsid w:val="00020DAB"/>
    <w:rsid w:val="00023994"/>
    <w:rsid w:val="00023D7B"/>
    <w:rsid w:val="00024CDB"/>
    <w:rsid w:val="00025FFA"/>
    <w:rsid w:val="00031950"/>
    <w:rsid w:val="000326D7"/>
    <w:rsid w:val="000371BC"/>
    <w:rsid w:val="00042869"/>
    <w:rsid w:val="000475D6"/>
    <w:rsid w:val="000527A7"/>
    <w:rsid w:val="0005386A"/>
    <w:rsid w:val="000543A7"/>
    <w:rsid w:val="00057E1F"/>
    <w:rsid w:val="00075BFC"/>
    <w:rsid w:val="0008537D"/>
    <w:rsid w:val="00085920"/>
    <w:rsid w:val="00087C53"/>
    <w:rsid w:val="00091138"/>
    <w:rsid w:val="00091C86"/>
    <w:rsid w:val="00092DAF"/>
    <w:rsid w:val="00096F0F"/>
    <w:rsid w:val="000A12BF"/>
    <w:rsid w:val="000A523E"/>
    <w:rsid w:val="000A5EB4"/>
    <w:rsid w:val="000C1AFA"/>
    <w:rsid w:val="000C35E6"/>
    <w:rsid w:val="000C64FD"/>
    <w:rsid w:val="000C708A"/>
    <w:rsid w:val="000D0198"/>
    <w:rsid w:val="000D06AF"/>
    <w:rsid w:val="000D19CD"/>
    <w:rsid w:val="000D2A00"/>
    <w:rsid w:val="000D7C37"/>
    <w:rsid w:val="000E1E19"/>
    <w:rsid w:val="000E5525"/>
    <w:rsid w:val="000F6F58"/>
    <w:rsid w:val="001006D0"/>
    <w:rsid w:val="00102EB0"/>
    <w:rsid w:val="0010710F"/>
    <w:rsid w:val="001139F6"/>
    <w:rsid w:val="001144D8"/>
    <w:rsid w:val="00115E53"/>
    <w:rsid w:val="00115E88"/>
    <w:rsid w:val="0012224D"/>
    <w:rsid w:val="001226E1"/>
    <w:rsid w:val="001236F0"/>
    <w:rsid w:val="001265D7"/>
    <w:rsid w:val="0013389A"/>
    <w:rsid w:val="00133DD5"/>
    <w:rsid w:val="001421F2"/>
    <w:rsid w:val="0014305E"/>
    <w:rsid w:val="00145556"/>
    <w:rsid w:val="00145CAB"/>
    <w:rsid w:val="001553DE"/>
    <w:rsid w:val="00163DA0"/>
    <w:rsid w:val="001666F6"/>
    <w:rsid w:val="0016694D"/>
    <w:rsid w:val="001669B9"/>
    <w:rsid w:val="0017061E"/>
    <w:rsid w:val="00174E84"/>
    <w:rsid w:val="00177238"/>
    <w:rsid w:val="0017787D"/>
    <w:rsid w:val="001818FC"/>
    <w:rsid w:val="00183E4F"/>
    <w:rsid w:val="001842B8"/>
    <w:rsid w:val="00187687"/>
    <w:rsid w:val="00191252"/>
    <w:rsid w:val="00194BBE"/>
    <w:rsid w:val="001A15DF"/>
    <w:rsid w:val="001A3A4A"/>
    <w:rsid w:val="001A6888"/>
    <w:rsid w:val="001A6D61"/>
    <w:rsid w:val="001B097F"/>
    <w:rsid w:val="001B3F1F"/>
    <w:rsid w:val="001B5530"/>
    <w:rsid w:val="001B5F1D"/>
    <w:rsid w:val="001B7315"/>
    <w:rsid w:val="001C52CF"/>
    <w:rsid w:val="001C5A66"/>
    <w:rsid w:val="001D0D74"/>
    <w:rsid w:val="001D17F5"/>
    <w:rsid w:val="001D35AD"/>
    <w:rsid w:val="001E5063"/>
    <w:rsid w:val="001E62AC"/>
    <w:rsid w:val="001E73AF"/>
    <w:rsid w:val="001F2463"/>
    <w:rsid w:val="001F5CA5"/>
    <w:rsid w:val="001F617A"/>
    <w:rsid w:val="001F791B"/>
    <w:rsid w:val="00204747"/>
    <w:rsid w:val="0020537A"/>
    <w:rsid w:val="002077F9"/>
    <w:rsid w:val="00207C0D"/>
    <w:rsid w:val="00212C33"/>
    <w:rsid w:val="002143CC"/>
    <w:rsid w:val="002145DD"/>
    <w:rsid w:val="0021658D"/>
    <w:rsid w:val="00216795"/>
    <w:rsid w:val="00226C6A"/>
    <w:rsid w:val="002279B7"/>
    <w:rsid w:val="002347D1"/>
    <w:rsid w:val="00246368"/>
    <w:rsid w:val="00252EBC"/>
    <w:rsid w:val="00253678"/>
    <w:rsid w:val="002537B6"/>
    <w:rsid w:val="0026366B"/>
    <w:rsid w:val="00266148"/>
    <w:rsid w:val="00270E89"/>
    <w:rsid w:val="00275606"/>
    <w:rsid w:val="00275666"/>
    <w:rsid w:val="002838AD"/>
    <w:rsid w:val="002872F8"/>
    <w:rsid w:val="00291566"/>
    <w:rsid w:val="002921ED"/>
    <w:rsid w:val="00292412"/>
    <w:rsid w:val="0029700A"/>
    <w:rsid w:val="002A0C7F"/>
    <w:rsid w:val="002A1DBD"/>
    <w:rsid w:val="002B245F"/>
    <w:rsid w:val="002B2B0C"/>
    <w:rsid w:val="002B42AE"/>
    <w:rsid w:val="002B56AA"/>
    <w:rsid w:val="002B57E0"/>
    <w:rsid w:val="002B743F"/>
    <w:rsid w:val="002D437E"/>
    <w:rsid w:val="002D45AB"/>
    <w:rsid w:val="002D7A47"/>
    <w:rsid w:val="002D7D42"/>
    <w:rsid w:val="002E004A"/>
    <w:rsid w:val="002E12F7"/>
    <w:rsid w:val="002E13D9"/>
    <w:rsid w:val="002F726E"/>
    <w:rsid w:val="00301072"/>
    <w:rsid w:val="00302251"/>
    <w:rsid w:val="003173EE"/>
    <w:rsid w:val="00320422"/>
    <w:rsid w:val="003216D1"/>
    <w:rsid w:val="00321A15"/>
    <w:rsid w:val="00326219"/>
    <w:rsid w:val="00327066"/>
    <w:rsid w:val="003356BB"/>
    <w:rsid w:val="003443A3"/>
    <w:rsid w:val="00347E3B"/>
    <w:rsid w:val="003518AE"/>
    <w:rsid w:val="00363496"/>
    <w:rsid w:val="00377A83"/>
    <w:rsid w:val="00377AC7"/>
    <w:rsid w:val="00377C64"/>
    <w:rsid w:val="00381355"/>
    <w:rsid w:val="00385572"/>
    <w:rsid w:val="00392D0E"/>
    <w:rsid w:val="00397085"/>
    <w:rsid w:val="003A753A"/>
    <w:rsid w:val="003C0488"/>
    <w:rsid w:val="003C1164"/>
    <w:rsid w:val="003C3C7C"/>
    <w:rsid w:val="003C40CC"/>
    <w:rsid w:val="003C5079"/>
    <w:rsid w:val="003C62C1"/>
    <w:rsid w:val="003C6C23"/>
    <w:rsid w:val="003D2C3B"/>
    <w:rsid w:val="003E3795"/>
    <w:rsid w:val="003E3F8D"/>
    <w:rsid w:val="003E5129"/>
    <w:rsid w:val="003E5925"/>
    <w:rsid w:val="003E6364"/>
    <w:rsid w:val="003F275F"/>
    <w:rsid w:val="0040212F"/>
    <w:rsid w:val="004034F2"/>
    <w:rsid w:val="00410951"/>
    <w:rsid w:val="00413A94"/>
    <w:rsid w:val="00426CDB"/>
    <w:rsid w:val="0042754F"/>
    <w:rsid w:val="00431C3E"/>
    <w:rsid w:val="00435D1B"/>
    <w:rsid w:val="00437574"/>
    <w:rsid w:val="004412C6"/>
    <w:rsid w:val="00441D21"/>
    <w:rsid w:val="00444A37"/>
    <w:rsid w:val="00447791"/>
    <w:rsid w:val="00450940"/>
    <w:rsid w:val="0045641F"/>
    <w:rsid w:val="00462731"/>
    <w:rsid w:val="004651D2"/>
    <w:rsid w:val="0046611A"/>
    <w:rsid w:val="00466F0C"/>
    <w:rsid w:val="00472A6F"/>
    <w:rsid w:val="00483A06"/>
    <w:rsid w:val="00492267"/>
    <w:rsid w:val="00495B99"/>
    <w:rsid w:val="00497802"/>
    <w:rsid w:val="004A1EF9"/>
    <w:rsid w:val="004A4A13"/>
    <w:rsid w:val="004A4BA6"/>
    <w:rsid w:val="004A5E8D"/>
    <w:rsid w:val="004B1A63"/>
    <w:rsid w:val="004C2138"/>
    <w:rsid w:val="004C295F"/>
    <w:rsid w:val="004C381C"/>
    <w:rsid w:val="004C69CD"/>
    <w:rsid w:val="004C77B6"/>
    <w:rsid w:val="004D2DBE"/>
    <w:rsid w:val="004D437E"/>
    <w:rsid w:val="004D71CD"/>
    <w:rsid w:val="004E29DE"/>
    <w:rsid w:val="004E2F52"/>
    <w:rsid w:val="004E3120"/>
    <w:rsid w:val="004E4726"/>
    <w:rsid w:val="004E4F12"/>
    <w:rsid w:val="004E5EFD"/>
    <w:rsid w:val="004E7216"/>
    <w:rsid w:val="004F11DB"/>
    <w:rsid w:val="004F23ED"/>
    <w:rsid w:val="00502F13"/>
    <w:rsid w:val="00503314"/>
    <w:rsid w:val="0050687E"/>
    <w:rsid w:val="00507286"/>
    <w:rsid w:val="00520371"/>
    <w:rsid w:val="005220A4"/>
    <w:rsid w:val="00526065"/>
    <w:rsid w:val="00527AF7"/>
    <w:rsid w:val="005370B8"/>
    <w:rsid w:val="00541DCE"/>
    <w:rsid w:val="00542B1B"/>
    <w:rsid w:val="005433EC"/>
    <w:rsid w:val="0054350B"/>
    <w:rsid w:val="005435F3"/>
    <w:rsid w:val="005464CD"/>
    <w:rsid w:val="00546EDD"/>
    <w:rsid w:val="005511E8"/>
    <w:rsid w:val="005511FA"/>
    <w:rsid w:val="00552CFD"/>
    <w:rsid w:val="00553479"/>
    <w:rsid w:val="00553B65"/>
    <w:rsid w:val="00553E1B"/>
    <w:rsid w:val="0056131C"/>
    <w:rsid w:val="00562675"/>
    <w:rsid w:val="00563377"/>
    <w:rsid w:val="00563E72"/>
    <w:rsid w:val="00570F5F"/>
    <w:rsid w:val="005738DB"/>
    <w:rsid w:val="005769A4"/>
    <w:rsid w:val="0058080F"/>
    <w:rsid w:val="005808F8"/>
    <w:rsid w:val="0058201E"/>
    <w:rsid w:val="00584D1B"/>
    <w:rsid w:val="00596ADA"/>
    <w:rsid w:val="0059786D"/>
    <w:rsid w:val="00597B0F"/>
    <w:rsid w:val="00597B9E"/>
    <w:rsid w:val="00597F19"/>
    <w:rsid w:val="005A22B3"/>
    <w:rsid w:val="005A373A"/>
    <w:rsid w:val="005A4C42"/>
    <w:rsid w:val="005B11FA"/>
    <w:rsid w:val="005B5F2F"/>
    <w:rsid w:val="005C0376"/>
    <w:rsid w:val="005E0AD5"/>
    <w:rsid w:val="005E258C"/>
    <w:rsid w:val="005E3134"/>
    <w:rsid w:val="005E6ED8"/>
    <w:rsid w:val="005F25A1"/>
    <w:rsid w:val="005F688D"/>
    <w:rsid w:val="005F69FA"/>
    <w:rsid w:val="005F70EA"/>
    <w:rsid w:val="005F7935"/>
    <w:rsid w:val="0061147A"/>
    <w:rsid w:val="00611960"/>
    <w:rsid w:val="00615D4D"/>
    <w:rsid w:val="00617274"/>
    <w:rsid w:val="00617FC1"/>
    <w:rsid w:val="00620CC7"/>
    <w:rsid w:val="0062285B"/>
    <w:rsid w:val="006235A7"/>
    <w:rsid w:val="0062377A"/>
    <w:rsid w:val="00626CDB"/>
    <w:rsid w:val="00632F9E"/>
    <w:rsid w:val="00641B9C"/>
    <w:rsid w:val="006423D3"/>
    <w:rsid w:val="0064285E"/>
    <w:rsid w:val="00650A4D"/>
    <w:rsid w:val="0065151B"/>
    <w:rsid w:val="00664C5D"/>
    <w:rsid w:val="00667A11"/>
    <w:rsid w:val="006716DD"/>
    <w:rsid w:val="00671CF8"/>
    <w:rsid w:val="0067307C"/>
    <w:rsid w:val="0067315D"/>
    <w:rsid w:val="00673D4D"/>
    <w:rsid w:val="006762FC"/>
    <w:rsid w:val="00681F03"/>
    <w:rsid w:val="00690E7E"/>
    <w:rsid w:val="006937FD"/>
    <w:rsid w:val="00694FFB"/>
    <w:rsid w:val="00696977"/>
    <w:rsid w:val="006A493D"/>
    <w:rsid w:val="006A60D1"/>
    <w:rsid w:val="006A727D"/>
    <w:rsid w:val="006B25A3"/>
    <w:rsid w:val="006B4EF1"/>
    <w:rsid w:val="006B7AC2"/>
    <w:rsid w:val="006C4E44"/>
    <w:rsid w:val="006C68EE"/>
    <w:rsid w:val="006D35B1"/>
    <w:rsid w:val="006D55A7"/>
    <w:rsid w:val="006D5932"/>
    <w:rsid w:val="006D70F9"/>
    <w:rsid w:val="006E3768"/>
    <w:rsid w:val="006E409C"/>
    <w:rsid w:val="006E6A14"/>
    <w:rsid w:val="006F1896"/>
    <w:rsid w:val="006F2DAB"/>
    <w:rsid w:val="006F4C83"/>
    <w:rsid w:val="006F6350"/>
    <w:rsid w:val="006F6EF2"/>
    <w:rsid w:val="0070229F"/>
    <w:rsid w:val="007120F8"/>
    <w:rsid w:val="00714A1C"/>
    <w:rsid w:val="00715D11"/>
    <w:rsid w:val="00717F09"/>
    <w:rsid w:val="00722194"/>
    <w:rsid w:val="00722583"/>
    <w:rsid w:val="00724CDB"/>
    <w:rsid w:val="007252C7"/>
    <w:rsid w:val="00741112"/>
    <w:rsid w:val="00745CCF"/>
    <w:rsid w:val="00746440"/>
    <w:rsid w:val="007470F7"/>
    <w:rsid w:val="00751BDD"/>
    <w:rsid w:val="0075244F"/>
    <w:rsid w:val="00753EFA"/>
    <w:rsid w:val="00753F00"/>
    <w:rsid w:val="007573CD"/>
    <w:rsid w:val="007604FD"/>
    <w:rsid w:val="00770650"/>
    <w:rsid w:val="00773FEA"/>
    <w:rsid w:val="007749D6"/>
    <w:rsid w:val="00775488"/>
    <w:rsid w:val="00781589"/>
    <w:rsid w:val="00781FA9"/>
    <w:rsid w:val="007918C6"/>
    <w:rsid w:val="00797306"/>
    <w:rsid w:val="007A15C5"/>
    <w:rsid w:val="007A30E9"/>
    <w:rsid w:val="007A6BD6"/>
    <w:rsid w:val="007B5060"/>
    <w:rsid w:val="007C1C95"/>
    <w:rsid w:val="007D3B83"/>
    <w:rsid w:val="007D563D"/>
    <w:rsid w:val="007D66BA"/>
    <w:rsid w:val="007D745F"/>
    <w:rsid w:val="007E2E4A"/>
    <w:rsid w:val="007F2310"/>
    <w:rsid w:val="007F2349"/>
    <w:rsid w:val="007F7220"/>
    <w:rsid w:val="00805877"/>
    <w:rsid w:val="00811C43"/>
    <w:rsid w:val="00813DE2"/>
    <w:rsid w:val="00816725"/>
    <w:rsid w:val="00825BF4"/>
    <w:rsid w:val="008265B6"/>
    <w:rsid w:val="00826FD9"/>
    <w:rsid w:val="00830CD8"/>
    <w:rsid w:val="0083786B"/>
    <w:rsid w:val="00840D07"/>
    <w:rsid w:val="00845DFE"/>
    <w:rsid w:val="00846BEB"/>
    <w:rsid w:val="00851CB5"/>
    <w:rsid w:val="00855B04"/>
    <w:rsid w:val="00861B73"/>
    <w:rsid w:val="00862731"/>
    <w:rsid w:val="00863F95"/>
    <w:rsid w:val="0086488A"/>
    <w:rsid w:val="00864EB9"/>
    <w:rsid w:val="008656F7"/>
    <w:rsid w:val="00866420"/>
    <w:rsid w:val="008676C2"/>
    <w:rsid w:val="00872265"/>
    <w:rsid w:val="00872604"/>
    <w:rsid w:val="00872E04"/>
    <w:rsid w:val="00875639"/>
    <w:rsid w:val="00882407"/>
    <w:rsid w:val="00885ACF"/>
    <w:rsid w:val="00885BAE"/>
    <w:rsid w:val="0089190D"/>
    <w:rsid w:val="00895BA5"/>
    <w:rsid w:val="008A3F64"/>
    <w:rsid w:val="008A7358"/>
    <w:rsid w:val="008B4DD6"/>
    <w:rsid w:val="008B5AAA"/>
    <w:rsid w:val="008C46E5"/>
    <w:rsid w:val="008C698C"/>
    <w:rsid w:val="008C6B26"/>
    <w:rsid w:val="008D07D6"/>
    <w:rsid w:val="008D0DD8"/>
    <w:rsid w:val="008D1717"/>
    <w:rsid w:val="008D366E"/>
    <w:rsid w:val="008D416D"/>
    <w:rsid w:val="008D7D86"/>
    <w:rsid w:val="008E1156"/>
    <w:rsid w:val="008E23FF"/>
    <w:rsid w:val="008E78C7"/>
    <w:rsid w:val="008F1A2A"/>
    <w:rsid w:val="008F3CB9"/>
    <w:rsid w:val="008F4F41"/>
    <w:rsid w:val="008F7B34"/>
    <w:rsid w:val="008F7D0C"/>
    <w:rsid w:val="0090340C"/>
    <w:rsid w:val="009057C3"/>
    <w:rsid w:val="00907662"/>
    <w:rsid w:val="009176BA"/>
    <w:rsid w:val="009211FC"/>
    <w:rsid w:val="009241DD"/>
    <w:rsid w:val="0092478F"/>
    <w:rsid w:val="0092503D"/>
    <w:rsid w:val="0093011B"/>
    <w:rsid w:val="009321C6"/>
    <w:rsid w:val="00934AB5"/>
    <w:rsid w:val="009413DF"/>
    <w:rsid w:val="009416C6"/>
    <w:rsid w:val="00945C3C"/>
    <w:rsid w:val="0094745A"/>
    <w:rsid w:val="00947AA6"/>
    <w:rsid w:val="00953426"/>
    <w:rsid w:val="00954102"/>
    <w:rsid w:val="0095732C"/>
    <w:rsid w:val="00960D49"/>
    <w:rsid w:val="00965C94"/>
    <w:rsid w:val="00987E00"/>
    <w:rsid w:val="00994104"/>
    <w:rsid w:val="009A03E8"/>
    <w:rsid w:val="009A259B"/>
    <w:rsid w:val="009A4590"/>
    <w:rsid w:val="009A5B08"/>
    <w:rsid w:val="009A65B3"/>
    <w:rsid w:val="009A700F"/>
    <w:rsid w:val="009B2F74"/>
    <w:rsid w:val="009B4A79"/>
    <w:rsid w:val="009C021E"/>
    <w:rsid w:val="009C03FA"/>
    <w:rsid w:val="009C13D3"/>
    <w:rsid w:val="009D1F6E"/>
    <w:rsid w:val="009D3C51"/>
    <w:rsid w:val="009D60F7"/>
    <w:rsid w:val="009E3CCC"/>
    <w:rsid w:val="009F44C4"/>
    <w:rsid w:val="009F75CC"/>
    <w:rsid w:val="00A00852"/>
    <w:rsid w:val="00A04373"/>
    <w:rsid w:val="00A133BC"/>
    <w:rsid w:val="00A23F4D"/>
    <w:rsid w:val="00A27D1E"/>
    <w:rsid w:val="00A34895"/>
    <w:rsid w:val="00A373F3"/>
    <w:rsid w:val="00A416BF"/>
    <w:rsid w:val="00A43991"/>
    <w:rsid w:val="00A44AA6"/>
    <w:rsid w:val="00A46148"/>
    <w:rsid w:val="00A47AA3"/>
    <w:rsid w:val="00A5135A"/>
    <w:rsid w:val="00A604EB"/>
    <w:rsid w:val="00A61241"/>
    <w:rsid w:val="00A65287"/>
    <w:rsid w:val="00A7371D"/>
    <w:rsid w:val="00A73BB0"/>
    <w:rsid w:val="00A749C0"/>
    <w:rsid w:val="00A77817"/>
    <w:rsid w:val="00A8087D"/>
    <w:rsid w:val="00A809AC"/>
    <w:rsid w:val="00A80D9A"/>
    <w:rsid w:val="00A83ACD"/>
    <w:rsid w:val="00A84D4E"/>
    <w:rsid w:val="00A85285"/>
    <w:rsid w:val="00A901A4"/>
    <w:rsid w:val="00A9072E"/>
    <w:rsid w:val="00A958D3"/>
    <w:rsid w:val="00A95F79"/>
    <w:rsid w:val="00AA525F"/>
    <w:rsid w:val="00AA73EA"/>
    <w:rsid w:val="00AB05E6"/>
    <w:rsid w:val="00AB113E"/>
    <w:rsid w:val="00AB2184"/>
    <w:rsid w:val="00AB4218"/>
    <w:rsid w:val="00AB5810"/>
    <w:rsid w:val="00AC2822"/>
    <w:rsid w:val="00AC449F"/>
    <w:rsid w:val="00AD6793"/>
    <w:rsid w:val="00AE0F46"/>
    <w:rsid w:val="00AE5E87"/>
    <w:rsid w:val="00AF02D6"/>
    <w:rsid w:val="00B02023"/>
    <w:rsid w:val="00B039D7"/>
    <w:rsid w:val="00B05EB7"/>
    <w:rsid w:val="00B1008F"/>
    <w:rsid w:val="00B15B5E"/>
    <w:rsid w:val="00B219DB"/>
    <w:rsid w:val="00B31F85"/>
    <w:rsid w:val="00B340CE"/>
    <w:rsid w:val="00B35187"/>
    <w:rsid w:val="00B440B1"/>
    <w:rsid w:val="00B45DCD"/>
    <w:rsid w:val="00B57B55"/>
    <w:rsid w:val="00B57C1B"/>
    <w:rsid w:val="00B6241E"/>
    <w:rsid w:val="00B64ACC"/>
    <w:rsid w:val="00B66BE2"/>
    <w:rsid w:val="00B700C5"/>
    <w:rsid w:val="00B70A5C"/>
    <w:rsid w:val="00B778A2"/>
    <w:rsid w:val="00B77C37"/>
    <w:rsid w:val="00B804FD"/>
    <w:rsid w:val="00B8068C"/>
    <w:rsid w:val="00B81AB2"/>
    <w:rsid w:val="00B826BE"/>
    <w:rsid w:val="00B9114B"/>
    <w:rsid w:val="00BA1333"/>
    <w:rsid w:val="00BA15B9"/>
    <w:rsid w:val="00BA4B61"/>
    <w:rsid w:val="00BA7479"/>
    <w:rsid w:val="00BB612D"/>
    <w:rsid w:val="00BC154A"/>
    <w:rsid w:val="00BC2425"/>
    <w:rsid w:val="00BC2EA3"/>
    <w:rsid w:val="00BC6AE6"/>
    <w:rsid w:val="00BD1CD9"/>
    <w:rsid w:val="00BD3A31"/>
    <w:rsid w:val="00BD40D2"/>
    <w:rsid w:val="00BE07C8"/>
    <w:rsid w:val="00BE130D"/>
    <w:rsid w:val="00BE2030"/>
    <w:rsid w:val="00BE6DF8"/>
    <w:rsid w:val="00BF1A33"/>
    <w:rsid w:val="00BF6948"/>
    <w:rsid w:val="00C030F6"/>
    <w:rsid w:val="00C06E04"/>
    <w:rsid w:val="00C11A37"/>
    <w:rsid w:val="00C12072"/>
    <w:rsid w:val="00C15359"/>
    <w:rsid w:val="00C20628"/>
    <w:rsid w:val="00C22D2B"/>
    <w:rsid w:val="00C24260"/>
    <w:rsid w:val="00C30FC7"/>
    <w:rsid w:val="00C32802"/>
    <w:rsid w:val="00C34F84"/>
    <w:rsid w:val="00C37521"/>
    <w:rsid w:val="00C4182F"/>
    <w:rsid w:val="00C47AD0"/>
    <w:rsid w:val="00C51166"/>
    <w:rsid w:val="00C549F7"/>
    <w:rsid w:val="00C5655A"/>
    <w:rsid w:val="00C60A34"/>
    <w:rsid w:val="00C64E1D"/>
    <w:rsid w:val="00C66F46"/>
    <w:rsid w:val="00C74CFE"/>
    <w:rsid w:val="00C75C8F"/>
    <w:rsid w:val="00C76E07"/>
    <w:rsid w:val="00C778AE"/>
    <w:rsid w:val="00C91E2D"/>
    <w:rsid w:val="00C9349E"/>
    <w:rsid w:val="00C95724"/>
    <w:rsid w:val="00C95FA5"/>
    <w:rsid w:val="00C9643F"/>
    <w:rsid w:val="00CA5AA9"/>
    <w:rsid w:val="00CA5B7E"/>
    <w:rsid w:val="00CB441F"/>
    <w:rsid w:val="00CC3B00"/>
    <w:rsid w:val="00CD1887"/>
    <w:rsid w:val="00CF0648"/>
    <w:rsid w:val="00CF3FFB"/>
    <w:rsid w:val="00CF6FE8"/>
    <w:rsid w:val="00CF714B"/>
    <w:rsid w:val="00CF7424"/>
    <w:rsid w:val="00D10BD2"/>
    <w:rsid w:val="00D155BE"/>
    <w:rsid w:val="00D156F0"/>
    <w:rsid w:val="00D1720F"/>
    <w:rsid w:val="00D17546"/>
    <w:rsid w:val="00D23EEF"/>
    <w:rsid w:val="00D255BA"/>
    <w:rsid w:val="00D3267D"/>
    <w:rsid w:val="00D36AA0"/>
    <w:rsid w:val="00D4002B"/>
    <w:rsid w:val="00D5084E"/>
    <w:rsid w:val="00D51053"/>
    <w:rsid w:val="00D516C2"/>
    <w:rsid w:val="00D55A44"/>
    <w:rsid w:val="00D564BB"/>
    <w:rsid w:val="00D56665"/>
    <w:rsid w:val="00D57D71"/>
    <w:rsid w:val="00D602AB"/>
    <w:rsid w:val="00D64494"/>
    <w:rsid w:val="00D671E8"/>
    <w:rsid w:val="00D67E6C"/>
    <w:rsid w:val="00D71FF8"/>
    <w:rsid w:val="00D721CA"/>
    <w:rsid w:val="00D72787"/>
    <w:rsid w:val="00D746E1"/>
    <w:rsid w:val="00D74F1C"/>
    <w:rsid w:val="00D8150D"/>
    <w:rsid w:val="00D83C0E"/>
    <w:rsid w:val="00D92CDA"/>
    <w:rsid w:val="00D97E0B"/>
    <w:rsid w:val="00DA123C"/>
    <w:rsid w:val="00DA1CE8"/>
    <w:rsid w:val="00DB266C"/>
    <w:rsid w:val="00DB6FD0"/>
    <w:rsid w:val="00DB7F33"/>
    <w:rsid w:val="00DC26C6"/>
    <w:rsid w:val="00DC4CBB"/>
    <w:rsid w:val="00DC6CD5"/>
    <w:rsid w:val="00DC7940"/>
    <w:rsid w:val="00DD3653"/>
    <w:rsid w:val="00DD3CDA"/>
    <w:rsid w:val="00DF07EB"/>
    <w:rsid w:val="00E036FE"/>
    <w:rsid w:val="00E064C4"/>
    <w:rsid w:val="00E0718D"/>
    <w:rsid w:val="00E112E3"/>
    <w:rsid w:val="00E13EC2"/>
    <w:rsid w:val="00E21463"/>
    <w:rsid w:val="00E25DC5"/>
    <w:rsid w:val="00E27AFF"/>
    <w:rsid w:val="00E326BD"/>
    <w:rsid w:val="00E4668F"/>
    <w:rsid w:val="00E51202"/>
    <w:rsid w:val="00E53DA5"/>
    <w:rsid w:val="00E5578A"/>
    <w:rsid w:val="00E579E1"/>
    <w:rsid w:val="00E614DD"/>
    <w:rsid w:val="00E64E57"/>
    <w:rsid w:val="00E65531"/>
    <w:rsid w:val="00E7032A"/>
    <w:rsid w:val="00E714DB"/>
    <w:rsid w:val="00E84383"/>
    <w:rsid w:val="00E87018"/>
    <w:rsid w:val="00E877CE"/>
    <w:rsid w:val="00E87E60"/>
    <w:rsid w:val="00E943D7"/>
    <w:rsid w:val="00E960B2"/>
    <w:rsid w:val="00E97AE6"/>
    <w:rsid w:val="00EB11BA"/>
    <w:rsid w:val="00EB20DA"/>
    <w:rsid w:val="00EB6FD4"/>
    <w:rsid w:val="00EC4A9B"/>
    <w:rsid w:val="00ED00FB"/>
    <w:rsid w:val="00ED027E"/>
    <w:rsid w:val="00EE1477"/>
    <w:rsid w:val="00EE68B6"/>
    <w:rsid w:val="00EF42F6"/>
    <w:rsid w:val="00EF5E23"/>
    <w:rsid w:val="00F1027B"/>
    <w:rsid w:val="00F13E77"/>
    <w:rsid w:val="00F20DF1"/>
    <w:rsid w:val="00F2461D"/>
    <w:rsid w:val="00F27ABA"/>
    <w:rsid w:val="00F3095D"/>
    <w:rsid w:val="00F3320F"/>
    <w:rsid w:val="00F33EEF"/>
    <w:rsid w:val="00F340DB"/>
    <w:rsid w:val="00F35135"/>
    <w:rsid w:val="00F3514B"/>
    <w:rsid w:val="00F37B17"/>
    <w:rsid w:val="00F415B5"/>
    <w:rsid w:val="00F431B6"/>
    <w:rsid w:val="00F448A0"/>
    <w:rsid w:val="00F50525"/>
    <w:rsid w:val="00F538B1"/>
    <w:rsid w:val="00F6531D"/>
    <w:rsid w:val="00F721CB"/>
    <w:rsid w:val="00F74971"/>
    <w:rsid w:val="00F74F02"/>
    <w:rsid w:val="00F768E3"/>
    <w:rsid w:val="00F80874"/>
    <w:rsid w:val="00F81F01"/>
    <w:rsid w:val="00F87680"/>
    <w:rsid w:val="00F926A0"/>
    <w:rsid w:val="00F95B09"/>
    <w:rsid w:val="00FA3E69"/>
    <w:rsid w:val="00FA49B2"/>
    <w:rsid w:val="00FA4B26"/>
    <w:rsid w:val="00FB02A7"/>
    <w:rsid w:val="00FB5CAC"/>
    <w:rsid w:val="00FB7178"/>
    <w:rsid w:val="00FC0E51"/>
    <w:rsid w:val="00FC233C"/>
    <w:rsid w:val="00FC23E4"/>
    <w:rsid w:val="00FC31C7"/>
    <w:rsid w:val="00FC38A6"/>
    <w:rsid w:val="00FC4673"/>
    <w:rsid w:val="00FC55C7"/>
    <w:rsid w:val="00FD53AF"/>
    <w:rsid w:val="00FD7C44"/>
    <w:rsid w:val="00FE0BBC"/>
    <w:rsid w:val="00FE1308"/>
    <w:rsid w:val="00FE17C5"/>
    <w:rsid w:val="00FF1E07"/>
    <w:rsid w:val="00FF2323"/>
    <w:rsid w:val="00FF2602"/>
    <w:rsid w:val="00FF4E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C0A93"/>
  <w15:docId w15:val="{C012CF5F-28B6-4CC3-9B50-CAEF79EF9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SM Standard"/>
    <w:qFormat/>
    <w:rsid w:val="00091138"/>
    <w:pPr>
      <w:spacing w:after="240" w:line="360" w:lineRule="auto"/>
      <w:jc w:val="both"/>
    </w:pPr>
    <w:rPr>
      <w:rFonts w:ascii="Verdana" w:hAnsi="Verdana"/>
      <w:sz w:val="21"/>
      <w:szCs w:val="18"/>
      <w:lang w:val="de-DE"/>
    </w:rPr>
  </w:style>
  <w:style w:type="paragraph" w:styleId="berschrift1">
    <w:name w:val="heading 1"/>
    <w:aliases w:val="SM Überschrift1"/>
    <w:basedOn w:val="Standard"/>
    <w:next w:val="Standard"/>
    <w:link w:val="berschrift1Zchn"/>
    <w:uiPriority w:val="9"/>
    <w:qFormat/>
    <w:rsid w:val="00C60A34"/>
    <w:pPr>
      <w:numPr>
        <w:numId w:val="25"/>
      </w:numPr>
      <w:spacing w:before="120" w:after="120"/>
      <w:contextualSpacing/>
      <w:jc w:val="left"/>
      <w:outlineLvl w:val="0"/>
    </w:pPr>
    <w:rPr>
      <w:b/>
      <w:spacing w:val="5"/>
      <w:sz w:val="30"/>
      <w:szCs w:val="30"/>
    </w:rPr>
  </w:style>
  <w:style w:type="paragraph" w:styleId="berschrift2">
    <w:name w:val="heading 2"/>
    <w:aliases w:val="SM Überschrift2"/>
    <w:basedOn w:val="Standard"/>
    <w:next w:val="Standard"/>
    <w:link w:val="berschrift2Zchn"/>
    <w:uiPriority w:val="9"/>
    <w:unhideWhenUsed/>
    <w:qFormat/>
    <w:rsid w:val="005F69FA"/>
    <w:pPr>
      <w:numPr>
        <w:ilvl w:val="1"/>
        <w:numId w:val="25"/>
      </w:numPr>
      <w:spacing w:before="120" w:after="120"/>
      <w:ind w:left="578" w:hanging="578"/>
      <w:outlineLvl w:val="1"/>
    </w:pPr>
    <w:rPr>
      <w:sz w:val="26"/>
      <w:szCs w:val="26"/>
      <w:lang w:val="en-US"/>
    </w:rPr>
  </w:style>
  <w:style w:type="paragraph" w:styleId="berschrift3">
    <w:name w:val="heading 3"/>
    <w:aliases w:val="SM Überschrift3"/>
    <w:basedOn w:val="Standard"/>
    <w:next w:val="Standard"/>
    <w:link w:val="berschrift3Zchn"/>
    <w:uiPriority w:val="9"/>
    <w:unhideWhenUsed/>
    <w:qFormat/>
    <w:rsid w:val="005F69FA"/>
    <w:pPr>
      <w:numPr>
        <w:ilvl w:val="2"/>
        <w:numId w:val="25"/>
      </w:numPr>
      <w:spacing w:before="120" w:after="120" w:line="240" w:lineRule="auto"/>
      <w:ind w:left="794" w:hanging="794"/>
      <w:outlineLvl w:val="2"/>
    </w:pPr>
    <w:rPr>
      <w:iCs/>
      <w:spacing w:val="5"/>
      <w:sz w:val="26"/>
      <w:szCs w:val="26"/>
    </w:rPr>
  </w:style>
  <w:style w:type="paragraph" w:styleId="berschrift4">
    <w:name w:val="heading 4"/>
    <w:basedOn w:val="Standard"/>
    <w:next w:val="Standard"/>
    <w:link w:val="berschrift4Zchn"/>
    <w:uiPriority w:val="9"/>
    <w:unhideWhenUsed/>
    <w:qFormat/>
    <w:rsid w:val="000527A7"/>
    <w:pPr>
      <w:numPr>
        <w:ilvl w:val="3"/>
        <w:numId w:val="25"/>
      </w:numPr>
      <w:spacing w:line="271" w:lineRule="auto"/>
      <w:outlineLvl w:val="3"/>
    </w:pPr>
    <w:rPr>
      <w:b/>
      <w:bCs/>
      <w:spacing w:val="5"/>
      <w:sz w:val="24"/>
      <w:szCs w:val="24"/>
    </w:rPr>
  </w:style>
  <w:style w:type="paragraph" w:styleId="berschrift5">
    <w:name w:val="heading 5"/>
    <w:basedOn w:val="Standard"/>
    <w:next w:val="Standard"/>
    <w:link w:val="berschrift5Zchn"/>
    <w:uiPriority w:val="9"/>
    <w:semiHidden/>
    <w:unhideWhenUsed/>
    <w:qFormat/>
    <w:rsid w:val="000527A7"/>
    <w:pPr>
      <w:numPr>
        <w:ilvl w:val="4"/>
        <w:numId w:val="25"/>
      </w:numPr>
      <w:spacing w:line="271" w:lineRule="auto"/>
      <w:outlineLvl w:val="4"/>
    </w:pPr>
    <w:rPr>
      <w:i/>
      <w:iCs/>
      <w:sz w:val="24"/>
      <w:szCs w:val="24"/>
    </w:rPr>
  </w:style>
  <w:style w:type="paragraph" w:styleId="berschrift6">
    <w:name w:val="heading 6"/>
    <w:basedOn w:val="Standard"/>
    <w:next w:val="Standard"/>
    <w:link w:val="berschrift6Zchn"/>
    <w:uiPriority w:val="9"/>
    <w:semiHidden/>
    <w:unhideWhenUsed/>
    <w:qFormat/>
    <w:rsid w:val="000527A7"/>
    <w:pPr>
      <w:numPr>
        <w:ilvl w:val="5"/>
        <w:numId w:val="25"/>
      </w:numPr>
      <w:shd w:val="clear" w:color="auto" w:fill="FFFFFF" w:themeFill="background1"/>
      <w:spacing w:line="271" w:lineRule="auto"/>
      <w:outlineLvl w:val="5"/>
    </w:pPr>
    <w:rPr>
      <w:b/>
      <w:bCs/>
      <w:color w:val="595959" w:themeColor="text1" w:themeTint="A6"/>
      <w:spacing w:val="5"/>
    </w:rPr>
  </w:style>
  <w:style w:type="paragraph" w:styleId="berschrift7">
    <w:name w:val="heading 7"/>
    <w:basedOn w:val="Standard"/>
    <w:next w:val="Standard"/>
    <w:link w:val="berschrift7Zchn"/>
    <w:uiPriority w:val="9"/>
    <w:semiHidden/>
    <w:unhideWhenUsed/>
    <w:qFormat/>
    <w:rsid w:val="000527A7"/>
    <w:pPr>
      <w:numPr>
        <w:ilvl w:val="6"/>
        <w:numId w:val="25"/>
      </w:numPr>
      <w:outlineLvl w:val="6"/>
    </w:pPr>
    <w:rPr>
      <w:b/>
      <w:bCs/>
      <w:i/>
      <w:iCs/>
      <w:color w:val="5A5A5A" w:themeColor="text1" w:themeTint="A5"/>
      <w:sz w:val="20"/>
      <w:szCs w:val="20"/>
    </w:rPr>
  </w:style>
  <w:style w:type="paragraph" w:styleId="berschrift8">
    <w:name w:val="heading 8"/>
    <w:basedOn w:val="Standard"/>
    <w:next w:val="Standard"/>
    <w:link w:val="berschrift8Zchn"/>
    <w:uiPriority w:val="9"/>
    <w:semiHidden/>
    <w:unhideWhenUsed/>
    <w:qFormat/>
    <w:rsid w:val="000527A7"/>
    <w:pPr>
      <w:numPr>
        <w:ilvl w:val="7"/>
        <w:numId w:val="25"/>
      </w:numPr>
      <w:outlineLvl w:val="7"/>
    </w:pPr>
    <w:rPr>
      <w:b/>
      <w:bC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0527A7"/>
    <w:pPr>
      <w:numPr>
        <w:ilvl w:val="8"/>
        <w:numId w:val="25"/>
      </w:numPr>
      <w:spacing w:line="271" w:lineRule="auto"/>
      <w:outlineLvl w:val="8"/>
    </w:pPr>
    <w:rPr>
      <w:b/>
      <w:bCs/>
      <w:i/>
      <w:iCs/>
      <w:color w:val="7F7F7F" w:themeColor="text1" w:themeTint="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SM Überschrift1 Zchn"/>
    <w:basedOn w:val="Absatz-Standardschriftart"/>
    <w:link w:val="berschrift1"/>
    <w:uiPriority w:val="9"/>
    <w:rsid w:val="00C60A34"/>
    <w:rPr>
      <w:rFonts w:ascii="Verdana" w:hAnsi="Verdana"/>
      <w:b/>
      <w:spacing w:val="5"/>
      <w:sz w:val="30"/>
      <w:szCs w:val="30"/>
      <w:lang w:val="de-AT"/>
    </w:rPr>
  </w:style>
  <w:style w:type="character" w:customStyle="1" w:styleId="berschrift2Zchn">
    <w:name w:val="Überschrift 2 Zchn"/>
    <w:aliases w:val="SM Überschrift2 Zchn"/>
    <w:basedOn w:val="Absatz-Standardschriftart"/>
    <w:link w:val="berschrift2"/>
    <w:uiPriority w:val="9"/>
    <w:rsid w:val="005F69FA"/>
    <w:rPr>
      <w:rFonts w:ascii="Verdana" w:hAnsi="Verdana"/>
      <w:sz w:val="26"/>
      <w:szCs w:val="26"/>
    </w:rPr>
  </w:style>
  <w:style w:type="character" w:customStyle="1" w:styleId="berschrift3Zchn">
    <w:name w:val="Überschrift 3 Zchn"/>
    <w:aliases w:val="SM Überschrift3 Zchn"/>
    <w:basedOn w:val="Absatz-Standardschriftart"/>
    <w:link w:val="berschrift3"/>
    <w:uiPriority w:val="9"/>
    <w:rsid w:val="005F69FA"/>
    <w:rPr>
      <w:rFonts w:ascii="Verdana" w:hAnsi="Verdana"/>
      <w:iCs/>
      <w:spacing w:val="5"/>
      <w:sz w:val="26"/>
      <w:szCs w:val="26"/>
      <w:lang w:val="de-DE"/>
    </w:rPr>
  </w:style>
  <w:style w:type="character" w:customStyle="1" w:styleId="berschrift4Zchn">
    <w:name w:val="Überschrift 4 Zchn"/>
    <w:basedOn w:val="Absatz-Standardschriftart"/>
    <w:link w:val="berschrift4"/>
    <w:uiPriority w:val="9"/>
    <w:rsid w:val="000527A7"/>
    <w:rPr>
      <w:rFonts w:ascii="Verdana" w:hAnsi="Verdana"/>
      <w:b/>
      <w:bCs/>
      <w:spacing w:val="5"/>
      <w:sz w:val="24"/>
      <w:szCs w:val="24"/>
      <w:lang w:val="de-AT"/>
    </w:rPr>
  </w:style>
  <w:style w:type="character" w:customStyle="1" w:styleId="berschrift5Zchn">
    <w:name w:val="Überschrift 5 Zchn"/>
    <w:basedOn w:val="Absatz-Standardschriftart"/>
    <w:link w:val="berschrift5"/>
    <w:uiPriority w:val="9"/>
    <w:semiHidden/>
    <w:rsid w:val="000527A7"/>
    <w:rPr>
      <w:rFonts w:ascii="Verdana" w:hAnsi="Verdana"/>
      <w:i/>
      <w:iCs/>
      <w:sz w:val="24"/>
      <w:szCs w:val="24"/>
      <w:lang w:val="de-AT"/>
    </w:rPr>
  </w:style>
  <w:style w:type="character" w:customStyle="1" w:styleId="berschrift6Zchn">
    <w:name w:val="Überschrift 6 Zchn"/>
    <w:basedOn w:val="Absatz-Standardschriftart"/>
    <w:link w:val="berschrift6"/>
    <w:uiPriority w:val="9"/>
    <w:semiHidden/>
    <w:rsid w:val="000527A7"/>
    <w:rPr>
      <w:rFonts w:ascii="Verdana" w:hAnsi="Verdana"/>
      <w:b/>
      <w:bCs/>
      <w:color w:val="595959" w:themeColor="text1" w:themeTint="A6"/>
      <w:spacing w:val="5"/>
      <w:sz w:val="18"/>
      <w:szCs w:val="18"/>
      <w:shd w:val="clear" w:color="auto" w:fill="FFFFFF" w:themeFill="background1"/>
      <w:lang w:val="de-AT"/>
    </w:rPr>
  </w:style>
  <w:style w:type="character" w:customStyle="1" w:styleId="berschrift7Zchn">
    <w:name w:val="Überschrift 7 Zchn"/>
    <w:basedOn w:val="Absatz-Standardschriftart"/>
    <w:link w:val="berschrift7"/>
    <w:uiPriority w:val="9"/>
    <w:semiHidden/>
    <w:rsid w:val="000527A7"/>
    <w:rPr>
      <w:rFonts w:ascii="Verdana" w:hAnsi="Verdana"/>
      <w:b/>
      <w:bCs/>
      <w:i/>
      <w:iCs/>
      <w:color w:val="5A5A5A" w:themeColor="text1" w:themeTint="A5"/>
      <w:sz w:val="20"/>
      <w:szCs w:val="20"/>
      <w:lang w:val="de-AT"/>
    </w:rPr>
  </w:style>
  <w:style w:type="character" w:customStyle="1" w:styleId="berschrift8Zchn">
    <w:name w:val="Überschrift 8 Zchn"/>
    <w:basedOn w:val="Absatz-Standardschriftart"/>
    <w:link w:val="berschrift8"/>
    <w:uiPriority w:val="9"/>
    <w:semiHidden/>
    <w:rsid w:val="000527A7"/>
    <w:rPr>
      <w:rFonts w:ascii="Verdana" w:hAnsi="Verdana"/>
      <w:b/>
      <w:bCs/>
      <w:color w:val="7F7F7F" w:themeColor="text1" w:themeTint="80"/>
      <w:sz w:val="20"/>
      <w:szCs w:val="20"/>
      <w:lang w:val="de-AT"/>
    </w:rPr>
  </w:style>
  <w:style w:type="character" w:customStyle="1" w:styleId="berschrift9Zchn">
    <w:name w:val="Überschrift 9 Zchn"/>
    <w:basedOn w:val="Absatz-Standardschriftart"/>
    <w:link w:val="berschrift9"/>
    <w:uiPriority w:val="9"/>
    <w:semiHidden/>
    <w:rsid w:val="000527A7"/>
    <w:rPr>
      <w:rFonts w:ascii="Verdana" w:hAnsi="Verdana"/>
      <w:b/>
      <w:bCs/>
      <w:i/>
      <w:iCs/>
      <w:color w:val="7F7F7F" w:themeColor="text1" w:themeTint="80"/>
      <w:sz w:val="18"/>
      <w:szCs w:val="18"/>
      <w:lang w:val="de-AT"/>
    </w:rPr>
  </w:style>
  <w:style w:type="paragraph" w:styleId="Titel">
    <w:name w:val="Title"/>
    <w:basedOn w:val="Standard"/>
    <w:next w:val="Standard"/>
    <w:link w:val="TitelZchn"/>
    <w:uiPriority w:val="10"/>
    <w:qFormat/>
    <w:rsid w:val="00BF6948"/>
    <w:pPr>
      <w:contextualSpacing/>
      <w:jc w:val="center"/>
    </w:pPr>
    <w:rPr>
      <w:sz w:val="44"/>
      <w:szCs w:val="44"/>
    </w:rPr>
  </w:style>
  <w:style w:type="character" w:customStyle="1" w:styleId="TitelZchn">
    <w:name w:val="Titel Zchn"/>
    <w:basedOn w:val="Absatz-Standardschriftart"/>
    <w:link w:val="Titel"/>
    <w:uiPriority w:val="10"/>
    <w:rsid w:val="00BF6948"/>
    <w:rPr>
      <w:rFonts w:ascii="Verdana" w:hAnsi="Verdana"/>
      <w:sz w:val="44"/>
      <w:szCs w:val="44"/>
      <w:lang w:val="de-AT"/>
    </w:rPr>
  </w:style>
  <w:style w:type="paragraph" w:styleId="Untertitel">
    <w:name w:val="Subtitle"/>
    <w:basedOn w:val="Standard"/>
    <w:next w:val="Standard"/>
    <w:link w:val="UntertitelZchn"/>
    <w:uiPriority w:val="11"/>
    <w:qFormat/>
    <w:rsid w:val="000527A7"/>
    <w:rPr>
      <w:i/>
      <w:iCs/>
      <w:smallCaps/>
      <w:spacing w:val="10"/>
      <w:sz w:val="28"/>
      <w:szCs w:val="28"/>
    </w:rPr>
  </w:style>
  <w:style w:type="character" w:customStyle="1" w:styleId="UntertitelZchn">
    <w:name w:val="Untertitel Zchn"/>
    <w:basedOn w:val="Absatz-Standardschriftart"/>
    <w:link w:val="Untertitel"/>
    <w:uiPriority w:val="11"/>
    <w:rsid w:val="000527A7"/>
    <w:rPr>
      <w:i/>
      <w:iCs/>
      <w:smallCaps/>
      <w:spacing w:val="10"/>
      <w:sz w:val="28"/>
      <w:szCs w:val="28"/>
    </w:rPr>
  </w:style>
  <w:style w:type="character" w:styleId="Fett">
    <w:name w:val="Strong"/>
    <w:uiPriority w:val="22"/>
    <w:qFormat/>
    <w:rsid w:val="000527A7"/>
    <w:rPr>
      <w:b/>
      <w:bCs/>
    </w:rPr>
  </w:style>
  <w:style w:type="character" w:styleId="Hervorhebung">
    <w:name w:val="Emphasis"/>
    <w:uiPriority w:val="20"/>
    <w:qFormat/>
    <w:rsid w:val="000527A7"/>
    <w:rPr>
      <w:b/>
      <w:bCs/>
      <w:i/>
      <w:iCs/>
      <w:spacing w:val="10"/>
    </w:rPr>
  </w:style>
  <w:style w:type="paragraph" w:styleId="KeinLeerraum">
    <w:name w:val="No Spacing"/>
    <w:basedOn w:val="Standard"/>
    <w:link w:val="KeinLeerraumZchn"/>
    <w:uiPriority w:val="1"/>
    <w:qFormat/>
    <w:rsid w:val="000527A7"/>
    <w:pPr>
      <w:spacing w:line="240" w:lineRule="auto"/>
    </w:pPr>
  </w:style>
  <w:style w:type="character" w:customStyle="1" w:styleId="KeinLeerraumZchn">
    <w:name w:val="Kein Leerraum Zchn"/>
    <w:basedOn w:val="Absatz-Standardschriftart"/>
    <w:link w:val="KeinLeerraum"/>
    <w:uiPriority w:val="1"/>
    <w:rsid w:val="000527A7"/>
  </w:style>
  <w:style w:type="paragraph" w:styleId="Listenabsatz">
    <w:name w:val="List Paragraph"/>
    <w:basedOn w:val="Standard"/>
    <w:link w:val="ListenabsatzZchn"/>
    <w:uiPriority w:val="34"/>
    <w:qFormat/>
    <w:rsid w:val="00466F0C"/>
    <w:pPr>
      <w:numPr>
        <w:numId w:val="26"/>
      </w:numPr>
      <w:contextualSpacing/>
    </w:pPr>
  </w:style>
  <w:style w:type="paragraph" w:styleId="Zitat">
    <w:name w:val="Quote"/>
    <w:basedOn w:val="Standard"/>
    <w:next w:val="Standard"/>
    <w:link w:val="ZitatZchn"/>
    <w:uiPriority w:val="29"/>
    <w:qFormat/>
    <w:rsid w:val="000527A7"/>
    <w:rPr>
      <w:i/>
      <w:iCs/>
    </w:rPr>
  </w:style>
  <w:style w:type="character" w:customStyle="1" w:styleId="ZitatZchn">
    <w:name w:val="Zitat Zchn"/>
    <w:basedOn w:val="Absatz-Standardschriftart"/>
    <w:link w:val="Zitat"/>
    <w:uiPriority w:val="29"/>
    <w:rsid w:val="000527A7"/>
    <w:rPr>
      <w:i/>
      <w:iCs/>
    </w:rPr>
  </w:style>
  <w:style w:type="paragraph" w:styleId="IntensivesZitat">
    <w:name w:val="Intense Quote"/>
    <w:basedOn w:val="Standard"/>
    <w:next w:val="Standard"/>
    <w:link w:val="IntensivesZitatZchn"/>
    <w:uiPriority w:val="30"/>
    <w:qFormat/>
    <w:rsid w:val="000527A7"/>
    <w:pPr>
      <w:pBdr>
        <w:top w:val="single" w:sz="4" w:space="10" w:color="auto"/>
        <w:bottom w:val="single" w:sz="4" w:space="10" w:color="auto"/>
      </w:pBdr>
      <w:spacing w:before="240" w:line="300" w:lineRule="auto"/>
      <w:ind w:left="1152" w:right="1152"/>
    </w:pPr>
    <w:rPr>
      <w:i/>
      <w:iCs/>
    </w:rPr>
  </w:style>
  <w:style w:type="character" w:customStyle="1" w:styleId="IntensivesZitatZchn">
    <w:name w:val="Intensives Zitat Zchn"/>
    <w:basedOn w:val="Absatz-Standardschriftart"/>
    <w:link w:val="IntensivesZitat"/>
    <w:uiPriority w:val="30"/>
    <w:rsid w:val="000527A7"/>
    <w:rPr>
      <w:i/>
      <w:iCs/>
    </w:rPr>
  </w:style>
  <w:style w:type="character" w:styleId="SchwacheHervorhebung">
    <w:name w:val="Subtle Emphasis"/>
    <w:uiPriority w:val="19"/>
    <w:qFormat/>
    <w:rsid w:val="000527A7"/>
    <w:rPr>
      <w:i/>
      <w:iCs/>
    </w:rPr>
  </w:style>
  <w:style w:type="character" w:styleId="IntensiveHervorhebung">
    <w:name w:val="Intense Emphasis"/>
    <w:uiPriority w:val="21"/>
    <w:qFormat/>
    <w:rsid w:val="000527A7"/>
    <w:rPr>
      <w:b/>
      <w:bCs/>
      <w:i/>
      <w:iCs/>
    </w:rPr>
  </w:style>
  <w:style w:type="character" w:styleId="SchwacherVerweis">
    <w:name w:val="Subtle Reference"/>
    <w:basedOn w:val="Absatz-Standardschriftart"/>
    <w:uiPriority w:val="31"/>
    <w:qFormat/>
    <w:rsid w:val="000527A7"/>
    <w:rPr>
      <w:smallCaps/>
    </w:rPr>
  </w:style>
  <w:style w:type="character" w:styleId="IntensiverVerweis">
    <w:name w:val="Intense Reference"/>
    <w:uiPriority w:val="32"/>
    <w:qFormat/>
    <w:rsid w:val="000527A7"/>
    <w:rPr>
      <w:b/>
      <w:bCs/>
      <w:smallCaps/>
    </w:rPr>
  </w:style>
  <w:style w:type="character" w:styleId="Buchtitel">
    <w:name w:val="Book Title"/>
    <w:basedOn w:val="Absatz-Standardschriftart"/>
    <w:uiPriority w:val="33"/>
    <w:qFormat/>
    <w:rsid w:val="000527A7"/>
    <w:rPr>
      <w:i/>
      <w:iCs/>
      <w:smallCaps/>
      <w:spacing w:val="5"/>
    </w:rPr>
  </w:style>
  <w:style w:type="paragraph" w:styleId="Inhaltsverzeichnisberschrift">
    <w:name w:val="TOC Heading"/>
    <w:basedOn w:val="berschrift1"/>
    <w:next w:val="Standard"/>
    <w:uiPriority w:val="39"/>
    <w:semiHidden/>
    <w:unhideWhenUsed/>
    <w:qFormat/>
    <w:rsid w:val="000527A7"/>
    <w:pPr>
      <w:numPr>
        <w:numId w:val="0"/>
      </w:numPr>
      <w:outlineLvl w:val="9"/>
    </w:pPr>
  </w:style>
  <w:style w:type="paragraph" w:styleId="Kopfzeile">
    <w:name w:val="header"/>
    <w:basedOn w:val="Standard"/>
    <w:link w:val="KopfzeileZchn"/>
    <w:uiPriority w:val="99"/>
    <w:unhideWhenUsed/>
    <w:rsid w:val="00AC2822"/>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C2822"/>
    <w:rPr>
      <w:rFonts w:ascii="Verdana" w:hAnsi="Verdana"/>
      <w:sz w:val="18"/>
      <w:szCs w:val="18"/>
      <w:lang w:val="de-AT"/>
    </w:rPr>
  </w:style>
  <w:style w:type="paragraph" w:styleId="Fuzeile">
    <w:name w:val="footer"/>
    <w:basedOn w:val="Standard"/>
    <w:link w:val="FuzeileZchn"/>
    <w:uiPriority w:val="99"/>
    <w:unhideWhenUsed/>
    <w:rsid w:val="00AC2822"/>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C2822"/>
    <w:rPr>
      <w:rFonts w:ascii="Verdana" w:hAnsi="Verdana"/>
      <w:sz w:val="18"/>
      <w:szCs w:val="18"/>
      <w:lang w:val="de-AT"/>
    </w:rPr>
  </w:style>
  <w:style w:type="table" w:styleId="Tabellenraster">
    <w:name w:val="Table Grid"/>
    <w:basedOn w:val="NormaleTabelle"/>
    <w:uiPriority w:val="59"/>
    <w:rsid w:val="00AC282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AC282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2822"/>
    <w:rPr>
      <w:rFonts w:ascii="Tahoma" w:hAnsi="Tahoma" w:cs="Tahoma"/>
      <w:sz w:val="16"/>
      <w:szCs w:val="16"/>
      <w:lang w:val="de-AT"/>
    </w:rPr>
  </w:style>
  <w:style w:type="paragraph" w:customStyle="1" w:styleId="Formatvorlage1">
    <w:name w:val="Formatvorlage1"/>
    <w:basedOn w:val="Listenabsatz"/>
    <w:link w:val="Formatvorlage1Zchn"/>
    <w:rsid w:val="00466F0C"/>
    <w:pPr>
      <w:numPr>
        <w:numId w:val="27"/>
      </w:numPr>
    </w:pPr>
    <w:rPr>
      <w:lang w:val="en-US"/>
    </w:rPr>
  </w:style>
  <w:style w:type="character" w:styleId="Platzhaltertext">
    <w:name w:val="Placeholder Text"/>
    <w:basedOn w:val="Absatz-Standardschriftart"/>
    <w:uiPriority w:val="99"/>
    <w:semiHidden/>
    <w:rsid w:val="00BF6948"/>
    <w:rPr>
      <w:color w:val="808080"/>
    </w:rPr>
  </w:style>
  <w:style w:type="character" w:customStyle="1" w:styleId="ListenabsatzZchn">
    <w:name w:val="Listenabsatz Zchn"/>
    <w:basedOn w:val="Absatz-Standardschriftart"/>
    <w:link w:val="Listenabsatz"/>
    <w:uiPriority w:val="34"/>
    <w:rsid w:val="00466F0C"/>
    <w:rPr>
      <w:rFonts w:ascii="Verdana" w:hAnsi="Verdana"/>
      <w:sz w:val="18"/>
      <w:szCs w:val="18"/>
      <w:lang w:val="de-AT"/>
    </w:rPr>
  </w:style>
  <w:style w:type="character" w:customStyle="1" w:styleId="Formatvorlage1Zchn">
    <w:name w:val="Formatvorlage1 Zchn"/>
    <w:basedOn w:val="ListenabsatzZchn"/>
    <w:link w:val="Formatvorlage1"/>
    <w:rsid w:val="00466F0C"/>
    <w:rPr>
      <w:rFonts w:ascii="Verdana" w:hAnsi="Verdana"/>
      <w:sz w:val="18"/>
      <w:szCs w:val="18"/>
      <w:lang w:val="de-AT"/>
    </w:rPr>
  </w:style>
  <w:style w:type="paragraph" w:styleId="Verzeichnis1">
    <w:name w:val="toc 1"/>
    <w:basedOn w:val="Standard"/>
    <w:next w:val="Standard"/>
    <w:autoRedefine/>
    <w:uiPriority w:val="39"/>
    <w:unhideWhenUsed/>
    <w:rsid w:val="002D7A47"/>
    <w:pPr>
      <w:spacing w:after="100"/>
    </w:pPr>
  </w:style>
  <w:style w:type="paragraph" w:styleId="Verzeichnis2">
    <w:name w:val="toc 2"/>
    <w:basedOn w:val="Standard"/>
    <w:next w:val="Standard"/>
    <w:autoRedefine/>
    <w:uiPriority w:val="39"/>
    <w:unhideWhenUsed/>
    <w:rsid w:val="002D7A47"/>
    <w:pPr>
      <w:spacing w:after="100"/>
      <w:ind w:left="180"/>
    </w:pPr>
  </w:style>
  <w:style w:type="paragraph" w:styleId="Beschriftung">
    <w:name w:val="caption"/>
    <w:basedOn w:val="Standard"/>
    <w:next w:val="Standard"/>
    <w:uiPriority w:val="35"/>
    <w:unhideWhenUsed/>
    <w:rsid w:val="00C60A34"/>
    <w:pPr>
      <w:spacing w:before="120" w:after="200" w:line="240" w:lineRule="auto"/>
    </w:pPr>
    <w:rPr>
      <w:bCs/>
    </w:rPr>
  </w:style>
  <w:style w:type="paragraph" w:styleId="Abbildungsverzeichnis">
    <w:name w:val="table of figures"/>
    <w:basedOn w:val="Standard"/>
    <w:next w:val="Standard"/>
    <w:link w:val="AbbildungsverzeichnisZchn"/>
    <w:uiPriority w:val="99"/>
    <w:unhideWhenUsed/>
    <w:rsid w:val="00466F0C"/>
  </w:style>
  <w:style w:type="paragraph" w:customStyle="1" w:styleId="SMTabelle">
    <w:name w:val="SM Tabelle"/>
    <w:basedOn w:val="Standard"/>
    <w:link w:val="SMTabelleZchn"/>
    <w:qFormat/>
    <w:rsid w:val="00005913"/>
    <w:pPr>
      <w:spacing w:after="0"/>
    </w:pPr>
    <w:rPr>
      <w:sz w:val="19"/>
      <w:lang w:val="en-US"/>
    </w:rPr>
  </w:style>
  <w:style w:type="character" w:customStyle="1" w:styleId="SMTabelleZchn">
    <w:name w:val="SM Tabelle Zchn"/>
    <w:basedOn w:val="Absatz-Standardschriftart"/>
    <w:link w:val="SMTabelle"/>
    <w:rsid w:val="00005913"/>
    <w:rPr>
      <w:rFonts w:ascii="Verdana" w:hAnsi="Verdana"/>
      <w:sz w:val="19"/>
      <w:szCs w:val="18"/>
    </w:rPr>
  </w:style>
  <w:style w:type="paragraph" w:styleId="StandardWeb">
    <w:name w:val="Normal (Web)"/>
    <w:basedOn w:val="Standard"/>
    <w:uiPriority w:val="99"/>
    <w:semiHidden/>
    <w:unhideWhenUsed/>
    <w:rsid w:val="009211FC"/>
    <w:pPr>
      <w:spacing w:before="100" w:beforeAutospacing="1" w:after="100" w:afterAutospacing="1" w:line="240" w:lineRule="auto"/>
      <w:jc w:val="left"/>
    </w:pPr>
    <w:rPr>
      <w:rFonts w:ascii="Times New Roman" w:eastAsiaTheme="minorEastAsia" w:hAnsi="Times New Roman" w:cs="Times New Roman"/>
      <w:sz w:val="24"/>
      <w:szCs w:val="24"/>
      <w:lang w:val="de-AT" w:eastAsia="de-AT" w:bidi="ar-SA"/>
    </w:rPr>
  </w:style>
  <w:style w:type="character" w:styleId="Hyperlink">
    <w:name w:val="Hyperlink"/>
    <w:basedOn w:val="Absatz-Standardschriftart"/>
    <w:uiPriority w:val="99"/>
    <w:unhideWhenUsed/>
    <w:rsid w:val="00C030F6"/>
    <w:rPr>
      <w:color w:val="0000FF" w:themeColor="hyperlink"/>
      <w:u w:val="single"/>
    </w:rPr>
  </w:style>
  <w:style w:type="paragraph" w:customStyle="1" w:styleId="Autor">
    <w:name w:val="Autor"/>
    <w:basedOn w:val="Standard"/>
    <w:link w:val="AutorZchn"/>
    <w:qFormat/>
    <w:rsid w:val="00FD7C44"/>
    <w:pPr>
      <w:jc w:val="center"/>
    </w:pPr>
  </w:style>
  <w:style w:type="paragraph" w:customStyle="1" w:styleId="SMLiteraturverzeichnis">
    <w:name w:val="SM Literaturverzeichnis"/>
    <w:basedOn w:val="Standard"/>
    <w:link w:val="SMLiteraturverzeichnisZchn"/>
    <w:qFormat/>
    <w:rsid w:val="00091138"/>
    <w:pPr>
      <w:spacing w:after="0"/>
      <w:ind w:left="720" w:hanging="720"/>
    </w:pPr>
    <w:rPr>
      <w:noProof/>
    </w:rPr>
  </w:style>
  <w:style w:type="character" w:customStyle="1" w:styleId="AutorZchn">
    <w:name w:val="Autor Zchn"/>
    <w:basedOn w:val="Absatz-Standardschriftart"/>
    <w:link w:val="Autor"/>
    <w:rsid w:val="00FD7C44"/>
    <w:rPr>
      <w:rFonts w:ascii="Verdana" w:hAnsi="Verdana"/>
      <w:sz w:val="21"/>
      <w:szCs w:val="18"/>
      <w:lang w:val="de-DE"/>
    </w:rPr>
  </w:style>
  <w:style w:type="character" w:customStyle="1" w:styleId="SMLiteraturverzeichnisZchn">
    <w:name w:val="SM Literaturverzeichnis Zchn"/>
    <w:basedOn w:val="Absatz-Standardschriftart"/>
    <w:link w:val="SMLiteraturverzeichnis"/>
    <w:rsid w:val="00091138"/>
    <w:rPr>
      <w:rFonts w:ascii="Verdana" w:hAnsi="Verdana"/>
      <w:noProof/>
      <w:sz w:val="21"/>
      <w:szCs w:val="18"/>
      <w:lang w:val="de-DE"/>
    </w:rPr>
  </w:style>
  <w:style w:type="character" w:styleId="Kommentarzeichen">
    <w:name w:val="annotation reference"/>
    <w:basedOn w:val="Absatz-Standardschriftart"/>
    <w:uiPriority w:val="99"/>
    <w:semiHidden/>
    <w:unhideWhenUsed/>
    <w:rsid w:val="00435D1B"/>
    <w:rPr>
      <w:sz w:val="16"/>
      <w:szCs w:val="16"/>
    </w:rPr>
  </w:style>
  <w:style w:type="paragraph" w:styleId="Kommentartext">
    <w:name w:val="annotation text"/>
    <w:basedOn w:val="Standard"/>
    <w:link w:val="KommentartextZchn"/>
    <w:uiPriority w:val="99"/>
    <w:semiHidden/>
    <w:unhideWhenUsed/>
    <w:rsid w:val="00435D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35D1B"/>
    <w:rPr>
      <w:rFonts w:ascii="Verdana" w:hAnsi="Verdana"/>
      <w:sz w:val="20"/>
      <w:szCs w:val="20"/>
      <w:lang w:val="de-DE"/>
    </w:rPr>
  </w:style>
  <w:style w:type="paragraph" w:styleId="Kommentarthema">
    <w:name w:val="annotation subject"/>
    <w:basedOn w:val="Kommentartext"/>
    <w:next w:val="Kommentartext"/>
    <w:link w:val="KommentarthemaZchn"/>
    <w:uiPriority w:val="99"/>
    <w:semiHidden/>
    <w:unhideWhenUsed/>
    <w:rsid w:val="00435D1B"/>
    <w:rPr>
      <w:b/>
      <w:bCs/>
    </w:rPr>
  </w:style>
  <w:style w:type="character" w:customStyle="1" w:styleId="KommentarthemaZchn">
    <w:name w:val="Kommentarthema Zchn"/>
    <w:basedOn w:val="KommentartextZchn"/>
    <w:link w:val="Kommentarthema"/>
    <w:uiPriority w:val="99"/>
    <w:semiHidden/>
    <w:rsid w:val="00435D1B"/>
    <w:rPr>
      <w:rFonts w:ascii="Verdana" w:hAnsi="Verdana"/>
      <w:b/>
      <w:bCs/>
      <w:sz w:val="20"/>
      <w:szCs w:val="20"/>
      <w:lang w:val="de-DE"/>
    </w:rPr>
  </w:style>
  <w:style w:type="paragraph" w:customStyle="1" w:styleId="SMVerzeichnisse">
    <w:name w:val="SM Verzeichnisse"/>
    <w:basedOn w:val="Abbildungsverzeichnis"/>
    <w:link w:val="SMVerzeichnisseZchn"/>
    <w:qFormat/>
    <w:rsid w:val="009D3C51"/>
    <w:pPr>
      <w:tabs>
        <w:tab w:val="left" w:pos="737"/>
        <w:tab w:val="right" w:leader="dot" w:pos="9062"/>
      </w:tabs>
      <w:spacing w:after="0"/>
    </w:pPr>
    <w:rPr>
      <w:noProof/>
    </w:rPr>
  </w:style>
  <w:style w:type="character" w:customStyle="1" w:styleId="AbbildungsverzeichnisZchn">
    <w:name w:val="Abbildungsverzeichnis Zchn"/>
    <w:basedOn w:val="Absatz-Standardschriftart"/>
    <w:link w:val="Abbildungsverzeichnis"/>
    <w:uiPriority w:val="99"/>
    <w:rsid w:val="001A6888"/>
    <w:rPr>
      <w:rFonts w:ascii="Verdana" w:hAnsi="Verdana"/>
      <w:sz w:val="21"/>
      <w:szCs w:val="18"/>
      <w:lang w:val="de-DE"/>
    </w:rPr>
  </w:style>
  <w:style w:type="character" w:customStyle="1" w:styleId="SMVerzeichnisseZchn">
    <w:name w:val="SM Verzeichnisse Zchn"/>
    <w:basedOn w:val="AbbildungsverzeichnisZchn"/>
    <w:link w:val="SMVerzeichnisse"/>
    <w:rsid w:val="009D3C51"/>
    <w:rPr>
      <w:rFonts w:ascii="Verdana" w:hAnsi="Verdana"/>
      <w:noProof/>
      <w:sz w:val="21"/>
      <w:szCs w:val="18"/>
      <w:lang w:val="de-DE"/>
    </w:rPr>
  </w:style>
  <w:style w:type="paragraph" w:styleId="Index1">
    <w:name w:val="index 1"/>
    <w:basedOn w:val="Standard"/>
    <w:next w:val="Standard"/>
    <w:autoRedefine/>
    <w:uiPriority w:val="99"/>
    <w:semiHidden/>
    <w:unhideWhenUsed/>
    <w:rsid w:val="009D3C51"/>
    <w:pPr>
      <w:spacing w:after="0" w:line="240" w:lineRule="auto"/>
      <w:ind w:left="210" w:hanging="210"/>
    </w:pPr>
  </w:style>
  <w:style w:type="paragraph" w:customStyle="1" w:styleId="SMBeschriftung">
    <w:name w:val="SM Beschriftung"/>
    <w:basedOn w:val="Standard"/>
    <w:link w:val="SMBeschriftungZchn"/>
    <w:qFormat/>
    <w:rsid w:val="00B77C37"/>
    <w:pPr>
      <w:jc w:val="center"/>
    </w:pPr>
    <w:rPr>
      <w:sz w:val="19"/>
    </w:rPr>
  </w:style>
  <w:style w:type="character" w:customStyle="1" w:styleId="SMBeschriftungZchn">
    <w:name w:val="SM Beschriftung Zchn"/>
    <w:basedOn w:val="Absatz-Standardschriftart"/>
    <w:link w:val="SMBeschriftung"/>
    <w:rsid w:val="00B77C37"/>
    <w:rPr>
      <w:rFonts w:ascii="Verdana" w:hAnsi="Verdana"/>
      <w:sz w:val="19"/>
      <w:szCs w:val="18"/>
      <w:lang w:val="de-DE"/>
    </w:rPr>
  </w:style>
  <w:style w:type="paragraph" w:styleId="HTMLVorformatiert">
    <w:name w:val="HTML Preformatted"/>
    <w:basedOn w:val="Standard"/>
    <w:link w:val="HTMLVorformatiertZchn"/>
    <w:uiPriority w:val="99"/>
    <w:semiHidden/>
    <w:unhideWhenUsed/>
    <w:rsid w:val="00690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val="de-AT" w:eastAsia="de-AT" w:bidi="ar-SA"/>
    </w:rPr>
  </w:style>
  <w:style w:type="character" w:customStyle="1" w:styleId="HTMLVorformatiertZchn">
    <w:name w:val="HTML Vorformatiert Zchn"/>
    <w:basedOn w:val="Absatz-Standardschriftart"/>
    <w:link w:val="HTMLVorformatiert"/>
    <w:uiPriority w:val="99"/>
    <w:semiHidden/>
    <w:rsid w:val="00690E7E"/>
    <w:rPr>
      <w:rFonts w:ascii="Courier New" w:eastAsia="Times New Roman" w:hAnsi="Courier New" w:cs="Courier New"/>
      <w:sz w:val="20"/>
      <w:szCs w:val="20"/>
      <w:lang w:val="de-AT" w:eastAsia="de-AT" w:bidi="ar-SA"/>
    </w:rPr>
  </w:style>
  <w:style w:type="paragraph" w:customStyle="1" w:styleId="EndNoteBibliographyTitle">
    <w:name w:val="EndNote Bibliography Title"/>
    <w:basedOn w:val="Standard"/>
    <w:link w:val="EndNoteBibliographyTitleZchn"/>
    <w:rsid w:val="00BE130D"/>
    <w:pPr>
      <w:spacing w:after="0"/>
      <w:jc w:val="center"/>
    </w:pPr>
    <w:rPr>
      <w:noProof/>
      <w:sz w:val="20"/>
      <w:lang w:val="en-US"/>
    </w:rPr>
  </w:style>
  <w:style w:type="character" w:customStyle="1" w:styleId="EndNoteBibliographyTitleZchn">
    <w:name w:val="EndNote Bibliography Title Zchn"/>
    <w:basedOn w:val="SMLiteraturverzeichnisZchn"/>
    <w:link w:val="EndNoteBibliographyTitle"/>
    <w:rsid w:val="00BE130D"/>
    <w:rPr>
      <w:rFonts w:ascii="Verdana" w:hAnsi="Verdana"/>
      <w:noProof/>
      <w:sz w:val="20"/>
      <w:szCs w:val="18"/>
      <w:lang w:val="de-DE"/>
    </w:rPr>
  </w:style>
  <w:style w:type="paragraph" w:customStyle="1" w:styleId="EndNoteBibliography">
    <w:name w:val="EndNote Bibliography"/>
    <w:basedOn w:val="Standard"/>
    <w:link w:val="EndNoteBibliographyZchn"/>
    <w:rsid w:val="00BE130D"/>
    <w:pPr>
      <w:spacing w:line="240" w:lineRule="auto"/>
    </w:pPr>
    <w:rPr>
      <w:noProof/>
      <w:sz w:val="20"/>
      <w:lang w:val="en-US"/>
    </w:rPr>
  </w:style>
  <w:style w:type="character" w:customStyle="1" w:styleId="EndNoteBibliographyZchn">
    <w:name w:val="EndNote Bibliography Zchn"/>
    <w:basedOn w:val="SMLiteraturverzeichnisZchn"/>
    <w:link w:val="EndNoteBibliography"/>
    <w:rsid w:val="00BE130D"/>
    <w:rPr>
      <w:rFonts w:ascii="Verdana" w:hAnsi="Verdana"/>
      <w:noProof/>
      <w:sz w:val="20"/>
      <w:szCs w:val="18"/>
      <w:lang w:val="de-DE"/>
    </w:rPr>
  </w:style>
  <w:style w:type="character" w:customStyle="1" w:styleId="NichtaufgelsteErwhnung1">
    <w:name w:val="Nicht aufgelöste Erwähnung1"/>
    <w:basedOn w:val="Absatz-Standardschriftart"/>
    <w:uiPriority w:val="99"/>
    <w:semiHidden/>
    <w:unhideWhenUsed/>
    <w:rsid w:val="00CF0648"/>
    <w:rPr>
      <w:color w:val="605E5C"/>
      <w:shd w:val="clear" w:color="auto" w:fill="E1DFDD"/>
    </w:rPr>
  </w:style>
  <w:style w:type="paragraph" w:styleId="Verzeichnis3">
    <w:name w:val="toc 3"/>
    <w:basedOn w:val="Standard"/>
    <w:next w:val="Standard"/>
    <w:autoRedefine/>
    <w:uiPriority w:val="39"/>
    <w:unhideWhenUsed/>
    <w:rsid w:val="0017061E"/>
    <w:pPr>
      <w:spacing w:after="100"/>
      <w:ind w:left="420"/>
    </w:pPr>
  </w:style>
  <w:style w:type="character" w:styleId="BesuchterHyperlink">
    <w:name w:val="FollowedHyperlink"/>
    <w:basedOn w:val="Absatz-Standardschriftart"/>
    <w:uiPriority w:val="99"/>
    <w:semiHidden/>
    <w:unhideWhenUsed/>
    <w:rsid w:val="006B4EF1"/>
    <w:rPr>
      <w:color w:val="800080" w:themeColor="followedHyperlink"/>
      <w:u w:val="single"/>
    </w:rPr>
  </w:style>
  <w:style w:type="character" w:customStyle="1" w:styleId="UnresolvedMention">
    <w:name w:val="Unresolved Mention"/>
    <w:basedOn w:val="Absatz-Standardschriftart"/>
    <w:uiPriority w:val="99"/>
    <w:semiHidden/>
    <w:unhideWhenUsed/>
    <w:rsid w:val="00A00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7893">
      <w:bodyDiv w:val="1"/>
      <w:marLeft w:val="0"/>
      <w:marRight w:val="0"/>
      <w:marTop w:val="0"/>
      <w:marBottom w:val="0"/>
      <w:divBdr>
        <w:top w:val="none" w:sz="0" w:space="0" w:color="auto"/>
        <w:left w:val="none" w:sz="0" w:space="0" w:color="auto"/>
        <w:bottom w:val="none" w:sz="0" w:space="0" w:color="auto"/>
        <w:right w:val="none" w:sz="0" w:space="0" w:color="auto"/>
      </w:divBdr>
    </w:div>
    <w:div w:id="225721954">
      <w:bodyDiv w:val="1"/>
      <w:marLeft w:val="0"/>
      <w:marRight w:val="0"/>
      <w:marTop w:val="0"/>
      <w:marBottom w:val="0"/>
      <w:divBdr>
        <w:top w:val="none" w:sz="0" w:space="0" w:color="auto"/>
        <w:left w:val="none" w:sz="0" w:space="0" w:color="auto"/>
        <w:bottom w:val="none" w:sz="0" w:space="0" w:color="auto"/>
        <w:right w:val="none" w:sz="0" w:space="0" w:color="auto"/>
      </w:divBdr>
    </w:div>
    <w:div w:id="227573344">
      <w:bodyDiv w:val="1"/>
      <w:marLeft w:val="0"/>
      <w:marRight w:val="0"/>
      <w:marTop w:val="0"/>
      <w:marBottom w:val="0"/>
      <w:divBdr>
        <w:top w:val="none" w:sz="0" w:space="0" w:color="auto"/>
        <w:left w:val="none" w:sz="0" w:space="0" w:color="auto"/>
        <w:bottom w:val="none" w:sz="0" w:space="0" w:color="auto"/>
        <w:right w:val="none" w:sz="0" w:space="0" w:color="auto"/>
      </w:divBdr>
    </w:div>
    <w:div w:id="297301306">
      <w:bodyDiv w:val="1"/>
      <w:marLeft w:val="0"/>
      <w:marRight w:val="0"/>
      <w:marTop w:val="0"/>
      <w:marBottom w:val="0"/>
      <w:divBdr>
        <w:top w:val="none" w:sz="0" w:space="0" w:color="auto"/>
        <w:left w:val="none" w:sz="0" w:space="0" w:color="auto"/>
        <w:bottom w:val="none" w:sz="0" w:space="0" w:color="auto"/>
        <w:right w:val="none" w:sz="0" w:space="0" w:color="auto"/>
      </w:divBdr>
    </w:div>
    <w:div w:id="824513950">
      <w:bodyDiv w:val="1"/>
      <w:marLeft w:val="0"/>
      <w:marRight w:val="0"/>
      <w:marTop w:val="0"/>
      <w:marBottom w:val="0"/>
      <w:divBdr>
        <w:top w:val="none" w:sz="0" w:space="0" w:color="auto"/>
        <w:left w:val="none" w:sz="0" w:space="0" w:color="auto"/>
        <w:bottom w:val="none" w:sz="0" w:space="0" w:color="auto"/>
        <w:right w:val="none" w:sz="0" w:space="0" w:color="auto"/>
      </w:divBdr>
    </w:div>
    <w:div w:id="883910995">
      <w:bodyDiv w:val="1"/>
      <w:marLeft w:val="0"/>
      <w:marRight w:val="0"/>
      <w:marTop w:val="0"/>
      <w:marBottom w:val="0"/>
      <w:divBdr>
        <w:top w:val="none" w:sz="0" w:space="0" w:color="auto"/>
        <w:left w:val="none" w:sz="0" w:space="0" w:color="auto"/>
        <w:bottom w:val="none" w:sz="0" w:space="0" w:color="auto"/>
        <w:right w:val="none" w:sz="0" w:space="0" w:color="auto"/>
      </w:divBdr>
    </w:div>
    <w:div w:id="1182552563">
      <w:bodyDiv w:val="1"/>
      <w:marLeft w:val="0"/>
      <w:marRight w:val="0"/>
      <w:marTop w:val="0"/>
      <w:marBottom w:val="0"/>
      <w:divBdr>
        <w:top w:val="none" w:sz="0" w:space="0" w:color="auto"/>
        <w:left w:val="none" w:sz="0" w:space="0" w:color="auto"/>
        <w:bottom w:val="none" w:sz="0" w:space="0" w:color="auto"/>
        <w:right w:val="none" w:sz="0" w:space="0" w:color="auto"/>
      </w:divBdr>
    </w:div>
    <w:div w:id="1240292409">
      <w:bodyDiv w:val="1"/>
      <w:marLeft w:val="0"/>
      <w:marRight w:val="0"/>
      <w:marTop w:val="0"/>
      <w:marBottom w:val="0"/>
      <w:divBdr>
        <w:top w:val="none" w:sz="0" w:space="0" w:color="auto"/>
        <w:left w:val="none" w:sz="0" w:space="0" w:color="auto"/>
        <w:bottom w:val="none" w:sz="0" w:space="0" w:color="auto"/>
        <w:right w:val="none" w:sz="0" w:space="0" w:color="auto"/>
      </w:divBdr>
    </w:div>
    <w:div w:id="1598100246">
      <w:bodyDiv w:val="1"/>
      <w:marLeft w:val="0"/>
      <w:marRight w:val="0"/>
      <w:marTop w:val="0"/>
      <w:marBottom w:val="0"/>
      <w:divBdr>
        <w:top w:val="none" w:sz="0" w:space="0" w:color="auto"/>
        <w:left w:val="none" w:sz="0" w:space="0" w:color="auto"/>
        <w:bottom w:val="none" w:sz="0" w:space="0" w:color="auto"/>
        <w:right w:val="none" w:sz="0" w:space="0" w:color="auto"/>
      </w:divBdr>
    </w:div>
    <w:div w:id="1663922675">
      <w:bodyDiv w:val="1"/>
      <w:marLeft w:val="0"/>
      <w:marRight w:val="0"/>
      <w:marTop w:val="0"/>
      <w:marBottom w:val="0"/>
      <w:divBdr>
        <w:top w:val="none" w:sz="0" w:space="0" w:color="auto"/>
        <w:left w:val="none" w:sz="0" w:space="0" w:color="auto"/>
        <w:bottom w:val="none" w:sz="0" w:space="0" w:color="auto"/>
        <w:right w:val="none" w:sz="0" w:space="0" w:color="auto"/>
      </w:divBdr>
    </w:div>
    <w:div w:id="1963147571">
      <w:bodyDiv w:val="1"/>
      <w:marLeft w:val="0"/>
      <w:marRight w:val="0"/>
      <w:marTop w:val="0"/>
      <w:marBottom w:val="0"/>
      <w:divBdr>
        <w:top w:val="none" w:sz="0" w:space="0" w:color="auto"/>
        <w:left w:val="none" w:sz="0" w:space="0" w:color="auto"/>
        <w:bottom w:val="none" w:sz="0" w:space="0" w:color="auto"/>
        <w:right w:val="none" w:sz="0" w:space="0" w:color="auto"/>
      </w:divBdr>
    </w:div>
    <w:div w:id="1964800474">
      <w:bodyDiv w:val="1"/>
      <w:marLeft w:val="0"/>
      <w:marRight w:val="0"/>
      <w:marTop w:val="0"/>
      <w:marBottom w:val="0"/>
      <w:divBdr>
        <w:top w:val="none" w:sz="0" w:space="0" w:color="auto"/>
        <w:left w:val="none" w:sz="0" w:space="0" w:color="auto"/>
        <w:bottom w:val="none" w:sz="0" w:space="0" w:color="auto"/>
        <w:right w:val="none" w:sz="0" w:space="0" w:color="auto"/>
      </w:divBdr>
    </w:div>
    <w:div w:id="2046247254">
      <w:bodyDiv w:val="1"/>
      <w:marLeft w:val="0"/>
      <w:marRight w:val="0"/>
      <w:marTop w:val="0"/>
      <w:marBottom w:val="0"/>
      <w:divBdr>
        <w:top w:val="none" w:sz="0" w:space="0" w:color="auto"/>
        <w:left w:val="none" w:sz="0" w:space="0" w:color="auto"/>
        <w:bottom w:val="none" w:sz="0" w:space="0" w:color="auto"/>
        <w:right w:val="none" w:sz="0" w:space="0" w:color="auto"/>
      </w:divBdr>
    </w:div>
    <w:div w:id="2048480671">
      <w:bodyDiv w:val="1"/>
      <w:marLeft w:val="0"/>
      <w:marRight w:val="0"/>
      <w:marTop w:val="0"/>
      <w:marBottom w:val="0"/>
      <w:divBdr>
        <w:top w:val="none" w:sz="0" w:space="0" w:color="auto"/>
        <w:left w:val="none" w:sz="0" w:space="0" w:color="auto"/>
        <w:bottom w:val="none" w:sz="0" w:space="0" w:color="auto"/>
        <w:right w:val="none" w:sz="0" w:space="0" w:color="auto"/>
      </w:divBdr>
    </w:div>
    <w:div w:id="212785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gedaten.at/php/cms_monitor.php?q=SEMINARE" TargetMode="External"/><Relationship Id="rId18" Type="http://schemas.openxmlformats.org/officeDocument/2006/relationships/hyperlink" Target="https://policies.google.com/privacy?hl=de" TargetMode="External"/><Relationship Id="rId26" Type="http://schemas.openxmlformats.org/officeDocument/2006/relationships/hyperlink" Target="https://www.golem.de/0804/58721.html" TargetMode="External"/><Relationship Id="rId3" Type="http://schemas.openxmlformats.org/officeDocument/2006/relationships/styles" Target="styles.xml"/><Relationship Id="rId21" Type="http://schemas.openxmlformats.org/officeDocument/2006/relationships/hyperlink" Target="https://www.cookiebot.com/d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gedaten.at/php/cms_monitor.php?q=PUB-TEXT-ARGEDATEN&amp;s=08649kjo" TargetMode="External"/><Relationship Id="rId17" Type="http://schemas.openxmlformats.org/officeDocument/2006/relationships/hyperlink" Target="https://www.gdd.de/gdd-arbeitshilfen" TargetMode="External"/><Relationship Id="rId25" Type="http://schemas.openxmlformats.org/officeDocument/2006/relationships/hyperlink" Target="https://data.verifiedjoseph.com/dataset/websites-not-available-eu-gdp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oe.int/de/web/conventions/full-list/-/conventions/treaty/223/signatures" TargetMode="External"/><Relationship Id="rId20" Type="http://schemas.openxmlformats.org/officeDocument/2006/relationships/hyperlink" Target="https://www.heise.de/newsticker/meldung/DSGVO-US-Nachrichtenseiten-sperren-Europaeer-aus-4058457.html" TargetMode="External"/><Relationship Id="rId29" Type="http://schemas.openxmlformats.org/officeDocument/2006/relationships/hyperlink" Target="https://tim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andelsblatt.com/politik/deutschland/datenschutzgrundverordnung-behoerden-verhaengen-erste-bussgelder-wegen-verstoessen-gegen-dsgvo/23872806.html?ticket=ST-2168517-aN6wCdMplvSkk6DIkZxq-ap3" TargetMode="External"/><Relationship Id="rId24" Type="http://schemas.openxmlformats.org/officeDocument/2006/relationships/hyperlink" Target="https://noyb.eu/faqs/?lang=de" TargetMode="External"/><Relationship Id="rId32" Type="http://schemas.openxmlformats.org/officeDocument/2006/relationships/hyperlink" Target="https://www.wko.at/service/wirtschaftsrecht-gewerberecht/EU-Datenschutz-Grundverordnung.html" TargetMode="External"/><Relationship Id="rId5" Type="http://schemas.openxmlformats.org/officeDocument/2006/relationships/webSettings" Target="webSettings.xml"/><Relationship Id="rId15" Type="http://schemas.openxmlformats.org/officeDocument/2006/relationships/hyperlink" Target="https://www.bfi-ooe.at/de/kurssuche/erweiterte-kurssuche/2018l-l-176702.html" TargetMode="External"/><Relationship Id="rId23" Type="http://schemas.openxmlformats.org/officeDocument/2006/relationships/hyperlink" Target="https://www.theguardian.com/world/2013/jun/09/nsa-whistleblower-edward-snowden-why" TargetMode="External"/><Relationship Id="rId28" Type="http://schemas.openxmlformats.org/officeDocument/2006/relationships/hyperlink" Target="https://www.golem.de/news/dsgvo-mehr-datenschutzbewusstsein-und-mehr-offene-fragen-1812-138438.html" TargetMode="External"/><Relationship Id="rId10" Type="http://schemas.openxmlformats.org/officeDocument/2006/relationships/image" Target="media/image2.png"/><Relationship Id="rId19" Type="http://schemas.openxmlformats.org/officeDocument/2006/relationships/hyperlink" Target="https://support.google.com/analytics/answer/2763052?hl=de" TargetMode="External"/><Relationship Id="rId31" Type="http://schemas.openxmlformats.org/officeDocument/2006/relationships/hyperlink" Target="https://www.wifi.at/kursbuch/it/datenschutzbeauftragte/datenschutzbeauftragter-ausbildu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argedaten.at/datenschutzbeauftragter.html" TargetMode="External"/><Relationship Id="rId22" Type="http://schemas.openxmlformats.org/officeDocument/2006/relationships/hyperlink" Target="https://blog.mozilla.org/internetcitizen/de/2018/08/31/so-stehen-wir-bei-mozilla-zu-deiner-privatsphaere/" TargetMode="External"/><Relationship Id="rId27" Type="http://schemas.openxmlformats.org/officeDocument/2006/relationships/hyperlink" Target="https://www.focus.de/politik/ausland/kritik-an-eu-kommissarin-reding-recht-auf-vergessen-finden-piraten-naiv_aid_706930.html" TargetMode="External"/><Relationship Id="rId30" Type="http://schemas.openxmlformats.org/officeDocument/2006/relationships/hyperlink" Target="https://www.tuev-nord.de/de/weiterbildung/themen/datenschutz/" TargetMode="External"/><Relationship Id="rId8"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3A0E0-ECDF-4A02-B65F-C84DA761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24657</Words>
  <Characters>155343</Characters>
  <Application>Microsoft Office Word</Application>
  <DocSecurity>0</DocSecurity>
  <Lines>1294</Lines>
  <Paragraphs>359</Paragraphs>
  <ScaleCrop>false</ScaleCrop>
  <HeadingPairs>
    <vt:vector size="2" baseType="variant">
      <vt:variant>
        <vt:lpstr>Titel</vt:lpstr>
      </vt:variant>
      <vt:variant>
        <vt:i4>1</vt:i4>
      </vt:variant>
    </vt:vector>
  </HeadingPairs>
  <TitlesOfParts>
    <vt:vector size="1" baseType="lpstr">
      <vt:lpstr/>
    </vt:vector>
  </TitlesOfParts>
  <Company>WU-Wien</Company>
  <LinksUpToDate>false</LinksUpToDate>
  <CharactersWithSpaces>179641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Sebastian Berloffa</dc:creator>
  <cp:lastModifiedBy>Sebastian</cp:lastModifiedBy>
  <cp:revision>15</cp:revision>
  <cp:lastPrinted>2019-06-19T17:56:00Z</cp:lastPrinted>
  <dcterms:created xsi:type="dcterms:W3CDTF">2019-06-19T09:24:00Z</dcterms:created>
  <dcterms:modified xsi:type="dcterms:W3CDTF">2019-06-19T17:57:00Z</dcterms:modified>
</cp:coreProperties>
</file>