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AD7" w:rsidRDefault="00113904" w:rsidP="006126DF">
      <w:pPr>
        <w:spacing w:line="360" w:lineRule="auto"/>
        <w:ind w:left="360" w:hanging="360"/>
        <w:jc w:val="both"/>
        <w:rPr>
          <w:b/>
          <w:sz w:val="32"/>
        </w:rPr>
      </w:pPr>
      <w:r w:rsidRPr="00113904">
        <w:rPr>
          <w:b/>
          <w:noProof/>
          <w:sz w:val="32"/>
        </w:rPr>
        <w:drawing>
          <wp:anchor distT="0" distB="0" distL="114300" distR="114300" simplePos="0" relativeHeight="251659264" behindDoc="0" locked="0" layoutInCell="1" allowOverlap="1">
            <wp:simplePos x="0" y="0"/>
            <wp:positionH relativeFrom="margin">
              <wp:posOffset>3824605</wp:posOffset>
            </wp:positionH>
            <wp:positionV relativeFrom="margin">
              <wp:posOffset>1905</wp:posOffset>
            </wp:positionV>
            <wp:extent cx="1930400" cy="965200"/>
            <wp:effectExtent l="0" t="0" r="0" b="0"/>
            <wp:wrapSquare wrapText="bothSides"/>
            <wp:docPr id="13" name="Grafik 13" descr="/var/folders/ld/49b16mc129sg4qqc395l59x00000gp/T/com.microsoft.Word/Content.MSO/55845B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r/folders/ld/49b16mc129sg4qqc395l59x00000gp/T/com.microsoft.Word/Content.MSO/55845B64.tmp"/>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93040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3904" w:rsidRPr="00113904" w:rsidRDefault="00113904" w:rsidP="00113904"/>
    <w:p w:rsidR="009A3AD7" w:rsidRDefault="009A3AD7" w:rsidP="006126DF">
      <w:pPr>
        <w:spacing w:line="360" w:lineRule="auto"/>
        <w:ind w:left="360" w:hanging="360"/>
        <w:jc w:val="both"/>
        <w:rPr>
          <w:b/>
          <w:sz w:val="32"/>
        </w:rPr>
      </w:pPr>
    </w:p>
    <w:p w:rsidR="009A3AD7" w:rsidRDefault="009A3AD7" w:rsidP="006126DF">
      <w:pPr>
        <w:spacing w:line="360" w:lineRule="auto"/>
        <w:ind w:left="360" w:hanging="360"/>
        <w:jc w:val="both"/>
        <w:rPr>
          <w:b/>
          <w:sz w:val="32"/>
        </w:rPr>
      </w:pPr>
    </w:p>
    <w:p w:rsidR="00113904" w:rsidRDefault="00113904" w:rsidP="009A3AD7">
      <w:pPr>
        <w:spacing w:line="360" w:lineRule="auto"/>
        <w:ind w:left="360" w:hanging="360"/>
        <w:jc w:val="center"/>
        <w:rPr>
          <w:sz w:val="28"/>
        </w:rPr>
      </w:pPr>
    </w:p>
    <w:p w:rsidR="00113904" w:rsidRDefault="00113904" w:rsidP="009A3AD7">
      <w:pPr>
        <w:spacing w:line="360" w:lineRule="auto"/>
        <w:ind w:left="360" w:hanging="360"/>
        <w:jc w:val="center"/>
        <w:rPr>
          <w:sz w:val="28"/>
        </w:rPr>
      </w:pPr>
    </w:p>
    <w:p w:rsidR="009A3AD7" w:rsidRPr="001E31CF" w:rsidRDefault="009A3AD7" w:rsidP="009A3AD7">
      <w:pPr>
        <w:spacing w:line="360" w:lineRule="auto"/>
        <w:ind w:left="360" w:hanging="360"/>
        <w:jc w:val="center"/>
        <w:rPr>
          <w:rFonts w:ascii="Calibri" w:hAnsi="Calibri"/>
          <w:sz w:val="28"/>
        </w:rPr>
      </w:pPr>
      <w:r w:rsidRPr="001E31CF">
        <w:rPr>
          <w:rFonts w:ascii="Calibri" w:hAnsi="Calibri"/>
          <w:sz w:val="28"/>
        </w:rPr>
        <w:t>Seminararbeit</w:t>
      </w:r>
    </w:p>
    <w:p w:rsidR="009A3AD7" w:rsidRPr="001E31CF" w:rsidRDefault="009A3AD7" w:rsidP="009A3AD7">
      <w:pPr>
        <w:spacing w:line="360" w:lineRule="auto"/>
        <w:ind w:left="360" w:hanging="360"/>
        <w:jc w:val="center"/>
        <w:rPr>
          <w:rFonts w:ascii="Calibri" w:hAnsi="Calibri"/>
          <w:b/>
          <w:sz w:val="32"/>
        </w:rPr>
      </w:pPr>
    </w:p>
    <w:p w:rsidR="009A3AD7" w:rsidRPr="001E31CF" w:rsidRDefault="009A3AD7" w:rsidP="009A3AD7">
      <w:pPr>
        <w:spacing w:line="360" w:lineRule="auto"/>
        <w:ind w:left="360" w:hanging="360"/>
        <w:jc w:val="center"/>
        <w:rPr>
          <w:rFonts w:ascii="Calibri" w:hAnsi="Calibri"/>
          <w:b/>
          <w:sz w:val="32"/>
        </w:rPr>
      </w:pPr>
    </w:p>
    <w:p w:rsidR="00113904" w:rsidRPr="001E31CF" w:rsidRDefault="009A3AD7" w:rsidP="00113904">
      <w:pPr>
        <w:spacing w:line="360" w:lineRule="auto"/>
        <w:ind w:left="360" w:hanging="360"/>
        <w:jc w:val="center"/>
        <w:rPr>
          <w:rFonts w:ascii="Calibri" w:hAnsi="Calibri"/>
          <w:b/>
          <w:sz w:val="36"/>
        </w:rPr>
      </w:pPr>
      <w:r w:rsidRPr="001E31CF">
        <w:rPr>
          <w:rFonts w:ascii="Calibri" w:hAnsi="Calibri"/>
          <w:b/>
          <w:sz w:val="36"/>
        </w:rPr>
        <w:t xml:space="preserve">Kritische Evaluierung von Bankgebühren im </w:t>
      </w:r>
    </w:p>
    <w:p w:rsidR="009A3AD7" w:rsidRPr="001E31CF" w:rsidRDefault="009A3AD7" w:rsidP="00113904">
      <w:pPr>
        <w:spacing w:line="360" w:lineRule="auto"/>
        <w:ind w:left="360" w:hanging="360"/>
        <w:jc w:val="center"/>
        <w:rPr>
          <w:rFonts w:ascii="Calibri" w:hAnsi="Calibri"/>
          <w:b/>
          <w:sz w:val="36"/>
        </w:rPr>
      </w:pPr>
      <w:r w:rsidRPr="001E31CF">
        <w:rPr>
          <w:rFonts w:ascii="Calibri" w:hAnsi="Calibri"/>
          <w:b/>
          <w:sz w:val="36"/>
        </w:rPr>
        <w:t>Zeitalter</w:t>
      </w:r>
      <w:r w:rsidR="00113904" w:rsidRPr="001E31CF">
        <w:rPr>
          <w:rFonts w:ascii="Calibri" w:hAnsi="Calibri"/>
          <w:b/>
          <w:sz w:val="36"/>
        </w:rPr>
        <w:t xml:space="preserve"> </w:t>
      </w:r>
      <w:r w:rsidRPr="001E31CF">
        <w:rPr>
          <w:rFonts w:ascii="Calibri" w:hAnsi="Calibri"/>
          <w:b/>
          <w:sz w:val="36"/>
        </w:rPr>
        <w:t>hochgradiger Automatisation und Selbstbedienung</w:t>
      </w:r>
    </w:p>
    <w:p w:rsidR="009A3AD7" w:rsidRPr="001E31CF" w:rsidRDefault="009A3AD7" w:rsidP="006126DF">
      <w:pPr>
        <w:spacing w:line="360" w:lineRule="auto"/>
        <w:ind w:left="360" w:hanging="360"/>
        <w:jc w:val="both"/>
        <w:rPr>
          <w:rFonts w:ascii="Calibri" w:hAnsi="Calibri"/>
          <w:b/>
          <w:sz w:val="32"/>
        </w:rPr>
      </w:pPr>
    </w:p>
    <w:p w:rsidR="009A3AD7" w:rsidRPr="001E31CF" w:rsidRDefault="009A3AD7" w:rsidP="009A3AD7">
      <w:pPr>
        <w:spacing w:line="360" w:lineRule="auto"/>
        <w:ind w:left="360" w:hanging="360"/>
        <w:jc w:val="center"/>
        <w:rPr>
          <w:rFonts w:ascii="Calibri" w:hAnsi="Calibri"/>
        </w:rPr>
      </w:pPr>
      <w:r w:rsidRPr="001E31CF">
        <w:rPr>
          <w:rFonts w:ascii="Calibri" w:hAnsi="Calibri"/>
        </w:rPr>
        <w:t>von</w:t>
      </w:r>
    </w:p>
    <w:p w:rsidR="009A3AD7" w:rsidRPr="001E31CF" w:rsidRDefault="009A3AD7" w:rsidP="009A3AD7">
      <w:pPr>
        <w:spacing w:line="360" w:lineRule="auto"/>
        <w:ind w:left="360" w:hanging="360"/>
        <w:jc w:val="center"/>
        <w:rPr>
          <w:rFonts w:ascii="Calibri" w:hAnsi="Calibri"/>
          <w:b/>
          <w:sz w:val="28"/>
        </w:rPr>
      </w:pPr>
      <w:r w:rsidRPr="001E31CF">
        <w:rPr>
          <w:rFonts w:ascii="Calibri" w:hAnsi="Calibri"/>
          <w:b/>
          <w:sz w:val="28"/>
        </w:rPr>
        <w:t>John Westphal (h1628820)</w:t>
      </w:r>
    </w:p>
    <w:p w:rsidR="009A3AD7" w:rsidRPr="001E31CF" w:rsidRDefault="009A3AD7" w:rsidP="009A3AD7">
      <w:pPr>
        <w:spacing w:line="360" w:lineRule="auto"/>
        <w:ind w:left="360" w:hanging="360"/>
        <w:jc w:val="center"/>
        <w:rPr>
          <w:rFonts w:ascii="Calibri" w:hAnsi="Calibri"/>
        </w:rPr>
      </w:pPr>
    </w:p>
    <w:p w:rsidR="00113904" w:rsidRPr="001E31CF" w:rsidRDefault="00113904" w:rsidP="009A3AD7">
      <w:pPr>
        <w:spacing w:line="360" w:lineRule="auto"/>
        <w:ind w:left="360" w:hanging="360"/>
        <w:jc w:val="center"/>
        <w:rPr>
          <w:rFonts w:ascii="Calibri" w:hAnsi="Calibri"/>
        </w:rPr>
      </w:pPr>
    </w:p>
    <w:p w:rsidR="009A3AD7" w:rsidRPr="001E31CF" w:rsidRDefault="009A3AD7" w:rsidP="009A3AD7">
      <w:pPr>
        <w:spacing w:line="360" w:lineRule="auto"/>
        <w:ind w:left="360" w:hanging="360"/>
        <w:jc w:val="center"/>
        <w:rPr>
          <w:rFonts w:ascii="Calibri" w:hAnsi="Calibri"/>
        </w:rPr>
      </w:pPr>
      <w:r w:rsidRPr="001E31CF">
        <w:rPr>
          <w:rFonts w:ascii="Calibri" w:hAnsi="Calibri"/>
        </w:rPr>
        <w:t xml:space="preserve">Eingereicht am </w:t>
      </w:r>
    </w:p>
    <w:p w:rsidR="009A3AD7" w:rsidRPr="001E31CF" w:rsidRDefault="009A3AD7" w:rsidP="009A3AD7">
      <w:pPr>
        <w:spacing w:line="360" w:lineRule="auto"/>
        <w:ind w:left="360" w:hanging="360"/>
        <w:jc w:val="center"/>
        <w:rPr>
          <w:rFonts w:ascii="Calibri" w:hAnsi="Calibri"/>
        </w:rPr>
      </w:pPr>
      <w:r w:rsidRPr="001E31CF">
        <w:rPr>
          <w:rFonts w:ascii="Calibri" w:hAnsi="Calibri"/>
        </w:rPr>
        <w:t>19.06.2019</w:t>
      </w:r>
    </w:p>
    <w:p w:rsidR="009A3AD7" w:rsidRPr="001E31CF" w:rsidRDefault="009A3AD7" w:rsidP="009A3AD7">
      <w:pPr>
        <w:spacing w:line="360" w:lineRule="auto"/>
        <w:ind w:left="360" w:hanging="360"/>
        <w:jc w:val="center"/>
        <w:rPr>
          <w:rFonts w:ascii="Calibri" w:hAnsi="Calibri"/>
        </w:rPr>
      </w:pPr>
    </w:p>
    <w:p w:rsidR="00113904" w:rsidRPr="001E31CF" w:rsidRDefault="00113904" w:rsidP="009A3AD7">
      <w:pPr>
        <w:spacing w:line="360" w:lineRule="auto"/>
        <w:ind w:left="360" w:hanging="360"/>
        <w:jc w:val="center"/>
        <w:rPr>
          <w:rFonts w:ascii="Calibri" w:hAnsi="Calibri"/>
        </w:rPr>
      </w:pPr>
    </w:p>
    <w:p w:rsidR="009A3AD7" w:rsidRPr="001E31CF" w:rsidRDefault="009A3AD7" w:rsidP="009A3AD7">
      <w:pPr>
        <w:spacing w:line="360" w:lineRule="auto"/>
        <w:ind w:left="360" w:hanging="360"/>
        <w:jc w:val="center"/>
        <w:rPr>
          <w:rFonts w:ascii="Calibri" w:hAnsi="Calibri"/>
        </w:rPr>
      </w:pPr>
      <w:r w:rsidRPr="001E31CF">
        <w:rPr>
          <w:rFonts w:ascii="Calibri" w:hAnsi="Calibri"/>
        </w:rPr>
        <w:t>Betreuer:</w:t>
      </w:r>
    </w:p>
    <w:p w:rsidR="009A3AD7" w:rsidRPr="001E31CF" w:rsidRDefault="009A3AD7" w:rsidP="009A3AD7">
      <w:pPr>
        <w:spacing w:line="360" w:lineRule="auto"/>
        <w:ind w:left="360" w:hanging="360"/>
        <w:jc w:val="center"/>
        <w:rPr>
          <w:rFonts w:ascii="Calibri" w:hAnsi="Calibri"/>
          <w:b/>
        </w:rPr>
      </w:pPr>
      <w:r w:rsidRPr="001E31CF">
        <w:rPr>
          <w:rFonts w:ascii="Calibri" w:hAnsi="Calibri"/>
          <w:b/>
        </w:rPr>
        <w:t>Univ. Prof. Mag. Dr. Rony Flatscher</w:t>
      </w:r>
    </w:p>
    <w:p w:rsidR="00F37D23" w:rsidRPr="001E31CF" w:rsidRDefault="00F37D23" w:rsidP="009A3AD7">
      <w:pPr>
        <w:spacing w:line="360" w:lineRule="auto"/>
        <w:ind w:left="360" w:hanging="360"/>
        <w:jc w:val="center"/>
        <w:rPr>
          <w:rFonts w:ascii="Calibri" w:hAnsi="Calibri"/>
        </w:rPr>
      </w:pPr>
      <w:r w:rsidRPr="001E31CF">
        <w:rPr>
          <w:rFonts w:ascii="Calibri" w:hAnsi="Calibri"/>
        </w:rPr>
        <w:t>Seminar aus BIS, 4219</w:t>
      </w:r>
    </w:p>
    <w:p w:rsidR="009A3AD7" w:rsidRPr="001E31CF" w:rsidRDefault="009A3AD7" w:rsidP="006126DF">
      <w:pPr>
        <w:spacing w:line="360" w:lineRule="auto"/>
        <w:ind w:left="360" w:hanging="360"/>
        <w:jc w:val="both"/>
        <w:rPr>
          <w:rFonts w:ascii="Calibri" w:hAnsi="Calibri"/>
          <w:b/>
          <w:sz w:val="32"/>
        </w:rPr>
      </w:pPr>
    </w:p>
    <w:p w:rsidR="009A3AD7" w:rsidRDefault="009A3AD7" w:rsidP="006126DF">
      <w:pPr>
        <w:spacing w:line="360" w:lineRule="auto"/>
        <w:ind w:left="360" w:hanging="360"/>
        <w:jc w:val="both"/>
        <w:rPr>
          <w:b/>
          <w:sz w:val="32"/>
        </w:rPr>
      </w:pPr>
    </w:p>
    <w:p w:rsidR="009A3AD7" w:rsidRDefault="009A3AD7" w:rsidP="006126DF">
      <w:pPr>
        <w:spacing w:line="360" w:lineRule="auto"/>
        <w:ind w:left="360" w:hanging="360"/>
        <w:jc w:val="both"/>
        <w:rPr>
          <w:b/>
          <w:sz w:val="32"/>
        </w:rPr>
      </w:pPr>
    </w:p>
    <w:p w:rsidR="009A3AD7" w:rsidRDefault="009A3AD7" w:rsidP="006126DF">
      <w:pPr>
        <w:spacing w:line="360" w:lineRule="auto"/>
        <w:ind w:left="360" w:hanging="360"/>
        <w:jc w:val="both"/>
        <w:rPr>
          <w:b/>
          <w:sz w:val="32"/>
        </w:rPr>
      </w:pPr>
    </w:p>
    <w:p w:rsidR="00CF4508" w:rsidRDefault="00CF4508" w:rsidP="00CF4508">
      <w:pPr>
        <w:spacing w:line="360" w:lineRule="auto"/>
        <w:ind w:left="360" w:hanging="360"/>
        <w:jc w:val="both"/>
      </w:pPr>
    </w:p>
    <w:p w:rsidR="00CF4508" w:rsidRPr="009E6A7B" w:rsidRDefault="00CF4508" w:rsidP="007F489E">
      <w:pPr>
        <w:spacing w:line="360" w:lineRule="auto"/>
        <w:ind w:left="360" w:hanging="360"/>
        <w:jc w:val="both"/>
        <w:rPr>
          <w:rFonts w:ascii="Calibri" w:hAnsi="Calibri"/>
          <w:u w:val="single"/>
        </w:rPr>
      </w:pPr>
      <w:r w:rsidRPr="009E6A7B">
        <w:rPr>
          <w:rFonts w:ascii="Calibri" w:hAnsi="Calibri"/>
          <w:u w:val="single"/>
        </w:rPr>
        <w:lastRenderedPageBreak/>
        <w:t>Erklärung:</w:t>
      </w:r>
    </w:p>
    <w:p w:rsidR="00CF4508" w:rsidRPr="009E6A7B" w:rsidRDefault="00CF4508" w:rsidP="007F489E">
      <w:pPr>
        <w:spacing w:line="360" w:lineRule="auto"/>
        <w:ind w:left="360" w:hanging="360"/>
        <w:jc w:val="both"/>
        <w:rPr>
          <w:rFonts w:ascii="Calibri" w:hAnsi="Calibri"/>
        </w:rPr>
      </w:pPr>
      <w:r w:rsidRPr="009E6A7B">
        <w:rPr>
          <w:rFonts w:ascii="Calibri" w:hAnsi="Calibri"/>
        </w:rPr>
        <w:t>Ich versichere:</w:t>
      </w:r>
    </w:p>
    <w:p w:rsidR="00CF4508" w:rsidRPr="009E6A7B" w:rsidRDefault="00CF4508" w:rsidP="007F489E">
      <w:pPr>
        <w:spacing w:line="360" w:lineRule="auto"/>
        <w:ind w:left="360" w:hanging="360"/>
        <w:jc w:val="both"/>
        <w:rPr>
          <w:rFonts w:ascii="Calibri" w:hAnsi="Calibri"/>
        </w:rPr>
      </w:pPr>
    </w:p>
    <w:p w:rsidR="00CF4508" w:rsidRPr="009E6A7B" w:rsidRDefault="00CF4508" w:rsidP="007F489E">
      <w:pPr>
        <w:spacing w:line="360" w:lineRule="auto"/>
        <w:jc w:val="both"/>
        <w:rPr>
          <w:rFonts w:ascii="Calibri" w:hAnsi="Calibri"/>
        </w:rPr>
      </w:pPr>
      <w:r w:rsidRPr="009E6A7B">
        <w:rPr>
          <w:rFonts w:ascii="Calibri" w:hAnsi="Calibri"/>
        </w:rPr>
        <w:t>dass ich die Seminararbeit selbstständig verfasst, andere als die angegebenen</w:t>
      </w:r>
    </w:p>
    <w:p w:rsidR="00CF4508" w:rsidRPr="009E6A7B" w:rsidRDefault="00CF4508" w:rsidP="007F489E">
      <w:pPr>
        <w:spacing w:line="360" w:lineRule="auto"/>
        <w:jc w:val="both"/>
        <w:rPr>
          <w:rFonts w:ascii="Calibri" w:hAnsi="Calibri"/>
        </w:rPr>
      </w:pPr>
      <w:r w:rsidRPr="009E6A7B">
        <w:rPr>
          <w:rFonts w:ascii="Calibri" w:hAnsi="Calibri"/>
        </w:rPr>
        <w:t>Hilfsmittel nicht benutzt und mich auch sonst keiner unerlaubten Hilfe bedient habe.</w:t>
      </w:r>
    </w:p>
    <w:p w:rsidR="00CF4508" w:rsidRPr="009E6A7B" w:rsidRDefault="00CF4508" w:rsidP="007F489E">
      <w:pPr>
        <w:spacing w:line="360" w:lineRule="auto"/>
        <w:jc w:val="both"/>
        <w:rPr>
          <w:rFonts w:ascii="Calibri" w:hAnsi="Calibri"/>
        </w:rPr>
      </w:pPr>
    </w:p>
    <w:p w:rsidR="00CF4508" w:rsidRPr="009E6A7B" w:rsidRDefault="00CF4508" w:rsidP="007F489E">
      <w:pPr>
        <w:spacing w:line="360" w:lineRule="auto"/>
        <w:ind w:left="360" w:hanging="360"/>
        <w:jc w:val="both"/>
        <w:rPr>
          <w:rFonts w:ascii="Calibri" w:hAnsi="Calibri"/>
        </w:rPr>
      </w:pPr>
      <w:r w:rsidRPr="009E6A7B">
        <w:rPr>
          <w:rFonts w:ascii="Calibri" w:hAnsi="Calibri"/>
        </w:rPr>
        <w:t>dass ich dieses Seminararbeitsthema bisher weder im In- noch Ausland (einer</w:t>
      </w:r>
    </w:p>
    <w:p w:rsidR="00CF4508" w:rsidRPr="009E6A7B" w:rsidRDefault="00CF4508" w:rsidP="007F489E">
      <w:pPr>
        <w:spacing w:line="360" w:lineRule="auto"/>
        <w:ind w:left="360" w:hanging="360"/>
        <w:jc w:val="both"/>
        <w:rPr>
          <w:rFonts w:ascii="Calibri" w:hAnsi="Calibri"/>
        </w:rPr>
      </w:pPr>
      <w:r w:rsidRPr="009E6A7B">
        <w:rPr>
          <w:rFonts w:ascii="Calibri" w:hAnsi="Calibri"/>
        </w:rPr>
        <w:t>Beurteilerin/ einem Beurteiler) in irgendeiner Form als Prüfungsarbeit vorgelegt habe.</w:t>
      </w:r>
    </w:p>
    <w:p w:rsidR="00CF4508" w:rsidRPr="009E6A7B" w:rsidRDefault="00CF4508" w:rsidP="007F489E">
      <w:pPr>
        <w:spacing w:line="360" w:lineRule="auto"/>
        <w:ind w:left="360" w:hanging="360"/>
        <w:jc w:val="both"/>
        <w:rPr>
          <w:rFonts w:ascii="Calibri" w:hAnsi="Calibri"/>
        </w:rPr>
      </w:pPr>
    </w:p>
    <w:p w:rsidR="00CF4508" w:rsidRPr="009E6A7B" w:rsidRDefault="00CF4508" w:rsidP="007F489E">
      <w:pPr>
        <w:spacing w:line="360" w:lineRule="auto"/>
        <w:ind w:left="360" w:hanging="360"/>
        <w:jc w:val="both"/>
        <w:rPr>
          <w:rFonts w:ascii="Calibri" w:hAnsi="Calibri"/>
        </w:rPr>
      </w:pPr>
      <w:r w:rsidRPr="009E6A7B">
        <w:rPr>
          <w:rFonts w:ascii="Calibri" w:hAnsi="Calibri"/>
        </w:rPr>
        <w:t>dass diese Arbeit mit der vom Begutachter beurteilten Arbeit übereinstimmt.</w:t>
      </w:r>
    </w:p>
    <w:p w:rsidR="00CF4508" w:rsidRPr="009E6A7B" w:rsidRDefault="00CF4508" w:rsidP="007F489E">
      <w:pPr>
        <w:spacing w:line="360" w:lineRule="auto"/>
        <w:ind w:left="360" w:hanging="360"/>
        <w:jc w:val="both"/>
        <w:rPr>
          <w:rFonts w:ascii="Calibri" w:hAnsi="Calibri"/>
        </w:rPr>
      </w:pPr>
    </w:p>
    <w:p w:rsidR="00CF4508" w:rsidRPr="009E6A7B" w:rsidRDefault="00CF4508" w:rsidP="007F489E">
      <w:pPr>
        <w:spacing w:line="360" w:lineRule="auto"/>
        <w:ind w:left="360" w:hanging="360"/>
        <w:jc w:val="both"/>
        <w:rPr>
          <w:rFonts w:ascii="Calibri" w:hAnsi="Calibri"/>
        </w:rPr>
      </w:pPr>
      <w:r w:rsidRPr="009E6A7B">
        <w:rPr>
          <w:rFonts w:ascii="Calibri" w:hAnsi="Calibri"/>
        </w:rPr>
        <w:t xml:space="preserve">Datum: 19.06.2019 </w:t>
      </w:r>
      <w:r w:rsidRPr="009E6A7B">
        <w:rPr>
          <w:rFonts w:ascii="Calibri" w:hAnsi="Calibri"/>
        </w:rPr>
        <w:tab/>
      </w:r>
      <w:r w:rsidRPr="009E6A7B">
        <w:rPr>
          <w:rFonts w:ascii="Calibri" w:hAnsi="Calibri"/>
        </w:rPr>
        <w:tab/>
      </w:r>
      <w:r w:rsidRPr="009E6A7B">
        <w:rPr>
          <w:rFonts w:ascii="Calibri" w:hAnsi="Calibri"/>
        </w:rPr>
        <w:tab/>
      </w:r>
      <w:r w:rsidRPr="009E6A7B">
        <w:rPr>
          <w:rFonts w:ascii="Calibri" w:hAnsi="Calibri"/>
        </w:rPr>
        <w:tab/>
      </w:r>
      <w:r w:rsidRPr="009E6A7B">
        <w:rPr>
          <w:rFonts w:ascii="Calibri" w:hAnsi="Calibri"/>
        </w:rPr>
        <w:tab/>
      </w:r>
      <w:r w:rsidRPr="009E6A7B">
        <w:rPr>
          <w:rFonts w:ascii="Calibri" w:hAnsi="Calibri"/>
        </w:rPr>
        <w:tab/>
        <w:t>Unterschrift: John Westphal</w:t>
      </w:r>
    </w:p>
    <w:p w:rsidR="00CF4508" w:rsidRDefault="00CF450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p w:rsidR="003B1A78" w:rsidRDefault="003B1A78" w:rsidP="006126DF">
      <w:pPr>
        <w:spacing w:line="360" w:lineRule="auto"/>
        <w:ind w:left="360" w:hanging="360"/>
        <w:jc w:val="both"/>
        <w:rPr>
          <w:b/>
          <w:sz w:val="32"/>
        </w:rPr>
      </w:pPr>
    </w:p>
    <w:sdt>
      <w:sdtPr>
        <w:rPr>
          <w:rFonts w:ascii="Times New Roman" w:eastAsia="Times New Roman" w:hAnsi="Times New Roman" w:cs="Times New Roman"/>
          <w:b w:val="0"/>
          <w:bCs w:val="0"/>
          <w:color w:val="auto"/>
          <w:sz w:val="36"/>
          <w:szCs w:val="24"/>
        </w:rPr>
        <w:id w:val="1804422560"/>
        <w:docPartObj>
          <w:docPartGallery w:val="Table of Contents"/>
          <w:docPartUnique/>
        </w:docPartObj>
      </w:sdtPr>
      <w:sdtEndPr>
        <w:rPr>
          <w:noProof/>
          <w:sz w:val="24"/>
        </w:rPr>
      </w:sdtEndPr>
      <w:sdtContent>
        <w:p w:rsidR="00766C58" w:rsidRPr="007F489E" w:rsidRDefault="00766C58">
          <w:pPr>
            <w:pStyle w:val="Inhaltsverzeichnisberschrift"/>
            <w:rPr>
              <w:sz w:val="32"/>
              <w:szCs w:val="24"/>
            </w:rPr>
          </w:pPr>
          <w:r w:rsidRPr="007F489E">
            <w:rPr>
              <w:sz w:val="32"/>
              <w:szCs w:val="24"/>
            </w:rPr>
            <w:t>Inhaltsverzeichnis</w:t>
          </w:r>
        </w:p>
        <w:p w:rsidR="00C3483F" w:rsidRPr="00C3483F" w:rsidRDefault="00766C58">
          <w:pPr>
            <w:pStyle w:val="Verzeichnis1"/>
            <w:tabs>
              <w:tab w:val="right" w:leader="dot" w:pos="9056"/>
            </w:tabs>
            <w:rPr>
              <w:rFonts w:eastAsiaTheme="minorEastAsia"/>
              <w:b w:val="0"/>
              <w:bCs w:val="0"/>
              <w:noProof/>
              <w:sz w:val="24"/>
              <w:szCs w:val="24"/>
            </w:rPr>
          </w:pPr>
          <w:r w:rsidRPr="00C3483F">
            <w:rPr>
              <w:b w:val="0"/>
              <w:bCs w:val="0"/>
              <w:sz w:val="24"/>
              <w:szCs w:val="24"/>
            </w:rPr>
            <w:fldChar w:fldCharType="begin"/>
          </w:r>
          <w:r w:rsidRPr="00C3483F">
            <w:rPr>
              <w:sz w:val="24"/>
              <w:szCs w:val="24"/>
            </w:rPr>
            <w:instrText>TOC \o "1-3" \h \z \u</w:instrText>
          </w:r>
          <w:r w:rsidRPr="00C3483F">
            <w:rPr>
              <w:b w:val="0"/>
              <w:bCs w:val="0"/>
              <w:sz w:val="24"/>
              <w:szCs w:val="24"/>
            </w:rPr>
            <w:fldChar w:fldCharType="separate"/>
          </w:r>
          <w:hyperlink w:anchor="_Toc11850897" w:history="1">
            <w:r w:rsidR="00C3483F" w:rsidRPr="00C3483F">
              <w:rPr>
                <w:rStyle w:val="Hyperlink"/>
                <w:rFonts w:eastAsiaTheme="majorEastAsia"/>
                <w:noProof/>
                <w:sz w:val="24"/>
                <w:szCs w:val="24"/>
              </w:rPr>
              <w:t>1. Einleitung</w:t>
            </w:r>
            <w:r w:rsidR="00C3483F" w:rsidRPr="00C3483F">
              <w:rPr>
                <w:noProof/>
                <w:webHidden/>
                <w:sz w:val="24"/>
                <w:szCs w:val="24"/>
              </w:rPr>
              <w:tab/>
            </w:r>
            <w:r w:rsidR="00C3483F" w:rsidRPr="00C3483F">
              <w:rPr>
                <w:noProof/>
                <w:webHidden/>
                <w:sz w:val="24"/>
                <w:szCs w:val="24"/>
              </w:rPr>
              <w:fldChar w:fldCharType="begin"/>
            </w:r>
            <w:r w:rsidR="00C3483F" w:rsidRPr="00C3483F">
              <w:rPr>
                <w:noProof/>
                <w:webHidden/>
                <w:sz w:val="24"/>
                <w:szCs w:val="24"/>
              </w:rPr>
              <w:instrText xml:space="preserve"> PAGEREF _Toc11850897 \h </w:instrText>
            </w:r>
            <w:r w:rsidR="00C3483F" w:rsidRPr="00C3483F">
              <w:rPr>
                <w:noProof/>
                <w:webHidden/>
                <w:sz w:val="24"/>
                <w:szCs w:val="24"/>
              </w:rPr>
            </w:r>
            <w:r w:rsidR="00C3483F" w:rsidRPr="00C3483F">
              <w:rPr>
                <w:noProof/>
                <w:webHidden/>
                <w:sz w:val="24"/>
                <w:szCs w:val="24"/>
              </w:rPr>
              <w:fldChar w:fldCharType="separate"/>
            </w:r>
            <w:r w:rsidR="00C829E2">
              <w:rPr>
                <w:noProof/>
                <w:webHidden/>
                <w:sz w:val="24"/>
                <w:szCs w:val="24"/>
              </w:rPr>
              <w:t>4</w:t>
            </w:r>
            <w:r w:rsidR="00C3483F" w:rsidRPr="00C3483F">
              <w:rPr>
                <w:noProof/>
                <w:webHidden/>
                <w:sz w:val="24"/>
                <w:szCs w:val="24"/>
              </w:rPr>
              <w:fldChar w:fldCharType="end"/>
            </w:r>
          </w:hyperlink>
        </w:p>
        <w:p w:rsidR="00C3483F" w:rsidRPr="00C3483F" w:rsidRDefault="001B7E3E">
          <w:pPr>
            <w:pStyle w:val="Verzeichnis1"/>
            <w:tabs>
              <w:tab w:val="right" w:leader="dot" w:pos="9056"/>
            </w:tabs>
            <w:rPr>
              <w:rFonts w:eastAsiaTheme="minorEastAsia"/>
              <w:b w:val="0"/>
              <w:bCs w:val="0"/>
              <w:noProof/>
              <w:sz w:val="24"/>
              <w:szCs w:val="24"/>
            </w:rPr>
          </w:pPr>
          <w:hyperlink w:anchor="_Toc11850898" w:history="1">
            <w:r w:rsidR="00C3483F" w:rsidRPr="00C3483F">
              <w:rPr>
                <w:rStyle w:val="Hyperlink"/>
                <w:noProof/>
                <w:sz w:val="24"/>
                <w:szCs w:val="24"/>
              </w:rPr>
              <w:t>2. Der Gerechte Preis – Theorie</w:t>
            </w:r>
            <w:r w:rsidR="00C3483F" w:rsidRPr="00C3483F">
              <w:rPr>
                <w:noProof/>
                <w:webHidden/>
                <w:sz w:val="24"/>
                <w:szCs w:val="24"/>
              </w:rPr>
              <w:tab/>
            </w:r>
            <w:r w:rsidR="00C3483F" w:rsidRPr="00C3483F">
              <w:rPr>
                <w:noProof/>
                <w:webHidden/>
                <w:sz w:val="24"/>
                <w:szCs w:val="24"/>
              </w:rPr>
              <w:fldChar w:fldCharType="begin"/>
            </w:r>
            <w:r w:rsidR="00C3483F" w:rsidRPr="00C3483F">
              <w:rPr>
                <w:noProof/>
                <w:webHidden/>
                <w:sz w:val="24"/>
                <w:szCs w:val="24"/>
              </w:rPr>
              <w:instrText xml:space="preserve"> PAGEREF _Toc11850898 \h </w:instrText>
            </w:r>
            <w:r w:rsidR="00C3483F" w:rsidRPr="00C3483F">
              <w:rPr>
                <w:noProof/>
                <w:webHidden/>
                <w:sz w:val="24"/>
                <w:szCs w:val="24"/>
              </w:rPr>
            </w:r>
            <w:r w:rsidR="00C3483F" w:rsidRPr="00C3483F">
              <w:rPr>
                <w:noProof/>
                <w:webHidden/>
                <w:sz w:val="24"/>
                <w:szCs w:val="24"/>
              </w:rPr>
              <w:fldChar w:fldCharType="separate"/>
            </w:r>
            <w:r w:rsidR="00C829E2">
              <w:rPr>
                <w:noProof/>
                <w:webHidden/>
                <w:sz w:val="24"/>
                <w:szCs w:val="24"/>
              </w:rPr>
              <w:t>5</w:t>
            </w:r>
            <w:r w:rsidR="00C3483F" w:rsidRPr="00C3483F">
              <w:rPr>
                <w:noProof/>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899" w:history="1">
            <w:r w:rsidR="00C3483F" w:rsidRPr="00C3483F">
              <w:rPr>
                <w:rStyle w:val="Hyperlink"/>
                <w:sz w:val="24"/>
                <w:szCs w:val="24"/>
              </w:rPr>
              <w:t>2.1 Antike</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_Toc11850899 \h </w:instrText>
            </w:r>
            <w:r w:rsidR="00C3483F" w:rsidRPr="00C3483F">
              <w:rPr>
                <w:webHidden/>
                <w:sz w:val="24"/>
                <w:szCs w:val="24"/>
              </w:rPr>
            </w:r>
            <w:r w:rsidR="00C3483F" w:rsidRPr="00C3483F">
              <w:rPr>
                <w:webHidden/>
                <w:sz w:val="24"/>
                <w:szCs w:val="24"/>
              </w:rPr>
              <w:fldChar w:fldCharType="separate"/>
            </w:r>
            <w:r w:rsidR="00C829E2">
              <w:rPr>
                <w:webHidden/>
                <w:sz w:val="24"/>
                <w:szCs w:val="24"/>
              </w:rPr>
              <w:t>5</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00" w:history="1">
            <w:r w:rsidR="00C3483F" w:rsidRPr="00C3483F">
              <w:rPr>
                <w:rStyle w:val="Hyperlink"/>
                <w:sz w:val="24"/>
                <w:szCs w:val="24"/>
              </w:rPr>
              <w:t>2.2 Mittelalter</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_Toc11850900 \h </w:instrText>
            </w:r>
            <w:r w:rsidR="00C3483F" w:rsidRPr="00C3483F">
              <w:rPr>
                <w:webHidden/>
                <w:sz w:val="24"/>
                <w:szCs w:val="24"/>
              </w:rPr>
            </w:r>
            <w:r w:rsidR="00C3483F" w:rsidRPr="00C3483F">
              <w:rPr>
                <w:webHidden/>
                <w:sz w:val="24"/>
                <w:szCs w:val="24"/>
              </w:rPr>
              <w:fldChar w:fldCharType="separate"/>
            </w:r>
            <w:r w:rsidR="00C829E2">
              <w:rPr>
                <w:webHidden/>
                <w:sz w:val="24"/>
                <w:szCs w:val="24"/>
              </w:rPr>
              <w:t>6</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01" w:history="1">
            <w:r w:rsidR="00C3483F" w:rsidRPr="00C3483F">
              <w:rPr>
                <w:rStyle w:val="Hyperlink"/>
                <w:sz w:val="24"/>
                <w:szCs w:val="24"/>
              </w:rPr>
              <w:t>2.3 Neuzeit</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_Toc11850901 \h </w:instrText>
            </w:r>
            <w:r w:rsidR="00C3483F" w:rsidRPr="00C3483F">
              <w:rPr>
                <w:webHidden/>
                <w:sz w:val="24"/>
                <w:szCs w:val="24"/>
              </w:rPr>
            </w:r>
            <w:r w:rsidR="00C3483F" w:rsidRPr="00C3483F">
              <w:rPr>
                <w:webHidden/>
                <w:sz w:val="24"/>
                <w:szCs w:val="24"/>
              </w:rPr>
              <w:fldChar w:fldCharType="separate"/>
            </w:r>
            <w:r w:rsidR="00C829E2">
              <w:rPr>
                <w:webHidden/>
                <w:sz w:val="24"/>
                <w:szCs w:val="24"/>
              </w:rPr>
              <w:t>7</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02" w:history="1">
            <w:r w:rsidR="00C3483F" w:rsidRPr="00C3483F">
              <w:rPr>
                <w:rStyle w:val="Hyperlink"/>
                <w:sz w:val="24"/>
                <w:szCs w:val="24"/>
              </w:rPr>
              <w:t>2.4 Heute</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_Toc11850902 \h </w:instrText>
            </w:r>
            <w:r w:rsidR="00C3483F" w:rsidRPr="00C3483F">
              <w:rPr>
                <w:webHidden/>
                <w:sz w:val="24"/>
                <w:szCs w:val="24"/>
              </w:rPr>
            </w:r>
            <w:r w:rsidR="00C3483F" w:rsidRPr="00C3483F">
              <w:rPr>
                <w:webHidden/>
                <w:sz w:val="24"/>
                <w:szCs w:val="24"/>
              </w:rPr>
              <w:fldChar w:fldCharType="separate"/>
            </w:r>
            <w:r w:rsidR="00C829E2">
              <w:rPr>
                <w:webHidden/>
                <w:sz w:val="24"/>
                <w:szCs w:val="24"/>
              </w:rPr>
              <w:t>9</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03" w:history="1">
            <w:r w:rsidR="00C3483F" w:rsidRPr="00C3483F">
              <w:rPr>
                <w:rStyle w:val="Hyperlink"/>
                <w:sz w:val="24"/>
                <w:szCs w:val="24"/>
              </w:rPr>
              <w:t>2.5 Zusammenfassung</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_Toc11850903 \h </w:instrText>
            </w:r>
            <w:r w:rsidR="00C3483F" w:rsidRPr="00C3483F">
              <w:rPr>
                <w:webHidden/>
                <w:sz w:val="24"/>
                <w:szCs w:val="24"/>
              </w:rPr>
            </w:r>
            <w:r w:rsidR="00C3483F" w:rsidRPr="00C3483F">
              <w:rPr>
                <w:webHidden/>
                <w:sz w:val="24"/>
                <w:szCs w:val="24"/>
              </w:rPr>
              <w:fldChar w:fldCharType="separate"/>
            </w:r>
            <w:r w:rsidR="00C829E2">
              <w:rPr>
                <w:webHidden/>
                <w:sz w:val="24"/>
                <w:szCs w:val="24"/>
              </w:rPr>
              <w:t>9</w:t>
            </w:r>
            <w:r w:rsidR="00C3483F" w:rsidRPr="00C3483F">
              <w:rPr>
                <w:webHidden/>
                <w:sz w:val="24"/>
                <w:szCs w:val="24"/>
              </w:rPr>
              <w:fldChar w:fldCharType="end"/>
            </w:r>
          </w:hyperlink>
        </w:p>
        <w:p w:rsidR="00C3483F" w:rsidRPr="00C3483F" w:rsidRDefault="001B7E3E">
          <w:pPr>
            <w:pStyle w:val="Verzeichnis1"/>
            <w:tabs>
              <w:tab w:val="right" w:leader="dot" w:pos="9056"/>
            </w:tabs>
            <w:rPr>
              <w:rFonts w:eastAsiaTheme="minorEastAsia"/>
              <w:b w:val="0"/>
              <w:bCs w:val="0"/>
              <w:noProof/>
              <w:sz w:val="24"/>
              <w:szCs w:val="24"/>
            </w:rPr>
          </w:pPr>
          <w:hyperlink w:anchor="_Toc11850904" w:history="1">
            <w:r w:rsidR="00C3483F" w:rsidRPr="00C3483F">
              <w:rPr>
                <w:rStyle w:val="Hyperlink"/>
                <w:noProof/>
                <w:sz w:val="24"/>
                <w:szCs w:val="24"/>
              </w:rPr>
              <w:t>3. Banken und Gebühren</w:t>
            </w:r>
            <w:r w:rsidR="00C3483F" w:rsidRPr="00C3483F">
              <w:rPr>
                <w:noProof/>
                <w:webHidden/>
                <w:sz w:val="24"/>
                <w:szCs w:val="24"/>
              </w:rPr>
              <w:tab/>
            </w:r>
            <w:r w:rsidR="00C3483F" w:rsidRPr="00C3483F">
              <w:rPr>
                <w:noProof/>
                <w:webHidden/>
                <w:sz w:val="24"/>
                <w:szCs w:val="24"/>
              </w:rPr>
              <w:fldChar w:fldCharType="begin"/>
            </w:r>
            <w:r w:rsidR="00C3483F" w:rsidRPr="00C3483F">
              <w:rPr>
                <w:noProof/>
                <w:webHidden/>
                <w:sz w:val="24"/>
                <w:szCs w:val="24"/>
              </w:rPr>
              <w:instrText xml:space="preserve"> PAGEREF _Toc11850904 \h </w:instrText>
            </w:r>
            <w:r w:rsidR="00C3483F" w:rsidRPr="00C3483F">
              <w:rPr>
                <w:noProof/>
                <w:webHidden/>
                <w:sz w:val="24"/>
                <w:szCs w:val="24"/>
              </w:rPr>
            </w:r>
            <w:r w:rsidR="00C3483F" w:rsidRPr="00C3483F">
              <w:rPr>
                <w:noProof/>
                <w:webHidden/>
                <w:sz w:val="24"/>
                <w:szCs w:val="24"/>
              </w:rPr>
              <w:fldChar w:fldCharType="separate"/>
            </w:r>
            <w:r w:rsidR="00C829E2">
              <w:rPr>
                <w:noProof/>
                <w:webHidden/>
                <w:sz w:val="24"/>
                <w:szCs w:val="24"/>
              </w:rPr>
              <w:t>10</w:t>
            </w:r>
            <w:r w:rsidR="00C3483F" w:rsidRPr="00C3483F">
              <w:rPr>
                <w:noProof/>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05" w:history="1">
            <w:r w:rsidR="00C3483F" w:rsidRPr="00C3483F">
              <w:rPr>
                <w:rStyle w:val="Hyperlink"/>
                <w:sz w:val="24"/>
                <w:szCs w:val="24"/>
              </w:rPr>
              <w:t>3.1 Bankenlandschaft</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_Toc11850905 \h </w:instrText>
            </w:r>
            <w:r w:rsidR="00C3483F" w:rsidRPr="00C3483F">
              <w:rPr>
                <w:webHidden/>
                <w:sz w:val="24"/>
                <w:szCs w:val="24"/>
              </w:rPr>
            </w:r>
            <w:r w:rsidR="00C3483F" w:rsidRPr="00C3483F">
              <w:rPr>
                <w:webHidden/>
                <w:sz w:val="24"/>
                <w:szCs w:val="24"/>
              </w:rPr>
              <w:fldChar w:fldCharType="separate"/>
            </w:r>
            <w:r w:rsidR="00C829E2">
              <w:rPr>
                <w:webHidden/>
                <w:sz w:val="24"/>
                <w:szCs w:val="24"/>
              </w:rPr>
              <w:t>10</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06" w:history="1">
            <w:r w:rsidR="00C3483F" w:rsidRPr="00C3483F">
              <w:rPr>
                <w:rStyle w:val="Hyperlink"/>
                <w:sz w:val="24"/>
                <w:szCs w:val="24"/>
              </w:rPr>
              <w:t>3.2 Zinsen oder Gebühren – Wo liegt der Unterschied?</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_Toc11850906 \h </w:instrText>
            </w:r>
            <w:r w:rsidR="00C3483F" w:rsidRPr="00C3483F">
              <w:rPr>
                <w:webHidden/>
                <w:sz w:val="24"/>
                <w:szCs w:val="24"/>
              </w:rPr>
            </w:r>
            <w:r w:rsidR="00C3483F" w:rsidRPr="00C3483F">
              <w:rPr>
                <w:webHidden/>
                <w:sz w:val="24"/>
                <w:szCs w:val="24"/>
              </w:rPr>
              <w:fldChar w:fldCharType="separate"/>
            </w:r>
            <w:r w:rsidR="00C829E2">
              <w:rPr>
                <w:webHidden/>
                <w:sz w:val="24"/>
                <w:szCs w:val="24"/>
              </w:rPr>
              <w:t>12</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07" w:history="1">
            <w:r w:rsidR="00C3483F" w:rsidRPr="00C3483F">
              <w:rPr>
                <w:rStyle w:val="Hyperlink"/>
                <w:sz w:val="24"/>
                <w:szCs w:val="24"/>
              </w:rPr>
              <w:t>3.3 Zinsen als Opportunitätskosten für Kunden</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_Toc11850907 \h </w:instrText>
            </w:r>
            <w:r w:rsidR="00C3483F" w:rsidRPr="00C3483F">
              <w:rPr>
                <w:webHidden/>
                <w:sz w:val="24"/>
                <w:szCs w:val="24"/>
              </w:rPr>
            </w:r>
            <w:r w:rsidR="00C3483F" w:rsidRPr="00C3483F">
              <w:rPr>
                <w:webHidden/>
                <w:sz w:val="24"/>
                <w:szCs w:val="24"/>
              </w:rPr>
              <w:fldChar w:fldCharType="separate"/>
            </w:r>
            <w:r w:rsidR="00C829E2">
              <w:rPr>
                <w:webHidden/>
                <w:sz w:val="24"/>
                <w:szCs w:val="24"/>
              </w:rPr>
              <w:t>13</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08" w:history="1">
            <w:r w:rsidR="00C3483F" w:rsidRPr="00C3483F">
              <w:rPr>
                <w:rStyle w:val="Hyperlink"/>
                <w:sz w:val="24"/>
                <w:szCs w:val="24"/>
              </w:rPr>
              <w:t>3.4 Bankgebühren gerecht – was sagen Kunden</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_Toc11850908 \h </w:instrText>
            </w:r>
            <w:r w:rsidR="00C3483F" w:rsidRPr="00C3483F">
              <w:rPr>
                <w:webHidden/>
                <w:sz w:val="24"/>
                <w:szCs w:val="24"/>
              </w:rPr>
            </w:r>
            <w:r w:rsidR="00C3483F" w:rsidRPr="00C3483F">
              <w:rPr>
                <w:webHidden/>
                <w:sz w:val="24"/>
                <w:szCs w:val="24"/>
              </w:rPr>
              <w:fldChar w:fldCharType="separate"/>
            </w:r>
            <w:r w:rsidR="00C829E2">
              <w:rPr>
                <w:webHidden/>
                <w:sz w:val="24"/>
                <w:szCs w:val="24"/>
              </w:rPr>
              <w:t>14</w:t>
            </w:r>
            <w:r w:rsidR="00C3483F" w:rsidRPr="00C3483F">
              <w:rPr>
                <w:webHidden/>
                <w:sz w:val="24"/>
                <w:szCs w:val="24"/>
              </w:rPr>
              <w:fldChar w:fldCharType="end"/>
            </w:r>
          </w:hyperlink>
        </w:p>
        <w:p w:rsidR="00C3483F" w:rsidRPr="00C3483F" w:rsidRDefault="001B7E3E">
          <w:pPr>
            <w:pStyle w:val="Verzeichnis1"/>
            <w:tabs>
              <w:tab w:val="right" w:leader="dot" w:pos="9056"/>
            </w:tabs>
            <w:rPr>
              <w:rFonts w:eastAsiaTheme="minorEastAsia"/>
              <w:b w:val="0"/>
              <w:bCs w:val="0"/>
              <w:noProof/>
              <w:sz w:val="24"/>
              <w:szCs w:val="24"/>
            </w:rPr>
          </w:pPr>
          <w:hyperlink w:anchor="_Toc11850909" w:history="1">
            <w:r w:rsidR="00C3483F" w:rsidRPr="00C3483F">
              <w:rPr>
                <w:rStyle w:val="Hyperlink"/>
                <w:noProof/>
                <w:sz w:val="24"/>
                <w:szCs w:val="24"/>
              </w:rPr>
              <w:t>4. Die Finanzkrise 2008</w:t>
            </w:r>
            <w:r w:rsidR="00C3483F" w:rsidRPr="00C3483F">
              <w:rPr>
                <w:noProof/>
                <w:webHidden/>
                <w:sz w:val="24"/>
                <w:szCs w:val="24"/>
              </w:rPr>
              <w:tab/>
            </w:r>
            <w:r w:rsidR="00C3483F" w:rsidRPr="00C3483F">
              <w:rPr>
                <w:noProof/>
                <w:webHidden/>
                <w:sz w:val="24"/>
                <w:szCs w:val="24"/>
              </w:rPr>
              <w:fldChar w:fldCharType="begin"/>
            </w:r>
            <w:r w:rsidR="00C3483F" w:rsidRPr="00C3483F">
              <w:rPr>
                <w:noProof/>
                <w:webHidden/>
                <w:sz w:val="24"/>
                <w:szCs w:val="24"/>
              </w:rPr>
              <w:instrText xml:space="preserve"> PAGEREF _Toc11850909 \h </w:instrText>
            </w:r>
            <w:r w:rsidR="00C3483F" w:rsidRPr="00C3483F">
              <w:rPr>
                <w:noProof/>
                <w:webHidden/>
                <w:sz w:val="24"/>
                <w:szCs w:val="24"/>
              </w:rPr>
            </w:r>
            <w:r w:rsidR="00C3483F" w:rsidRPr="00C3483F">
              <w:rPr>
                <w:noProof/>
                <w:webHidden/>
                <w:sz w:val="24"/>
                <w:szCs w:val="24"/>
              </w:rPr>
              <w:fldChar w:fldCharType="separate"/>
            </w:r>
            <w:r w:rsidR="00C829E2">
              <w:rPr>
                <w:noProof/>
                <w:webHidden/>
                <w:sz w:val="24"/>
                <w:szCs w:val="24"/>
              </w:rPr>
              <w:t>15</w:t>
            </w:r>
            <w:r w:rsidR="00C3483F" w:rsidRPr="00C3483F">
              <w:rPr>
                <w:noProof/>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10" w:history="1">
            <w:r w:rsidR="00C3483F" w:rsidRPr="00C3483F">
              <w:rPr>
                <w:rStyle w:val="Hyperlink"/>
                <w:sz w:val="24"/>
                <w:szCs w:val="24"/>
              </w:rPr>
              <w:t>4.1 Zinsniveau und Realzinsen</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_Toc11850910 \h </w:instrText>
            </w:r>
            <w:r w:rsidR="00C3483F" w:rsidRPr="00C3483F">
              <w:rPr>
                <w:webHidden/>
                <w:sz w:val="24"/>
                <w:szCs w:val="24"/>
              </w:rPr>
            </w:r>
            <w:r w:rsidR="00C3483F" w:rsidRPr="00C3483F">
              <w:rPr>
                <w:webHidden/>
                <w:sz w:val="24"/>
                <w:szCs w:val="24"/>
              </w:rPr>
              <w:fldChar w:fldCharType="separate"/>
            </w:r>
            <w:r w:rsidR="00C829E2">
              <w:rPr>
                <w:webHidden/>
                <w:sz w:val="24"/>
                <w:szCs w:val="24"/>
              </w:rPr>
              <w:t>15</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11" w:history="1">
            <w:r w:rsidR="00C3483F" w:rsidRPr="00C3483F">
              <w:rPr>
                <w:rStyle w:val="Hyperlink"/>
                <w:sz w:val="24"/>
                <w:szCs w:val="24"/>
              </w:rPr>
              <w:t>4.2 Finanzkrise 2008</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_Toc11850911 \h </w:instrText>
            </w:r>
            <w:r w:rsidR="00C3483F" w:rsidRPr="00C3483F">
              <w:rPr>
                <w:webHidden/>
                <w:sz w:val="24"/>
                <w:szCs w:val="24"/>
              </w:rPr>
            </w:r>
            <w:r w:rsidR="00C3483F" w:rsidRPr="00C3483F">
              <w:rPr>
                <w:webHidden/>
                <w:sz w:val="24"/>
                <w:szCs w:val="24"/>
              </w:rPr>
              <w:fldChar w:fldCharType="separate"/>
            </w:r>
            <w:r w:rsidR="00C829E2">
              <w:rPr>
                <w:webHidden/>
                <w:sz w:val="24"/>
                <w:szCs w:val="24"/>
              </w:rPr>
              <w:t>17</w:t>
            </w:r>
            <w:r w:rsidR="00C3483F" w:rsidRPr="00C3483F">
              <w:rPr>
                <w:webHidden/>
                <w:sz w:val="24"/>
                <w:szCs w:val="24"/>
              </w:rPr>
              <w:fldChar w:fldCharType="end"/>
            </w:r>
          </w:hyperlink>
        </w:p>
        <w:p w:rsidR="00C3483F" w:rsidRPr="00C3483F" w:rsidRDefault="001B7E3E">
          <w:pPr>
            <w:pStyle w:val="Verzeichnis1"/>
            <w:tabs>
              <w:tab w:val="right" w:leader="dot" w:pos="9056"/>
            </w:tabs>
            <w:rPr>
              <w:rFonts w:eastAsiaTheme="minorEastAsia"/>
              <w:b w:val="0"/>
              <w:bCs w:val="0"/>
              <w:noProof/>
              <w:sz w:val="24"/>
              <w:szCs w:val="24"/>
            </w:rPr>
          </w:pPr>
          <w:hyperlink w:anchor="_Toc11850912" w:history="1">
            <w:r w:rsidR="00C3483F" w:rsidRPr="00C3483F">
              <w:rPr>
                <w:rStyle w:val="Hyperlink"/>
                <w:noProof/>
                <w:sz w:val="24"/>
                <w:szCs w:val="24"/>
              </w:rPr>
              <w:t>5. Neue (technologische) Entwicklungen in der Bankenbranche</w:t>
            </w:r>
            <w:r w:rsidR="00C3483F" w:rsidRPr="00C3483F">
              <w:rPr>
                <w:noProof/>
                <w:webHidden/>
                <w:sz w:val="24"/>
                <w:szCs w:val="24"/>
              </w:rPr>
              <w:tab/>
            </w:r>
            <w:r w:rsidR="00C3483F" w:rsidRPr="00C3483F">
              <w:rPr>
                <w:noProof/>
                <w:webHidden/>
                <w:sz w:val="24"/>
                <w:szCs w:val="24"/>
              </w:rPr>
              <w:fldChar w:fldCharType="begin"/>
            </w:r>
            <w:r w:rsidR="00C3483F" w:rsidRPr="00C3483F">
              <w:rPr>
                <w:noProof/>
                <w:webHidden/>
                <w:sz w:val="24"/>
                <w:szCs w:val="24"/>
              </w:rPr>
              <w:instrText xml:space="preserve"> PAGEREF _Toc11850912 \h </w:instrText>
            </w:r>
            <w:r w:rsidR="00C3483F" w:rsidRPr="00C3483F">
              <w:rPr>
                <w:noProof/>
                <w:webHidden/>
                <w:sz w:val="24"/>
                <w:szCs w:val="24"/>
              </w:rPr>
            </w:r>
            <w:r w:rsidR="00C3483F" w:rsidRPr="00C3483F">
              <w:rPr>
                <w:noProof/>
                <w:webHidden/>
                <w:sz w:val="24"/>
                <w:szCs w:val="24"/>
              </w:rPr>
              <w:fldChar w:fldCharType="separate"/>
            </w:r>
            <w:r w:rsidR="00C829E2">
              <w:rPr>
                <w:noProof/>
                <w:webHidden/>
                <w:sz w:val="24"/>
                <w:szCs w:val="24"/>
              </w:rPr>
              <w:t>19</w:t>
            </w:r>
            <w:r w:rsidR="00C3483F" w:rsidRPr="00C3483F">
              <w:rPr>
                <w:noProof/>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13" w:history="1">
            <w:r w:rsidR="00C3483F" w:rsidRPr="00C3483F">
              <w:rPr>
                <w:rStyle w:val="Hyperlink"/>
                <w:sz w:val="24"/>
                <w:szCs w:val="24"/>
              </w:rPr>
              <w:t>5.1 Startup-Banken: N26</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_Toc11850913 \h </w:instrText>
            </w:r>
            <w:r w:rsidR="00C3483F" w:rsidRPr="00C3483F">
              <w:rPr>
                <w:webHidden/>
                <w:sz w:val="24"/>
                <w:szCs w:val="24"/>
              </w:rPr>
            </w:r>
            <w:r w:rsidR="00C3483F" w:rsidRPr="00C3483F">
              <w:rPr>
                <w:webHidden/>
                <w:sz w:val="24"/>
                <w:szCs w:val="24"/>
              </w:rPr>
              <w:fldChar w:fldCharType="separate"/>
            </w:r>
            <w:r w:rsidR="00C829E2">
              <w:rPr>
                <w:webHidden/>
                <w:sz w:val="24"/>
                <w:szCs w:val="24"/>
              </w:rPr>
              <w:t>20</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14" w:history="1">
            <w:r w:rsidR="00C3483F" w:rsidRPr="00C3483F">
              <w:rPr>
                <w:rStyle w:val="Hyperlink"/>
                <w:sz w:val="24"/>
                <w:szCs w:val="24"/>
              </w:rPr>
              <w:t>5.2 Direktbanken: ING-Diba</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_Toc11850914 \h </w:instrText>
            </w:r>
            <w:r w:rsidR="00C3483F" w:rsidRPr="00C3483F">
              <w:rPr>
                <w:webHidden/>
                <w:sz w:val="24"/>
                <w:szCs w:val="24"/>
              </w:rPr>
            </w:r>
            <w:r w:rsidR="00C3483F" w:rsidRPr="00C3483F">
              <w:rPr>
                <w:webHidden/>
                <w:sz w:val="24"/>
                <w:szCs w:val="24"/>
              </w:rPr>
              <w:fldChar w:fldCharType="separate"/>
            </w:r>
            <w:r w:rsidR="00C829E2">
              <w:rPr>
                <w:webHidden/>
                <w:sz w:val="24"/>
                <w:szCs w:val="24"/>
              </w:rPr>
              <w:t>21</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15" w:history="1">
            <w:r w:rsidR="00C3483F" w:rsidRPr="00C3483F">
              <w:rPr>
                <w:rStyle w:val="Hyperlink"/>
                <w:sz w:val="24"/>
                <w:szCs w:val="24"/>
              </w:rPr>
              <w:t>5.3 Alternative Finanzdienstleister: PayPal</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_Toc11850915 \h </w:instrText>
            </w:r>
            <w:r w:rsidR="00C3483F" w:rsidRPr="00C3483F">
              <w:rPr>
                <w:webHidden/>
                <w:sz w:val="24"/>
                <w:szCs w:val="24"/>
              </w:rPr>
            </w:r>
            <w:r w:rsidR="00C3483F" w:rsidRPr="00C3483F">
              <w:rPr>
                <w:webHidden/>
                <w:sz w:val="24"/>
                <w:szCs w:val="24"/>
              </w:rPr>
              <w:fldChar w:fldCharType="separate"/>
            </w:r>
            <w:r w:rsidR="00C829E2">
              <w:rPr>
                <w:webHidden/>
                <w:sz w:val="24"/>
                <w:szCs w:val="24"/>
              </w:rPr>
              <w:t>22</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16" w:history="1">
            <w:r w:rsidR="00C3483F" w:rsidRPr="00C3483F">
              <w:rPr>
                <w:rStyle w:val="Hyperlink"/>
                <w:sz w:val="24"/>
                <w:szCs w:val="24"/>
              </w:rPr>
              <w:t>5.4 Kryptowährungen: Bitcoin</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_Toc11850916 \h </w:instrText>
            </w:r>
            <w:r w:rsidR="00C3483F" w:rsidRPr="00C3483F">
              <w:rPr>
                <w:webHidden/>
                <w:sz w:val="24"/>
                <w:szCs w:val="24"/>
              </w:rPr>
            </w:r>
            <w:r w:rsidR="00C3483F" w:rsidRPr="00C3483F">
              <w:rPr>
                <w:webHidden/>
                <w:sz w:val="24"/>
                <w:szCs w:val="24"/>
              </w:rPr>
              <w:fldChar w:fldCharType="separate"/>
            </w:r>
            <w:r w:rsidR="00C829E2">
              <w:rPr>
                <w:webHidden/>
                <w:sz w:val="24"/>
                <w:szCs w:val="24"/>
              </w:rPr>
              <w:t>22</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17" w:history="1">
            <w:r w:rsidR="00C3483F" w:rsidRPr="00C3483F">
              <w:rPr>
                <w:rStyle w:val="Hyperlink"/>
                <w:sz w:val="24"/>
                <w:szCs w:val="24"/>
              </w:rPr>
              <w:t>5.5 Neue Bankenlandschaft und Veränderungen der Kundenforderungen</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_Toc11850917 \h </w:instrText>
            </w:r>
            <w:r w:rsidR="00C3483F" w:rsidRPr="00C3483F">
              <w:rPr>
                <w:webHidden/>
                <w:sz w:val="24"/>
                <w:szCs w:val="24"/>
              </w:rPr>
            </w:r>
            <w:r w:rsidR="00C3483F" w:rsidRPr="00C3483F">
              <w:rPr>
                <w:webHidden/>
                <w:sz w:val="24"/>
                <w:szCs w:val="24"/>
              </w:rPr>
              <w:fldChar w:fldCharType="separate"/>
            </w:r>
            <w:r w:rsidR="00C829E2">
              <w:rPr>
                <w:webHidden/>
                <w:sz w:val="24"/>
                <w:szCs w:val="24"/>
              </w:rPr>
              <w:t>25</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18" w:history="1">
            <w:r w:rsidR="00C3483F" w:rsidRPr="00C3483F">
              <w:rPr>
                <w:rStyle w:val="Hyperlink"/>
                <w:sz w:val="24"/>
                <w:szCs w:val="24"/>
              </w:rPr>
              <w:t>5.6 Umstellungskosten</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_Toc11850918 \h </w:instrText>
            </w:r>
            <w:r w:rsidR="00C3483F" w:rsidRPr="00C3483F">
              <w:rPr>
                <w:webHidden/>
                <w:sz w:val="24"/>
                <w:szCs w:val="24"/>
              </w:rPr>
            </w:r>
            <w:r w:rsidR="00C3483F" w:rsidRPr="00C3483F">
              <w:rPr>
                <w:webHidden/>
                <w:sz w:val="24"/>
                <w:szCs w:val="24"/>
              </w:rPr>
              <w:fldChar w:fldCharType="separate"/>
            </w:r>
            <w:r w:rsidR="00C829E2">
              <w:rPr>
                <w:webHidden/>
                <w:sz w:val="24"/>
                <w:szCs w:val="24"/>
              </w:rPr>
              <w:t>26</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19" w:history="1">
            <w:r w:rsidR="00C3483F" w:rsidRPr="00C3483F">
              <w:rPr>
                <w:rStyle w:val="Hyperlink"/>
                <w:sz w:val="24"/>
                <w:szCs w:val="24"/>
              </w:rPr>
              <w:t>5.7 Markteintrittsbarrieren der Bankenbranche in Europa</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_Toc11850919 \h </w:instrText>
            </w:r>
            <w:r w:rsidR="00C3483F" w:rsidRPr="00C3483F">
              <w:rPr>
                <w:webHidden/>
                <w:sz w:val="24"/>
                <w:szCs w:val="24"/>
              </w:rPr>
            </w:r>
            <w:r w:rsidR="00C3483F" w:rsidRPr="00C3483F">
              <w:rPr>
                <w:webHidden/>
                <w:sz w:val="24"/>
                <w:szCs w:val="24"/>
              </w:rPr>
              <w:fldChar w:fldCharType="separate"/>
            </w:r>
            <w:r w:rsidR="00C829E2">
              <w:rPr>
                <w:webHidden/>
                <w:sz w:val="24"/>
                <w:szCs w:val="24"/>
              </w:rPr>
              <w:t>27</w:t>
            </w:r>
            <w:r w:rsidR="00C3483F" w:rsidRPr="00C3483F">
              <w:rPr>
                <w:webHidden/>
                <w:sz w:val="24"/>
                <w:szCs w:val="24"/>
              </w:rPr>
              <w:fldChar w:fldCharType="end"/>
            </w:r>
          </w:hyperlink>
        </w:p>
        <w:p w:rsidR="00C3483F" w:rsidRPr="00C3483F" w:rsidRDefault="001B7E3E">
          <w:pPr>
            <w:pStyle w:val="Verzeichnis1"/>
            <w:tabs>
              <w:tab w:val="right" w:leader="dot" w:pos="9056"/>
            </w:tabs>
            <w:rPr>
              <w:rFonts w:eastAsiaTheme="minorEastAsia"/>
              <w:b w:val="0"/>
              <w:bCs w:val="0"/>
              <w:noProof/>
              <w:sz w:val="24"/>
              <w:szCs w:val="24"/>
            </w:rPr>
          </w:pPr>
          <w:hyperlink w:anchor="_Toc11850920" w:history="1">
            <w:r w:rsidR="00C3483F" w:rsidRPr="00C3483F">
              <w:rPr>
                <w:rStyle w:val="Hyperlink"/>
                <w:noProof/>
                <w:sz w:val="24"/>
                <w:szCs w:val="24"/>
              </w:rPr>
              <w:t>6. Bankgebühren auf dem Weg zum gerechten Preis?</w:t>
            </w:r>
            <w:r w:rsidR="00C3483F" w:rsidRPr="00C3483F">
              <w:rPr>
                <w:noProof/>
                <w:webHidden/>
                <w:sz w:val="24"/>
                <w:szCs w:val="24"/>
              </w:rPr>
              <w:tab/>
            </w:r>
            <w:r w:rsidR="00C3483F" w:rsidRPr="00C3483F">
              <w:rPr>
                <w:noProof/>
                <w:webHidden/>
                <w:sz w:val="24"/>
                <w:szCs w:val="24"/>
              </w:rPr>
              <w:fldChar w:fldCharType="begin"/>
            </w:r>
            <w:r w:rsidR="00C3483F" w:rsidRPr="00C3483F">
              <w:rPr>
                <w:noProof/>
                <w:webHidden/>
                <w:sz w:val="24"/>
                <w:szCs w:val="24"/>
              </w:rPr>
              <w:instrText xml:space="preserve"> PAGEREF _Toc11850920 \h </w:instrText>
            </w:r>
            <w:r w:rsidR="00C3483F" w:rsidRPr="00C3483F">
              <w:rPr>
                <w:noProof/>
                <w:webHidden/>
                <w:sz w:val="24"/>
                <w:szCs w:val="24"/>
              </w:rPr>
            </w:r>
            <w:r w:rsidR="00C3483F" w:rsidRPr="00C3483F">
              <w:rPr>
                <w:noProof/>
                <w:webHidden/>
                <w:sz w:val="24"/>
                <w:szCs w:val="24"/>
              </w:rPr>
              <w:fldChar w:fldCharType="separate"/>
            </w:r>
            <w:r w:rsidR="00C829E2">
              <w:rPr>
                <w:noProof/>
                <w:webHidden/>
                <w:sz w:val="24"/>
                <w:szCs w:val="24"/>
              </w:rPr>
              <w:t>29</w:t>
            </w:r>
            <w:r w:rsidR="00C3483F" w:rsidRPr="00C3483F">
              <w:rPr>
                <w:noProof/>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21" w:history="1">
            <w:r w:rsidR="00C3483F" w:rsidRPr="00C3483F">
              <w:rPr>
                <w:rStyle w:val="Hyperlink"/>
                <w:sz w:val="24"/>
                <w:szCs w:val="24"/>
              </w:rPr>
              <w:t>6.1 Ja, die Bankgebühren werden gerechter</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_Toc11850921 \h </w:instrText>
            </w:r>
            <w:r w:rsidR="00C3483F" w:rsidRPr="00C3483F">
              <w:rPr>
                <w:webHidden/>
                <w:sz w:val="24"/>
                <w:szCs w:val="24"/>
              </w:rPr>
            </w:r>
            <w:r w:rsidR="00C3483F" w:rsidRPr="00C3483F">
              <w:rPr>
                <w:webHidden/>
                <w:sz w:val="24"/>
                <w:szCs w:val="24"/>
              </w:rPr>
              <w:fldChar w:fldCharType="separate"/>
            </w:r>
            <w:r w:rsidR="00C829E2">
              <w:rPr>
                <w:webHidden/>
                <w:sz w:val="24"/>
                <w:szCs w:val="24"/>
              </w:rPr>
              <w:t>30</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22" w:history="1">
            <w:r w:rsidR="00C3483F" w:rsidRPr="00C3483F">
              <w:rPr>
                <w:rStyle w:val="Hyperlink"/>
                <w:sz w:val="24"/>
                <w:szCs w:val="24"/>
              </w:rPr>
              <w:t>6.2 Nein, die Bankgebühren werden nicht gerechter</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_Toc11850922 \h </w:instrText>
            </w:r>
            <w:r w:rsidR="00C3483F" w:rsidRPr="00C3483F">
              <w:rPr>
                <w:webHidden/>
                <w:sz w:val="24"/>
                <w:szCs w:val="24"/>
              </w:rPr>
            </w:r>
            <w:r w:rsidR="00C3483F" w:rsidRPr="00C3483F">
              <w:rPr>
                <w:webHidden/>
                <w:sz w:val="24"/>
                <w:szCs w:val="24"/>
              </w:rPr>
              <w:fldChar w:fldCharType="separate"/>
            </w:r>
            <w:r w:rsidR="00C829E2">
              <w:rPr>
                <w:webHidden/>
                <w:sz w:val="24"/>
                <w:szCs w:val="24"/>
              </w:rPr>
              <w:t>31</w:t>
            </w:r>
            <w:r w:rsidR="00C3483F" w:rsidRPr="00C3483F">
              <w:rPr>
                <w:webHidden/>
                <w:sz w:val="24"/>
                <w:szCs w:val="24"/>
              </w:rPr>
              <w:fldChar w:fldCharType="end"/>
            </w:r>
          </w:hyperlink>
        </w:p>
        <w:p w:rsidR="00C3483F" w:rsidRPr="00C3483F" w:rsidRDefault="001B7E3E">
          <w:pPr>
            <w:pStyle w:val="Verzeichnis2"/>
            <w:rPr>
              <w:rFonts w:eastAsiaTheme="minorEastAsia"/>
              <w:i w:val="0"/>
              <w:iCs w:val="0"/>
              <w:sz w:val="24"/>
              <w:szCs w:val="24"/>
            </w:rPr>
          </w:pPr>
          <w:hyperlink w:anchor="_Toc11850923" w:history="1">
            <w:r w:rsidR="00C3483F" w:rsidRPr="00C3483F">
              <w:rPr>
                <w:rStyle w:val="Hyperlink"/>
                <w:sz w:val="24"/>
                <w:szCs w:val="24"/>
              </w:rPr>
              <w:t>6.3 Zwischenfazit</w:t>
            </w:r>
            <w:r w:rsidR="00C3483F" w:rsidRPr="00C3483F">
              <w:rPr>
                <w:webHidden/>
                <w:sz w:val="24"/>
                <w:szCs w:val="24"/>
              </w:rPr>
              <w:tab/>
            </w:r>
            <w:r w:rsidR="00C3483F" w:rsidRPr="00C3483F">
              <w:rPr>
                <w:webHidden/>
                <w:sz w:val="24"/>
                <w:szCs w:val="24"/>
              </w:rPr>
              <w:fldChar w:fldCharType="begin"/>
            </w:r>
            <w:r w:rsidR="00C3483F" w:rsidRPr="00C3483F">
              <w:rPr>
                <w:webHidden/>
                <w:sz w:val="24"/>
                <w:szCs w:val="24"/>
              </w:rPr>
              <w:instrText xml:space="preserve"> PAGEREF _Toc11850923 \h </w:instrText>
            </w:r>
            <w:r w:rsidR="00C3483F" w:rsidRPr="00C3483F">
              <w:rPr>
                <w:webHidden/>
                <w:sz w:val="24"/>
                <w:szCs w:val="24"/>
              </w:rPr>
            </w:r>
            <w:r w:rsidR="00C3483F" w:rsidRPr="00C3483F">
              <w:rPr>
                <w:webHidden/>
                <w:sz w:val="24"/>
                <w:szCs w:val="24"/>
              </w:rPr>
              <w:fldChar w:fldCharType="separate"/>
            </w:r>
            <w:r w:rsidR="00C829E2">
              <w:rPr>
                <w:webHidden/>
                <w:sz w:val="24"/>
                <w:szCs w:val="24"/>
              </w:rPr>
              <w:t>33</w:t>
            </w:r>
            <w:r w:rsidR="00C3483F" w:rsidRPr="00C3483F">
              <w:rPr>
                <w:webHidden/>
                <w:sz w:val="24"/>
                <w:szCs w:val="24"/>
              </w:rPr>
              <w:fldChar w:fldCharType="end"/>
            </w:r>
          </w:hyperlink>
        </w:p>
        <w:p w:rsidR="00C3483F" w:rsidRPr="00C3483F" w:rsidRDefault="001B7E3E">
          <w:pPr>
            <w:pStyle w:val="Verzeichnis1"/>
            <w:tabs>
              <w:tab w:val="right" w:leader="dot" w:pos="9056"/>
            </w:tabs>
            <w:rPr>
              <w:rFonts w:eastAsiaTheme="minorEastAsia"/>
              <w:b w:val="0"/>
              <w:bCs w:val="0"/>
              <w:noProof/>
              <w:sz w:val="24"/>
              <w:szCs w:val="24"/>
            </w:rPr>
          </w:pPr>
          <w:hyperlink w:anchor="_Toc11850924" w:history="1">
            <w:r w:rsidR="00C3483F" w:rsidRPr="00C3483F">
              <w:rPr>
                <w:rStyle w:val="Hyperlink"/>
                <w:noProof/>
                <w:sz w:val="24"/>
                <w:szCs w:val="24"/>
              </w:rPr>
              <w:t>7. Conclusio</w:t>
            </w:r>
            <w:r w:rsidR="00C3483F" w:rsidRPr="00C3483F">
              <w:rPr>
                <w:noProof/>
                <w:webHidden/>
                <w:sz w:val="24"/>
                <w:szCs w:val="24"/>
              </w:rPr>
              <w:tab/>
            </w:r>
            <w:r w:rsidR="00C3483F" w:rsidRPr="00C3483F">
              <w:rPr>
                <w:noProof/>
                <w:webHidden/>
                <w:sz w:val="24"/>
                <w:szCs w:val="24"/>
              </w:rPr>
              <w:fldChar w:fldCharType="begin"/>
            </w:r>
            <w:r w:rsidR="00C3483F" w:rsidRPr="00C3483F">
              <w:rPr>
                <w:noProof/>
                <w:webHidden/>
                <w:sz w:val="24"/>
                <w:szCs w:val="24"/>
              </w:rPr>
              <w:instrText xml:space="preserve"> PAGEREF _Toc11850924 \h </w:instrText>
            </w:r>
            <w:r w:rsidR="00C3483F" w:rsidRPr="00C3483F">
              <w:rPr>
                <w:noProof/>
                <w:webHidden/>
                <w:sz w:val="24"/>
                <w:szCs w:val="24"/>
              </w:rPr>
            </w:r>
            <w:r w:rsidR="00C3483F" w:rsidRPr="00C3483F">
              <w:rPr>
                <w:noProof/>
                <w:webHidden/>
                <w:sz w:val="24"/>
                <w:szCs w:val="24"/>
              </w:rPr>
              <w:fldChar w:fldCharType="separate"/>
            </w:r>
            <w:r w:rsidR="00C829E2">
              <w:rPr>
                <w:noProof/>
                <w:webHidden/>
                <w:sz w:val="24"/>
                <w:szCs w:val="24"/>
              </w:rPr>
              <w:t>34</w:t>
            </w:r>
            <w:r w:rsidR="00C3483F" w:rsidRPr="00C3483F">
              <w:rPr>
                <w:noProof/>
                <w:webHidden/>
                <w:sz w:val="24"/>
                <w:szCs w:val="24"/>
              </w:rPr>
              <w:fldChar w:fldCharType="end"/>
            </w:r>
          </w:hyperlink>
        </w:p>
        <w:p w:rsidR="00C3483F" w:rsidRPr="00C3483F" w:rsidRDefault="001B7E3E">
          <w:pPr>
            <w:pStyle w:val="Verzeichnis1"/>
            <w:tabs>
              <w:tab w:val="right" w:leader="dot" w:pos="9056"/>
            </w:tabs>
            <w:rPr>
              <w:rFonts w:eastAsiaTheme="minorEastAsia"/>
              <w:b w:val="0"/>
              <w:bCs w:val="0"/>
              <w:noProof/>
              <w:sz w:val="24"/>
              <w:szCs w:val="24"/>
            </w:rPr>
          </w:pPr>
          <w:hyperlink w:anchor="_Toc11850925" w:history="1">
            <w:r w:rsidR="00C3483F" w:rsidRPr="00C3483F">
              <w:rPr>
                <w:rStyle w:val="Hyperlink"/>
                <w:rFonts w:eastAsiaTheme="majorEastAsia"/>
                <w:noProof/>
                <w:sz w:val="24"/>
                <w:szCs w:val="24"/>
              </w:rPr>
              <w:t>8. Literaturverzeichnis</w:t>
            </w:r>
            <w:r w:rsidR="00C3483F" w:rsidRPr="00C3483F">
              <w:rPr>
                <w:noProof/>
                <w:webHidden/>
                <w:sz w:val="24"/>
                <w:szCs w:val="24"/>
              </w:rPr>
              <w:tab/>
            </w:r>
            <w:r w:rsidR="00C3483F" w:rsidRPr="00C3483F">
              <w:rPr>
                <w:noProof/>
                <w:webHidden/>
                <w:sz w:val="24"/>
                <w:szCs w:val="24"/>
              </w:rPr>
              <w:fldChar w:fldCharType="begin"/>
            </w:r>
            <w:r w:rsidR="00C3483F" w:rsidRPr="00C3483F">
              <w:rPr>
                <w:noProof/>
                <w:webHidden/>
                <w:sz w:val="24"/>
                <w:szCs w:val="24"/>
              </w:rPr>
              <w:instrText xml:space="preserve"> PAGEREF _Toc11850925 \h </w:instrText>
            </w:r>
            <w:r w:rsidR="00C3483F" w:rsidRPr="00C3483F">
              <w:rPr>
                <w:noProof/>
                <w:webHidden/>
                <w:sz w:val="24"/>
                <w:szCs w:val="24"/>
              </w:rPr>
            </w:r>
            <w:r w:rsidR="00C3483F" w:rsidRPr="00C3483F">
              <w:rPr>
                <w:noProof/>
                <w:webHidden/>
                <w:sz w:val="24"/>
                <w:szCs w:val="24"/>
              </w:rPr>
              <w:fldChar w:fldCharType="separate"/>
            </w:r>
            <w:r w:rsidR="00C829E2">
              <w:rPr>
                <w:noProof/>
                <w:webHidden/>
                <w:sz w:val="24"/>
                <w:szCs w:val="24"/>
              </w:rPr>
              <w:t>35</w:t>
            </w:r>
            <w:r w:rsidR="00C3483F" w:rsidRPr="00C3483F">
              <w:rPr>
                <w:noProof/>
                <w:webHidden/>
                <w:sz w:val="24"/>
                <w:szCs w:val="24"/>
              </w:rPr>
              <w:fldChar w:fldCharType="end"/>
            </w:r>
          </w:hyperlink>
        </w:p>
        <w:p w:rsidR="00766C58" w:rsidRDefault="00766C58">
          <w:r w:rsidRPr="00C3483F">
            <w:rPr>
              <w:b/>
              <w:bCs/>
              <w:noProof/>
            </w:rPr>
            <w:fldChar w:fldCharType="end"/>
          </w:r>
        </w:p>
      </w:sdtContent>
    </w:sdt>
    <w:p w:rsidR="009A3AD7" w:rsidRDefault="00766C58" w:rsidP="007F489E">
      <w:pPr>
        <w:pStyle w:val="berschrift1"/>
        <w:spacing w:line="360" w:lineRule="auto"/>
      </w:pPr>
      <w:bookmarkStart w:id="0" w:name="_Toc11850897"/>
      <w:r>
        <w:lastRenderedPageBreak/>
        <w:t xml:space="preserve">1. </w:t>
      </w:r>
      <w:r w:rsidR="009A3AD7" w:rsidRPr="009A3AD7">
        <w:t>Einleitung</w:t>
      </w:r>
      <w:bookmarkEnd w:id="0"/>
    </w:p>
    <w:p w:rsidR="009A3AD7" w:rsidRDefault="009A3AD7" w:rsidP="007F489E">
      <w:pPr>
        <w:spacing w:line="360" w:lineRule="auto"/>
        <w:ind w:firstLine="708"/>
        <w:jc w:val="both"/>
        <w:rPr>
          <w:rFonts w:ascii="Calibri" w:hAnsi="Calibri" w:cs="Calibri"/>
        </w:rPr>
      </w:pPr>
      <w:r w:rsidRPr="00BE38D0">
        <w:rPr>
          <w:rFonts w:ascii="Calibri" w:hAnsi="Calibri" w:cs="Calibri"/>
        </w:rPr>
        <w:t xml:space="preserve">Sind Bankgebühren </w:t>
      </w:r>
      <w:r w:rsidR="00BE38D0" w:rsidRPr="00BE38D0">
        <w:rPr>
          <w:rFonts w:ascii="Calibri" w:hAnsi="Calibri" w:cs="Calibri"/>
        </w:rPr>
        <w:t>gerecht</w:t>
      </w:r>
      <w:r w:rsidRPr="00BE38D0">
        <w:rPr>
          <w:rFonts w:ascii="Calibri" w:hAnsi="Calibri" w:cs="Calibri"/>
        </w:rPr>
        <w:t>?</w:t>
      </w:r>
      <w:r w:rsidR="00BE38D0" w:rsidRPr="00BE38D0">
        <w:rPr>
          <w:rFonts w:ascii="Calibri" w:hAnsi="Calibri" w:cs="Calibri"/>
        </w:rPr>
        <w:t xml:space="preserve"> Während es </w:t>
      </w:r>
      <w:r w:rsidR="00BE38D0">
        <w:rPr>
          <w:rFonts w:ascii="Calibri" w:hAnsi="Calibri" w:cs="Calibri"/>
        </w:rPr>
        <w:t xml:space="preserve">zunächst </w:t>
      </w:r>
      <w:r w:rsidR="00BE38D0" w:rsidRPr="00BE38D0">
        <w:rPr>
          <w:rFonts w:ascii="Calibri" w:hAnsi="Calibri" w:cs="Calibri"/>
        </w:rPr>
        <w:t xml:space="preserve">wie eine Frage klingt, die </w:t>
      </w:r>
      <w:r w:rsidR="00BE38D0">
        <w:rPr>
          <w:rFonts w:ascii="Calibri" w:hAnsi="Calibri" w:cs="Calibri"/>
        </w:rPr>
        <w:t>aus dem Bauch heraus beurteilt wird, geht die Frage tiefer und kann von verschiedenen Blickpunkten kritisch evaluiert werden.</w:t>
      </w:r>
    </w:p>
    <w:p w:rsidR="0032651D" w:rsidRDefault="0032651D" w:rsidP="007F489E">
      <w:pPr>
        <w:spacing w:line="360" w:lineRule="auto"/>
        <w:ind w:firstLine="708"/>
        <w:jc w:val="both"/>
        <w:rPr>
          <w:rFonts w:ascii="Calibri" w:hAnsi="Calibri" w:cs="Calibri"/>
        </w:rPr>
      </w:pPr>
    </w:p>
    <w:p w:rsidR="0032651D" w:rsidRDefault="0032651D" w:rsidP="007F489E">
      <w:pPr>
        <w:spacing w:line="360" w:lineRule="auto"/>
        <w:ind w:firstLine="708"/>
        <w:jc w:val="both"/>
        <w:rPr>
          <w:rFonts w:ascii="Calibri" w:hAnsi="Calibri" w:cs="Calibri"/>
        </w:rPr>
      </w:pPr>
      <w:r>
        <w:rPr>
          <w:rFonts w:ascii="Calibri" w:hAnsi="Calibri" w:cs="Calibri"/>
        </w:rPr>
        <w:t xml:space="preserve">Die Frage, ob ein Preis gerecht ist oder nicht, </w:t>
      </w:r>
      <w:r w:rsidR="00D421EA">
        <w:rPr>
          <w:rFonts w:ascii="Calibri" w:hAnsi="Calibri" w:cs="Calibri"/>
        </w:rPr>
        <w:t>stellen sich heutzutage nur noch wenig Menschen</w:t>
      </w:r>
      <w:r>
        <w:rPr>
          <w:rFonts w:ascii="Calibri" w:hAnsi="Calibri" w:cs="Calibri"/>
        </w:rPr>
        <w:t>.</w:t>
      </w:r>
      <w:r w:rsidR="00D421EA">
        <w:rPr>
          <w:rFonts w:ascii="Calibri" w:hAnsi="Calibri" w:cs="Calibri"/>
        </w:rPr>
        <w:t xml:space="preserve"> Angebot und Nachfrage entscheiden über Preise</w:t>
      </w:r>
      <w:r w:rsidR="004A4C8E">
        <w:rPr>
          <w:rFonts w:ascii="Calibri" w:hAnsi="Calibri" w:cs="Calibri"/>
        </w:rPr>
        <w:t xml:space="preserve"> und damit fällt eine kritische Evaluierung häufig weg</w:t>
      </w:r>
      <w:r w:rsidR="00D421EA">
        <w:rPr>
          <w:rFonts w:ascii="Calibri" w:hAnsi="Calibri" w:cs="Calibri"/>
        </w:rPr>
        <w:t>.</w:t>
      </w:r>
      <w:r>
        <w:rPr>
          <w:rFonts w:ascii="Calibri" w:hAnsi="Calibri" w:cs="Calibri"/>
        </w:rPr>
        <w:t xml:space="preserve"> </w:t>
      </w:r>
      <w:r w:rsidR="00D421EA">
        <w:rPr>
          <w:rFonts w:ascii="Calibri" w:hAnsi="Calibri" w:cs="Calibri"/>
        </w:rPr>
        <w:t xml:space="preserve">Theorien zum gerechten Preis reichen </w:t>
      </w:r>
      <w:r w:rsidR="007558A6">
        <w:rPr>
          <w:rFonts w:ascii="Calibri" w:hAnsi="Calibri" w:cs="Calibri"/>
        </w:rPr>
        <w:t xml:space="preserve">allerdings </w:t>
      </w:r>
      <w:r w:rsidR="00D421EA">
        <w:rPr>
          <w:rFonts w:ascii="Calibri" w:hAnsi="Calibri" w:cs="Calibri"/>
        </w:rPr>
        <w:t xml:space="preserve">weit zurück, über das Mittelalter bis Aristoteles. </w:t>
      </w:r>
      <w:r w:rsidR="00E96AE5">
        <w:rPr>
          <w:rFonts w:ascii="Calibri" w:hAnsi="Calibri" w:cs="Calibri"/>
        </w:rPr>
        <w:t>In der folgenden Seminararbeit werde ich zunächst verschiede Theorien zum gerechten Preis vorstellen, um verschiedene Sichtweisen auf die Evaluierung eines gerechten Preises generell zu erlangen.</w:t>
      </w:r>
    </w:p>
    <w:p w:rsidR="008A6F46" w:rsidRDefault="008A6F46" w:rsidP="007F489E">
      <w:pPr>
        <w:spacing w:line="360" w:lineRule="auto"/>
        <w:ind w:firstLine="708"/>
        <w:jc w:val="both"/>
        <w:rPr>
          <w:rFonts w:ascii="Calibri" w:hAnsi="Calibri" w:cs="Calibri"/>
        </w:rPr>
      </w:pPr>
    </w:p>
    <w:p w:rsidR="008A6F46" w:rsidRDefault="008A6F46" w:rsidP="007F489E">
      <w:pPr>
        <w:spacing w:line="360" w:lineRule="auto"/>
        <w:ind w:firstLine="708"/>
        <w:jc w:val="both"/>
        <w:rPr>
          <w:rFonts w:ascii="Calibri" w:hAnsi="Calibri" w:cs="Calibri"/>
        </w:rPr>
      </w:pPr>
      <w:r>
        <w:rPr>
          <w:rFonts w:ascii="Calibri" w:hAnsi="Calibri" w:cs="Calibri"/>
        </w:rPr>
        <w:t xml:space="preserve">Mit der theoretischen Grundlage werde ich dann die Bankenindustrie evaluieren. Dazu gehört vor allem die Analyse von Kosten und Gebühren der Bankdienstleistungen im Privatkundengeschäft. Bankgebühren unterscheide </w:t>
      </w:r>
      <w:r w:rsidR="0003637A">
        <w:rPr>
          <w:rFonts w:ascii="Calibri" w:hAnsi="Calibri" w:cs="Calibri"/>
        </w:rPr>
        <w:t>ich in Zinsen und Bankgebühren im klassischen Sinn</w:t>
      </w:r>
      <w:r w:rsidR="00693233">
        <w:rPr>
          <w:rFonts w:ascii="Calibri" w:hAnsi="Calibri" w:cs="Calibri"/>
        </w:rPr>
        <w:t xml:space="preserve"> und zeige die jeweiligen Entwicklungen auf</w:t>
      </w:r>
      <w:r w:rsidR="0003637A">
        <w:rPr>
          <w:rFonts w:ascii="Calibri" w:hAnsi="Calibri" w:cs="Calibri"/>
        </w:rPr>
        <w:t>. Außerdem beziehe ich empirische Bewertungen von Kunden mit ein, die Hinweise auf die Gerechtigkeit der Bankgebühren liefern.</w:t>
      </w:r>
    </w:p>
    <w:p w:rsidR="00024631" w:rsidRDefault="00024631" w:rsidP="007F489E">
      <w:pPr>
        <w:spacing w:line="360" w:lineRule="auto"/>
        <w:ind w:firstLine="708"/>
        <w:jc w:val="both"/>
        <w:rPr>
          <w:rFonts w:ascii="Calibri" w:hAnsi="Calibri" w:cs="Calibri"/>
        </w:rPr>
      </w:pPr>
    </w:p>
    <w:p w:rsidR="00242757" w:rsidRDefault="00024631" w:rsidP="007F489E">
      <w:pPr>
        <w:spacing w:line="360" w:lineRule="auto"/>
        <w:ind w:firstLine="708"/>
        <w:jc w:val="both"/>
        <w:rPr>
          <w:rFonts w:ascii="Calibri" w:hAnsi="Calibri" w:cs="Calibri"/>
        </w:rPr>
      </w:pPr>
      <w:r>
        <w:rPr>
          <w:rFonts w:ascii="Calibri" w:hAnsi="Calibri" w:cs="Calibri"/>
        </w:rPr>
        <w:t>Die Finanzkrise 2008 stellte ein Wendepunkt der Bankgebühren und dem Zinsumfeld da</w:t>
      </w:r>
      <w:r w:rsidR="00FB3B12">
        <w:rPr>
          <w:rFonts w:ascii="Calibri" w:hAnsi="Calibri" w:cs="Calibri"/>
        </w:rPr>
        <w:t>r</w:t>
      </w:r>
      <w:r>
        <w:rPr>
          <w:rFonts w:ascii="Calibri" w:hAnsi="Calibri" w:cs="Calibri"/>
        </w:rPr>
        <w:t xml:space="preserve">. </w:t>
      </w:r>
      <w:r w:rsidR="00FB3B12">
        <w:rPr>
          <w:rFonts w:ascii="Calibri" w:hAnsi="Calibri" w:cs="Calibri"/>
        </w:rPr>
        <w:t>Anhand von den Ursachen für die Finanzkrise und den Folgen, sowohl für die Banken als auch für die Endkunden, ordne ich die Geschehnisse im Zusammenhang der gerechten Preise ein.</w:t>
      </w:r>
    </w:p>
    <w:p w:rsidR="00242757" w:rsidRDefault="00242757" w:rsidP="007F489E">
      <w:pPr>
        <w:spacing w:line="360" w:lineRule="auto"/>
        <w:ind w:firstLine="708"/>
        <w:jc w:val="both"/>
        <w:rPr>
          <w:rFonts w:ascii="Calibri" w:hAnsi="Calibri" w:cs="Calibri"/>
        </w:rPr>
      </w:pPr>
    </w:p>
    <w:p w:rsidR="00024631" w:rsidRDefault="00242757" w:rsidP="007F489E">
      <w:pPr>
        <w:spacing w:line="360" w:lineRule="auto"/>
        <w:ind w:firstLine="708"/>
        <w:jc w:val="both"/>
        <w:rPr>
          <w:rFonts w:ascii="Calibri" w:hAnsi="Calibri" w:cs="Calibri"/>
        </w:rPr>
      </w:pPr>
      <w:r>
        <w:rPr>
          <w:rFonts w:ascii="Calibri" w:hAnsi="Calibri" w:cs="Calibri"/>
        </w:rPr>
        <w:t xml:space="preserve">Nach der Evaluierung der derzeitigen Gebühren und der Finanzkrise werte ich aktuelle, disruptive Entwicklungen in der Bankenbranche aus. </w:t>
      </w:r>
      <w:r w:rsidR="00467FB2">
        <w:rPr>
          <w:rFonts w:ascii="Calibri" w:hAnsi="Calibri" w:cs="Calibri"/>
        </w:rPr>
        <w:t xml:space="preserve">Dazu gehört das Beleuchten neuer Trends anhand von erfolgreichen Innovatoren. </w:t>
      </w:r>
      <w:r w:rsidR="003616D1">
        <w:rPr>
          <w:rFonts w:ascii="Calibri" w:hAnsi="Calibri" w:cs="Calibri"/>
        </w:rPr>
        <w:t>Als Startup-Bank wird N26 untersucht und ING Diba als erfolgreiche Direktbank. Neben neuen Banken analysiere ich mir auch alternative Finanzdienstleister und Technologien, namentlich PayPal und Bitcoin.</w:t>
      </w:r>
      <w:r w:rsidR="00F73865">
        <w:rPr>
          <w:rFonts w:ascii="Calibri" w:hAnsi="Calibri" w:cs="Calibri"/>
        </w:rPr>
        <w:t xml:space="preserve"> Daneben beleuchte ich die Entwicklung von Kundenanfordernisse und kläre die Wettbewerbsstrukturen im europäischen Bankensektor anhand von Eintrittsbarrieren und Umstellungskosten.</w:t>
      </w:r>
    </w:p>
    <w:p w:rsidR="00F26409" w:rsidRDefault="00F26409" w:rsidP="007F489E">
      <w:pPr>
        <w:spacing w:line="360" w:lineRule="auto"/>
        <w:ind w:firstLine="708"/>
        <w:jc w:val="both"/>
        <w:rPr>
          <w:rFonts w:ascii="Calibri" w:hAnsi="Calibri" w:cs="Calibri"/>
        </w:rPr>
      </w:pPr>
    </w:p>
    <w:p w:rsidR="009A3AD7" w:rsidRPr="00582C6C" w:rsidRDefault="00F26409" w:rsidP="007F489E">
      <w:pPr>
        <w:spacing w:line="360" w:lineRule="auto"/>
        <w:ind w:firstLine="708"/>
        <w:jc w:val="both"/>
        <w:rPr>
          <w:rFonts w:ascii="Calibri" w:hAnsi="Calibri" w:cs="Calibri"/>
        </w:rPr>
      </w:pPr>
      <w:r>
        <w:rPr>
          <w:rFonts w:ascii="Calibri" w:hAnsi="Calibri" w:cs="Calibri"/>
        </w:rPr>
        <w:lastRenderedPageBreak/>
        <w:t xml:space="preserve">Mithilfe der gewonnenen Erkenntnisse evaluiere ich Argumente, die in der Zukunft dafür und dagegen sprechen, dass Bankgebühren gerecht sein werden. </w:t>
      </w:r>
      <w:r w:rsidR="002144A8">
        <w:rPr>
          <w:rFonts w:ascii="Calibri" w:hAnsi="Calibri" w:cs="Calibri"/>
        </w:rPr>
        <w:t xml:space="preserve">Zuletzt fasse ich meine Erkenntnisse in der Conclusio zusammen. </w:t>
      </w:r>
    </w:p>
    <w:p w:rsidR="00187424" w:rsidRPr="009A3AD7" w:rsidRDefault="009A3AD7" w:rsidP="007F489E">
      <w:pPr>
        <w:pStyle w:val="berschrift1"/>
        <w:spacing w:line="360" w:lineRule="auto"/>
        <w:rPr>
          <w:rFonts w:eastAsia="Times New Roman"/>
        </w:rPr>
      </w:pPr>
      <w:bookmarkStart w:id="1" w:name="_Toc11850898"/>
      <w:r>
        <w:rPr>
          <w:rFonts w:eastAsia="Times New Roman"/>
        </w:rPr>
        <w:t xml:space="preserve">2. </w:t>
      </w:r>
      <w:r w:rsidR="00187424" w:rsidRPr="009A3AD7">
        <w:rPr>
          <w:rFonts w:eastAsia="Times New Roman"/>
        </w:rPr>
        <w:t>Der Gerechte Preis – Theorie</w:t>
      </w:r>
      <w:bookmarkEnd w:id="1"/>
    </w:p>
    <w:p w:rsidR="00187424" w:rsidRPr="006126DF" w:rsidRDefault="00187424" w:rsidP="007F489E">
      <w:pPr>
        <w:spacing w:line="360" w:lineRule="auto"/>
        <w:jc w:val="both"/>
        <w:rPr>
          <w:rFonts w:ascii="Calibri" w:hAnsi="Calibri" w:cs="Calibri"/>
        </w:rPr>
      </w:pPr>
    </w:p>
    <w:p w:rsidR="00187424" w:rsidRPr="006126DF" w:rsidRDefault="009A3AD7" w:rsidP="007F489E">
      <w:pPr>
        <w:pStyle w:val="berschrift2"/>
        <w:spacing w:line="360" w:lineRule="auto"/>
        <w:rPr>
          <w:rFonts w:eastAsia="Times New Roman"/>
        </w:rPr>
      </w:pPr>
      <w:bookmarkStart w:id="2" w:name="_Toc11850899"/>
      <w:r>
        <w:rPr>
          <w:rFonts w:eastAsia="Times New Roman"/>
        </w:rPr>
        <w:t>2</w:t>
      </w:r>
      <w:r w:rsidR="006126DF">
        <w:rPr>
          <w:rFonts w:eastAsia="Times New Roman"/>
        </w:rPr>
        <w:t xml:space="preserve">.1 </w:t>
      </w:r>
      <w:r w:rsidR="009E7781" w:rsidRPr="006126DF">
        <w:rPr>
          <w:rFonts w:eastAsia="Times New Roman"/>
        </w:rPr>
        <w:t>Antike</w:t>
      </w:r>
      <w:bookmarkEnd w:id="2"/>
    </w:p>
    <w:p w:rsidR="009E7781" w:rsidRPr="006126DF" w:rsidRDefault="009E7781" w:rsidP="007F489E">
      <w:pPr>
        <w:spacing w:line="360" w:lineRule="auto"/>
        <w:ind w:firstLine="708"/>
        <w:jc w:val="both"/>
        <w:rPr>
          <w:rFonts w:ascii="Calibri" w:hAnsi="Calibri" w:cs="Calibri"/>
        </w:rPr>
      </w:pPr>
      <w:r w:rsidRPr="006126DF">
        <w:rPr>
          <w:rFonts w:ascii="Calibri" w:hAnsi="Calibri" w:cs="Calibri"/>
        </w:rPr>
        <w:t xml:space="preserve">Aristoteles ist vor allem bekannt für seine Werke über Philosophie. Etwas unbekannter, aber dennoch revolutionär, sind seine Ideen über Wirtschaft und die Behandlung des gerechten Preises. </w:t>
      </w:r>
      <w:r w:rsidR="00BA36DB" w:rsidRPr="006126DF">
        <w:rPr>
          <w:rFonts w:ascii="Calibri" w:hAnsi="Calibri" w:cs="Calibri"/>
        </w:rPr>
        <w:t>Denn o</w:t>
      </w:r>
      <w:r w:rsidRPr="006126DF">
        <w:rPr>
          <w:rFonts w:ascii="Calibri" w:hAnsi="Calibri" w:cs="Calibri"/>
        </w:rPr>
        <w:t>bwohl Aristoteles nicht der/die erste war, sich mit dem gerechten Preis auseinanderzusetzen, so sticht er durch seine strukturierten Ansätze</w:t>
      </w:r>
      <w:r w:rsidR="001C4307" w:rsidRPr="006126DF">
        <w:rPr>
          <w:rFonts w:ascii="Calibri" w:hAnsi="Calibri" w:cs="Calibri"/>
        </w:rPr>
        <w:t xml:space="preserve"> heraus, die vor allem ethisch </w:t>
      </w:r>
      <w:r w:rsidR="00820919" w:rsidRPr="006126DF">
        <w:rPr>
          <w:rFonts w:ascii="Calibri" w:hAnsi="Calibri" w:cs="Calibri"/>
        </w:rPr>
        <w:t>als auch</w:t>
      </w:r>
      <w:r w:rsidR="001C4307" w:rsidRPr="006126DF">
        <w:rPr>
          <w:rFonts w:ascii="Calibri" w:hAnsi="Calibri" w:cs="Calibri"/>
        </w:rPr>
        <w:t xml:space="preserve"> normativ geprägt sind</w:t>
      </w:r>
      <w:r w:rsidRPr="006126DF">
        <w:rPr>
          <w:rFonts w:ascii="Calibri" w:hAnsi="Calibri" w:cs="Calibri"/>
        </w:rPr>
        <w:t xml:space="preserve">. </w:t>
      </w:r>
      <w:r w:rsidR="00924CD3" w:rsidRPr="006126DF">
        <w:rPr>
          <w:rFonts w:ascii="Calibri" w:hAnsi="Calibri" w:cs="Calibri"/>
        </w:rPr>
        <w:t>In seinen zwei Werken</w:t>
      </w:r>
      <w:r w:rsidR="00820919" w:rsidRPr="006126DF">
        <w:rPr>
          <w:rFonts w:ascii="Calibri" w:hAnsi="Calibri" w:cs="Calibri"/>
        </w:rPr>
        <w:t xml:space="preserve"> </w:t>
      </w:r>
      <w:r w:rsidR="002726DE">
        <w:rPr>
          <w:rFonts w:ascii="Calibri" w:hAnsi="Calibri" w:cs="Calibri"/>
        </w:rPr>
        <w:t xml:space="preserve">„Politik“ und „Nikomachische Ethik“ </w:t>
      </w:r>
      <w:r w:rsidR="00924CD3" w:rsidRPr="006126DF">
        <w:rPr>
          <w:rFonts w:ascii="Calibri" w:hAnsi="Calibri" w:cs="Calibri"/>
        </w:rPr>
        <w:t>behandelt und unterscheidet Aristoteles die Verteilungsgerechtigkeit und die Tauschgerechtigkeit</w:t>
      </w:r>
      <w:r w:rsidR="00101FCD">
        <w:rPr>
          <w:rFonts w:ascii="Calibri" w:hAnsi="Calibri" w:cs="Calibri"/>
        </w:rPr>
        <w:t xml:space="preserve"> (Knoll, 2016)</w:t>
      </w:r>
      <w:r w:rsidR="00924CD3" w:rsidRPr="006126DF">
        <w:rPr>
          <w:rFonts w:ascii="Calibri" w:hAnsi="Calibri" w:cs="Calibri"/>
        </w:rPr>
        <w:t xml:space="preserve">. </w:t>
      </w:r>
      <w:r w:rsidR="00BA36DB" w:rsidRPr="006126DF">
        <w:rPr>
          <w:rFonts w:ascii="Calibri" w:hAnsi="Calibri" w:cs="Calibri"/>
        </w:rPr>
        <w:t xml:space="preserve">Dabei geht er </w:t>
      </w:r>
      <w:r w:rsidR="00820919" w:rsidRPr="006126DF">
        <w:rPr>
          <w:rFonts w:ascii="Calibri" w:hAnsi="Calibri" w:cs="Calibri"/>
        </w:rPr>
        <w:t xml:space="preserve">allerdings </w:t>
      </w:r>
      <w:r w:rsidR="00BA36DB" w:rsidRPr="006126DF">
        <w:rPr>
          <w:rFonts w:ascii="Calibri" w:hAnsi="Calibri" w:cs="Calibri"/>
        </w:rPr>
        <w:t>nicht auf eine mögliche Beziehung oder Unterscheidung zwischen Markt- und gerechtem Preis ein.</w:t>
      </w:r>
    </w:p>
    <w:p w:rsidR="00523F41" w:rsidRPr="006126DF" w:rsidRDefault="00523F41" w:rsidP="007F489E">
      <w:pPr>
        <w:spacing w:line="360" w:lineRule="auto"/>
        <w:ind w:firstLine="708"/>
        <w:jc w:val="both"/>
        <w:rPr>
          <w:rFonts w:ascii="Calibri" w:hAnsi="Calibri" w:cs="Calibri"/>
        </w:rPr>
      </w:pPr>
    </w:p>
    <w:p w:rsidR="00544A4E" w:rsidRPr="006126DF" w:rsidRDefault="00544A4E" w:rsidP="007F489E">
      <w:pPr>
        <w:spacing w:line="360" w:lineRule="auto"/>
        <w:ind w:firstLine="708"/>
        <w:jc w:val="both"/>
        <w:rPr>
          <w:rFonts w:ascii="Calibri" w:hAnsi="Calibri" w:cs="Calibri"/>
        </w:rPr>
      </w:pPr>
      <w:r w:rsidRPr="006126DF">
        <w:rPr>
          <w:rFonts w:ascii="Calibri" w:hAnsi="Calibri" w:cs="Calibri"/>
        </w:rPr>
        <w:t>In seinem Konzept</w:t>
      </w:r>
      <w:r w:rsidR="00184096" w:rsidRPr="006126DF">
        <w:rPr>
          <w:rFonts w:ascii="Calibri" w:hAnsi="Calibri" w:cs="Calibri"/>
        </w:rPr>
        <w:t xml:space="preserve"> </w:t>
      </w:r>
      <w:r w:rsidRPr="006126DF">
        <w:rPr>
          <w:rFonts w:ascii="Calibri" w:hAnsi="Calibri" w:cs="Calibri"/>
        </w:rPr>
        <w:t xml:space="preserve">der Verteilungsgerechtigkeit, oder Iustitia Distributiva, beschreibt Aristoteles wie Güter innerhalb der Gesellschaft aufgeteilt werden sollen. </w:t>
      </w:r>
      <w:r w:rsidR="00D47C13" w:rsidRPr="006126DF">
        <w:rPr>
          <w:rFonts w:ascii="Calibri" w:hAnsi="Calibri" w:cs="Calibri"/>
        </w:rPr>
        <w:t>Dazu gehören</w:t>
      </w:r>
      <w:r w:rsidRPr="006126DF">
        <w:rPr>
          <w:rFonts w:ascii="Calibri" w:hAnsi="Calibri" w:cs="Calibri"/>
        </w:rPr>
        <w:t xml:space="preserve"> nicht nur materielle</w:t>
      </w:r>
      <w:r w:rsidR="00D47C13" w:rsidRPr="006126DF">
        <w:rPr>
          <w:rFonts w:ascii="Calibri" w:hAnsi="Calibri" w:cs="Calibri"/>
        </w:rPr>
        <w:t xml:space="preserve"> Güter</w:t>
      </w:r>
      <w:r w:rsidRPr="006126DF">
        <w:rPr>
          <w:rFonts w:ascii="Calibri" w:hAnsi="Calibri" w:cs="Calibri"/>
        </w:rPr>
        <w:t>, sondern</w:t>
      </w:r>
      <w:r w:rsidR="00D47C13" w:rsidRPr="006126DF">
        <w:rPr>
          <w:rFonts w:ascii="Calibri" w:hAnsi="Calibri" w:cs="Calibri"/>
        </w:rPr>
        <w:t xml:space="preserve"> auch</w:t>
      </w:r>
      <w:r w:rsidRPr="006126DF">
        <w:rPr>
          <w:rFonts w:ascii="Calibri" w:hAnsi="Calibri" w:cs="Calibri"/>
        </w:rPr>
        <w:t xml:space="preserve"> </w:t>
      </w:r>
      <w:r w:rsidR="00D47C13" w:rsidRPr="006126DF">
        <w:rPr>
          <w:rFonts w:ascii="Calibri" w:hAnsi="Calibri" w:cs="Calibri"/>
        </w:rPr>
        <w:t xml:space="preserve">immaterielle </w:t>
      </w:r>
      <w:r w:rsidR="00820919" w:rsidRPr="006126DF">
        <w:rPr>
          <w:rFonts w:ascii="Calibri" w:hAnsi="Calibri" w:cs="Calibri"/>
        </w:rPr>
        <w:t xml:space="preserve">Güter </w:t>
      </w:r>
      <w:r w:rsidR="00D47C13" w:rsidRPr="006126DF">
        <w:rPr>
          <w:rFonts w:ascii="Calibri" w:hAnsi="Calibri" w:cs="Calibri"/>
        </w:rPr>
        <w:t>wie</w:t>
      </w:r>
      <w:r w:rsidRPr="006126DF">
        <w:rPr>
          <w:rFonts w:ascii="Calibri" w:hAnsi="Calibri" w:cs="Calibri"/>
        </w:rPr>
        <w:t xml:space="preserve"> Ehre </w:t>
      </w:r>
      <w:r w:rsidR="00D47C13" w:rsidRPr="006126DF">
        <w:rPr>
          <w:rFonts w:ascii="Calibri" w:hAnsi="Calibri" w:cs="Calibri"/>
        </w:rPr>
        <w:t xml:space="preserve">oder </w:t>
      </w:r>
      <w:r w:rsidRPr="006126DF">
        <w:rPr>
          <w:rFonts w:ascii="Calibri" w:hAnsi="Calibri" w:cs="Calibri"/>
        </w:rPr>
        <w:t xml:space="preserve">Ämter. </w:t>
      </w:r>
      <w:r w:rsidR="008E1472" w:rsidRPr="006126DF">
        <w:rPr>
          <w:rFonts w:ascii="Calibri" w:hAnsi="Calibri" w:cs="Calibri"/>
        </w:rPr>
        <w:t xml:space="preserve">Aristoteles war der Meinung, dass Individuen, die relativ mehr arbeiten und Kontributionen zur Gesellschaft leisten auch </w:t>
      </w:r>
      <w:r w:rsidR="006858A7" w:rsidRPr="006126DF">
        <w:rPr>
          <w:rFonts w:ascii="Calibri" w:hAnsi="Calibri" w:cs="Calibri"/>
        </w:rPr>
        <w:t>mehr oder bessere</w:t>
      </w:r>
      <w:r w:rsidR="008E1472" w:rsidRPr="006126DF">
        <w:rPr>
          <w:rFonts w:ascii="Calibri" w:hAnsi="Calibri" w:cs="Calibri"/>
        </w:rPr>
        <w:t xml:space="preserve"> Güter erhalten sollen</w:t>
      </w:r>
      <w:r w:rsidR="00101FCD">
        <w:rPr>
          <w:rFonts w:ascii="Calibri" w:hAnsi="Calibri" w:cs="Calibri"/>
        </w:rPr>
        <w:t xml:space="preserve"> (Young, 2006)</w:t>
      </w:r>
      <w:r w:rsidR="008E1472" w:rsidRPr="006126DF">
        <w:rPr>
          <w:rFonts w:ascii="Calibri" w:hAnsi="Calibri" w:cs="Calibri"/>
        </w:rPr>
        <w:t xml:space="preserve">. </w:t>
      </w:r>
    </w:p>
    <w:p w:rsidR="00523F41" w:rsidRPr="006126DF" w:rsidRDefault="00523F41" w:rsidP="007F489E">
      <w:pPr>
        <w:spacing w:line="360" w:lineRule="auto"/>
        <w:ind w:firstLine="708"/>
        <w:jc w:val="both"/>
        <w:rPr>
          <w:rFonts w:ascii="Calibri" w:hAnsi="Calibri" w:cs="Calibri"/>
        </w:rPr>
      </w:pPr>
    </w:p>
    <w:p w:rsidR="006969D9" w:rsidRPr="006126DF" w:rsidRDefault="006969D9" w:rsidP="007F489E">
      <w:pPr>
        <w:spacing w:line="360" w:lineRule="auto"/>
        <w:ind w:firstLine="708"/>
        <w:jc w:val="both"/>
        <w:rPr>
          <w:rFonts w:ascii="Calibri" w:hAnsi="Calibri" w:cs="Calibri"/>
        </w:rPr>
      </w:pPr>
      <w:r w:rsidRPr="006126DF">
        <w:rPr>
          <w:rFonts w:ascii="Calibri" w:hAnsi="Calibri" w:cs="Calibri"/>
        </w:rPr>
        <w:t xml:space="preserve">Aristoteles verfolgt ein ähnliches Konzept für die Tauschgerechtigkeit. Im Tausch, oder Handel, soll der Wert der Eigenleistung mit dem Wert der Gegenleistung übereinstimmen. Er betont, dass alle am Tausch teilnehmende Parteien gleich und fair behandelt werden müssen. Hierbei wendet er außerdem das Prinzip der Wiedervergeltung an. Das Prinzip besagt, dass der Tausch nur dann gerecht ist, wenn dieser freiwillig, unter gleichen Voraussetzungen und dem Wert angemessen war. </w:t>
      </w:r>
      <w:r w:rsidR="00827511" w:rsidRPr="006126DF">
        <w:rPr>
          <w:rFonts w:ascii="Calibri" w:hAnsi="Calibri" w:cs="Calibri"/>
        </w:rPr>
        <w:t>Wenn diese Voraussetzungen nicht eingehalten wurden, so ist es die Aufgabe des Staates einzugreifen und diese Rahmenbedingungen zu schaffen</w:t>
      </w:r>
      <w:r w:rsidR="00101FCD">
        <w:rPr>
          <w:rFonts w:ascii="Calibri" w:hAnsi="Calibri" w:cs="Calibri"/>
        </w:rPr>
        <w:t xml:space="preserve"> (Peneconomics, 2016)</w:t>
      </w:r>
      <w:r w:rsidR="00827511" w:rsidRPr="006126DF">
        <w:rPr>
          <w:rFonts w:ascii="Calibri" w:hAnsi="Calibri" w:cs="Calibri"/>
        </w:rPr>
        <w:t xml:space="preserve">. </w:t>
      </w:r>
      <w:r w:rsidR="00523F41" w:rsidRPr="006126DF">
        <w:rPr>
          <w:rFonts w:ascii="Calibri" w:hAnsi="Calibri" w:cs="Calibri"/>
        </w:rPr>
        <w:t xml:space="preserve">Für Aristoteles haben Güter einen messbaren Wert, der eine Einordnung in gerecht oder ungerecht erlaubt. </w:t>
      </w:r>
    </w:p>
    <w:p w:rsidR="00DC32A9" w:rsidRPr="006126DF" w:rsidRDefault="00DC32A9" w:rsidP="007F489E">
      <w:pPr>
        <w:spacing w:line="360" w:lineRule="auto"/>
        <w:ind w:firstLine="708"/>
        <w:jc w:val="both"/>
        <w:rPr>
          <w:rFonts w:ascii="Calibri" w:hAnsi="Calibri" w:cs="Calibri"/>
        </w:rPr>
      </w:pPr>
    </w:p>
    <w:p w:rsidR="00BA36DB" w:rsidRPr="006126DF" w:rsidRDefault="00DC32A9" w:rsidP="007F489E">
      <w:pPr>
        <w:spacing w:line="360" w:lineRule="auto"/>
        <w:ind w:firstLine="708"/>
        <w:jc w:val="both"/>
        <w:rPr>
          <w:rFonts w:ascii="Calibri" w:hAnsi="Calibri" w:cs="Calibri"/>
        </w:rPr>
      </w:pPr>
      <w:r w:rsidRPr="006126DF">
        <w:rPr>
          <w:rFonts w:ascii="Calibri" w:hAnsi="Calibri" w:cs="Calibri"/>
        </w:rPr>
        <w:t xml:space="preserve">Für die weitere Einordnung von Aristoteles Ansichten des gerechten Preises hilft außerdem seine Sicht auf Geld. Ein kontrollierter Geldfluss sah er als wichtig an für eine florierende Gesellschaft. </w:t>
      </w:r>
      <w:r w:rsidR="001F2A26" w:rsidRPr="006126DF">
        <w:rPr>
          <w:rFonts w:ascii="Calibri" w:hAnsi="Calibri" w:cs="Calibri"/>
        </w:rPr>
        <w:t>Laut Aristoteles liegt der „Wert“ des Geldes in den folgenden drei Funktionen: Geld als Tauschmedium, zur Wertmessung und zur Wertaufbewahrung</w:t>
      </w:r>
      <w:r w:rsidR="00101FCD">
        <w:rPr>
          <w:rFonts w:ascii="Calibri" w:hAnsi="Calibri" w:cs="Calibri"/>
        </w:rPr>
        <w:t xml:space="preserve"> (Young, 2006)</w:t>
      </w:r>
      <w:r w:rsidR="001F2A26" w:rsidRPr="006126DF">
        <w:rPr>
          <w:rFonts w:ascii="Calibri" w:hAnsi="Calibri" w:cs="Calibri"/>
        </w:rPr>
        <w:t>. Diese modernen Ansichten</w:t>
      </w:r>
      <w:r w:rsidR="002A1ADC" w:rsidRPr="006126DF">
        <w:rPr>
          <w:rFonts w:ascii="Calibri" w:hAnsi="Calibri" w:cs="Calibri"/>
        </w:rPr>
        <w:t xml:space="preserve"> werden ergänzt durch seine Befürwortung von privatem Grundbesitz, welches die Markteilnahme und Zufriedenheit </w:t>
      </w:r>
      <w:r w:rsidR="00B3697B" w:rsidRPr="006126DF">
        <w:rPr>
          <w:rFonts w:ascii="Calibri" w:hAnsi="Calibri" w:cs="Calibri"/>
        </w:rPr>
        <w:t xml:space="preserve">der Menschen </w:t>
      </w:r>
      <w:r w:rsidR="002A1ADC" w:rsidRPr="006126DF">
        <w:rPr>
          <w:rFonts w:ascii="Calibri" w:hAnsi="Calibri" w:cs="Calibri"/>
        </w:rPr>
        <w:t>erhöh</w:t>
      </w:r>
      <w:r w:rsidR="00B3697B" w:rsidRPr="006126DF">
        <w:rPr>
          <w:rFonts w:ascii="Calibri" w:hAnsi="Calibri" w:cs="Calibri"/>
        </w:rPr>
        <w:t>e</w:t>
      </w:r>
      <w:r w:rsidR="002A1ADC" w:rsidRPr="006126DF">
        <w:rPr>
          <w:rFonts w:ascii="Calibri" w:hAnsi="Calibri" w:cs="Calibri"/>
        </w:rPr>
        <w:t xml:space="preserve">. Diese </w:t>
      </w:r>
      <w:r w:rsidR="00B3697B" w:rsidRPr="006126DF">
        <w:rPr>
          <w:rFonts w:ascii="Calibri" w:hAnsi="Calibri" w:cs="Calibri"/>
        </w:rPr>
        <w:t xml:space="preserve">modernen </w:t>
      </w:r>
      <w:r w:rsidR="002A1ADC" w:rsidRPr="006126DF">
        <w:rPr>
          <w:rFonts w:ascii="Calibri" w:hAnsi="Calibri" w:cs="Calibri"/>
        </w:rPr>
        <w:t>Ansichten</w:t>
      </w:r>
      <w:r w:rsidR="001F2A26" w:rsidRPr="006126DF">
        <w:rPr>
          <w:rFonts w:ascii="Calibri" w:hAnsi="Calibri" w:cs="Calibri"/>
        </w:rPr>
        <w:t xml:space="preserve"> stehen im Gegensatz zu seiner Abneigung gegenüber Zinsen, die er als gierig abtut. </w:t>
      </w:r>
    </w:p>
    <w:p w:rsidR="002A1ADC" w:rsidRPr="006126DF" w:rsidRDefault="002A1ADC" w:rsidP="007F489E">
      <w:pPr>
        <w:spacing w:line="360" w:lineRule="auto"/>
        <w:ind w:firstLine="708"/>
        <w:jc w:val="both"/>
        <w:rPr>
          <w:rFonts w:ascii="Calibri" w:hAnsi="Calibri" w:cs="Calibri"/>
        </w:rPr>
      </w:pPr>
    </w:p>
    <w:p w:rsidR="002A1ADC" w:rsidRPr="006126DF" w:rsidRDefault="002A1ADC" w:rsidP="007F489E">
      <w:pPr>
        <w:spacing w:line="360" w:lineRule="auto"/>
        <w:ind w:firstLine="708"/>
        <w:jc w:val="both"/>
        <w:rPr>
          <w:rFonts w:ascii="Calibri" w:hAnsi="Calibri" w:cs="Calibri"/>
        </w:rPr>
      </w:pPr>
      <w:r w:rsidRPr="006126DF">
        <w:rPr>
          <w:rFonts w:ascii="Calibri" w:hAnsi="Calibri" w:cs="Calibri"/>
        </w:rPr>
        <w:t>Im Folgenden wird erkennbar, wie Aristoteles‘ Ideen die Grundlagen für weitere Beurteilung des gerechten Preises bilden.</w:t>
      </w:r>
    </w:p>
    <w:p w:rsidR="00B45F4F" w:rsidRPr="006126DF" w:rsidRDefault="00B45F4F" w:rsidP="007F489E">
      <w:pPr>
        <w:spacing w:line="360" w:lineRule="auto"/>
        <w:jc w:val="both"/>
        <w:rPr>
          <w:rFonts w:ascii="Calibri" w:hAnsi="Calibri" w:cs="Calibri"/>
        </w:rPr>
      </w:pPr>
    </w:p>
    <w:p w:rsidR="00B45F4F" w:rsidRPr="006126DF" w:rsidRDefault="00766C58" w:rsidP="007F489E">
      <w:pPr>
        <w:pStyle w:val="berschrift2"/>
        <w:spacing w:line="360" w:lineRule="auto"/>
        <w:rPr>
          <w:rFonts w:eastAsia="Times New Roman"/>
        </w:rPr>
      </w:pPr>
      <w:bookmarkStart w:id="3" w:name="_Toc11850900"/>
      <w:r>
        <w:rPr>
          <w:rFonts w:eastAsia="Times New Roman"/>
        </w:rPr>
        <w:t>2</w:t>
      </w:r>
      <w:r w:rsidR="006126DF">
        <w:rPr>
          <w:rFonts w:eastAsia="Times New Roman"/>
        </w:rPr>
        <w:t xml:space="preserve">.2 </w:t>
      </w:r>
      <w:r w:rsidR="00B45F4F" w:rsidRPr="006126DF">
        <w:rPr>
          <w:rFonts w:eastAsia="Times New Roman"/>
        </w:rPr>
        <w:t>Mittelalter</w:t>
      </w:r>
      <w:bookmarkEnd w:id="3"/>
    </w:p>
    <w:p w:rsidR="00187424" w:rsidRPr="006126DF" w:rsidRDefault="00B45F4F" w:rsidP="007F489E">
      <w:pPr>
        <w:spacing w:line="360" w:lineRule="auto"/>
        <w:ind w:firstLine="708"/>
        <w:jc w:val="both"/>
        <w:rPr>
          <w:rFonts w:ascii="Calibri" w:hAnsi="Calibri" w:cs="Calibri"/>
        </w:rPr>
      </w:pPr>
      <w:r w:rsidRPr="006126DF">
        <w:rPr>
          <w:rFonts w:ascii="Calibri" w:hAnsi="Calibri" w:cs="Calibri"/>
        </w:rPr>
        <w:t xml:space="preserve">Viele Jahrhunderte nach Aristoteles wurde die Idee des gerechten Preises wieder aufgegriffen. Zu dieser Zeit hatte die Kirche großen Einfluss auf das Wirtschafts- und Sozialleben in Europa und daher wurden Überlegungen des gerechten Preises in diesem Kontext eingebettet. </w:t>
      </w:r>
      <w:r w:rsidR="007D5A5B" w:rsidRPr="006126DF">
        <w:rPr>
          <w:rFonts w:ascii="Calibri" w:hAnsi="Calibri" w:cs="Calibri"/>
        </w:rPr>
        <w:t>Vor allem beschäftigten sich Akademiker mit dem Konzept der Zinsen, welches der Bibel eigentlich wiederspricht</w:t>
      </w:r>
      <w:r w:rsidR="00B3697B" w:rsidRPr="006126DF">
        <w:rPr>
          <w:rFonts w:ascii="Calibri" w:hAnsi="Calibri" w:cs="Calibri"/>
        </w:rPr>
        <w:t>,</w:t>
      </w:r>
      <w:r w:rsidR="007D5A5B" w:rsidRPr="006126DF">
        <w:rPr>
          <w:rFonts w:ascii="Calibri" w:hAnsi="Calibri" w:cs="Calibri"/>
        </w:rPr>
        <w:t xml:space="preserve"> und dem gerechten Preis. </w:t>
      </w:r>
    </w:p>
    <w:p w:rsidR="007D5A5B" w:rsidRPr="006126DF" w:rsidRDefault="007D5A5B" w:rsidP="007F489E">
      <w:pPr>
        <w:spacing w:line="360" w:lineRule="auto"/>
        <w:ind w:firstLine="708"/>
        <w:jc w:val="both"/>
        <w:rPr>
          <w:rFonts w:ascii="Calibri" w:hAnsi="Calibri" w:cs="Calibri"/>
        </w:rPr>
      </w:pPr>
    </w:p>
    <w:p w:rsidR="007D5A5B" w:rsidRPr="006126DF" w:rsidRDefault="007D5A5B" w:rsidP="007F489E">
      <w:pPr>
        <w:spacing w:line="360" w:lineRule="auto"/>
        <w:ind w:firstLine="708"/>
        <w:jc w:val="both"/>
        <w:rPr>
          <w:rFonts w:ascii="Calibri" w:hAnsi="Calibri" w:cs="Calibri"/>
        </w:rPr>
      </w:pPr>
      <w:r w:rsidRPr="006126DF">
        <w:rPr>
          <w:rFonts w:ascii="Calibri" w:hAnsi="Calibri" w:cs="Calibri"/>
        </w:rPr>
        <w:t xml:space="preserve">Insbesondere Thomas Aquinas fügte neue, wichtige Überlegungen zum gerechten Preis hinzu. </w:t>
      </w:r>
      <w:r w:rsidR="00FF3D6A" w:rsidRPr="006126DF">
        <w:rPr>
          <w:rFonts w:ascii="Calibri" w:hAnsi="Calibri" w:cs="Calibri"/>
        </w:rPr>
        <w:t xml:space="preserve">Daher wird bis heute das Konzept des gerechten Preises häufig mit seinem Namen in Verbindung gebracht. </w:t>
      </w:r>
      <w:r w:rsidR="0035038C" w:rsidRPr="006126DF">
        <w:rPr>
          <w:rFonts w:ascii="Calibri" w:hAnsi="Calibri" w:cs="Calibri"/>
        </w:rPr>
        <w:t>In Aquinas Werk „Summa Theologica“ entwickelt er Aristoteles Arbeit weiter</w:t>
      </w:r>
      <w:r w:rsidR="006E58A1" w:rsidRPr="006126DF">
        <w:rPr>
          <w:rFonts w:ascii="Calibri" w:hAnsi="Calibri" w:cs="Calibri"/>
        </w:rPr>
        <w:t>, aber wiederspricht ihm auch</w:t>
      </w:r>
      <w:r w:rsidR="0035038C" w:rsidRPr="006126DF">
        <w:rPr>
          <w:rFonts w:ascii="Calibri" w:hAnsi="Calibri" w:cs="Calibri"/>
        </w:rPr>
        <w:t xml:space="preserve">. </w:t>
      </w:r>
    </w:p>
    <w:p w:rsidR="006E58A1" w:rsidRPr="006126DF" w:rsidRDefault="006E58A1" w:rsidP="007F489E">
      <w:pPr>
        <w:spacing w:line="360" w:lineRule="auto"/>
        <w:ind w:firstLine="708"/>
        <w:jc w:val="both"/>
        <w:rPr>
          <w:rFonts w:ascii="Calibri" w:hAnsi="Calibri" w:cs="Calibri"/>
        </w:rPr>
      </w:pPr>
    </w:p>
    <w:p w:rsidR="006320B1" w:rsidRPr="006126DF" w:rsidRDefault="006E58A1" w:rsidP="007F489E">
      <w:pPr>
        <w:spacing w:line="360" w:lineRule="auto"/>
        <w:ind w:firstLine="708"/>
        <w:jc w:val="both"/>
        <w:rPr>
          <w:rFonts w:ascii="Calibri" w:hAnsi="Calibri" w:cs="Calibri"/>
        </w:rPr>
      </w:pPr>
      <w:r w:rsidRPr="006126DF">
        <w:rPr>
          <w:rFonts w:ascii="Calibri" w:hAnsi="Calibri" w:cs="Calibri"/>
        </w:rPr>
        <w:t xml:space="preserve">Aquina stimmt Aritoteles zu, dass der Wert bestimmter Güter </w:t>
      </w:r>
      <w:r w:rsidR="00B3697B" w:rsidRPr="006126DF">
        <w:rPr>
          <w:rFonts w:ascii="Calibri" w:hAnsi="Calibri" w:cs="Calibri"/>
        </w:rPr>
        <w:t>objektiv definiert</w:t>
      </w:r>
      <w:r w:rsidRPr="006126DF">
        <w:rPr>
          <w:rFonts w:ascii="Calibri" w:hAnsi="Calibri" w:cs="Calibri"/>
        </w:rPr>
        <w:t xml:space="preserve"> werden kann. Allerdings sieht Aquina diese Wertbeschreibung als fließend an, sodass sich ein Gut, abhängig von Raum und Zeit, in seinem Wert verändern kann</w:t>
      </w:r>
      <w:r w:rsidR="00101FCD">
        <w:rPr>
          <w:rFonts w:ascii="Calibri" w:hAnsi="Calibri" w:cs="Calibri"/>
        </w:rPr>
        <w:t xml:space="preserve"> (</w:t>
      </w:r>
      <w:r w:rsidR="00307934">
        <w:rPr>
          <w:rFonts w:ascii="Calibri" w:hAnsi="Calibri" w:cs="Calibri"/>
        </w:rPr>
        <w:t>Hecker, 2008</w:t>
      </w:r>
      <w:r w:rsidR="00101FCD">
        <w:rPr>
          <w:rFonts w:ascii="Calibri" w:hAnsi="Calibri" w:cs="Calibri"/>
        </w:rPr>
        <w:t>)</w:t>
      </w:r>
      <w:r w:rsidRPr="006126DF">
        <w:rPr>
          <w:rFonts w:ascii="Calibri" w:hAnsi="Calibri" w:cs="Calibri"/>
        </w:rPr>
        <w:t>. Wenn ein Gut jemandem besonder</w:t>
      </w:r>
      <w:r w:rsidR="006320B1" w:rsidRPr="006126DF">
        <w:rPr>
          <w:rFonts w:ascii="Calibri" w:hAnsi="Calibri" w:cs="Calibri"/>
        </w:rPr>
        <w:t>s</w:t>
      </w:r>
      <w:r w:rsidRPr="006126DF">
        <w:rPr>
          <w:rFonts w:ascii="Calibri" w:hAnsi="Calibri" w:cs="Calibri"/>
        </w:rPr>
        <w:t xml:space="preserve"> viel Nutzen stiften kann, so kann der Wert sich nach oben korrigieren. Gleichzeitig können Güter, die es im Überfluss gibt, weniger wert sein, als seltene Güter</w:t>
      </w:r>
      <w:r w:rsidR="00101FCD">
        <w:rPr>
          <w:rFonts w:ascii="Calibri" w:hAnsi="Calibri" w:cs="Calibri"/>
        </w:rPr>
        <w:t xml:space="preserve"> (</w:t>
      </w:r>
      <w:r w:rsidR="00307934">
        <w:rPr>
          <w:rFonts w:ascii="Calibri" w:hAnsi="Calibri" w:cs="Calibri"/>
        </w:rPr>
        <w:t>Hecker, 2008</w:t>
      </w:r>
      <w:r w:rsidR="00101FCD">
        <w:rPr>
          <w:rFonts w:ascii="Calibri" w:hAnsi="Calibri" w:cs="Calibri"/>
        </w:rPr>
        <w:t>)</w:t>
      </w:r>
      <w:r w:rsidRPr="006126DF">
        <w:rPr>
          <w:rFonts w:ascii="Calibri" w:hAnsi="Calibri" w:cs="Calibri"/>
        </w:rPr>
        <w:t xml:space="preserve">. </w:t>
      </w:r>
    </w:p>
    <w:p w:rsidR="006320B1" w:rsidRPr="006126DF" w:rsidRDefault="006320B1" w:rsidP="007F489E">
      <w:pPr>
        <w:spacing w:line="360" w:lineRule="auto"/>
        <w:ind w:firstLine="708"/>
        <w:jc w:val="both"/>
        <w:rPr>
          <w:rFonts w:ascii="Calibri" w:hAnsi="Calibri" w:cs="Calibri"/>
        </w:rPr>
      </w:pPr>
    </w:p>
    <w:p w:rsidR="00330C3D" w:rsidRPr="006126DF" w:rsidRDefault="007F5C5F" w:rsidP="007F489E">
      <w:pPr>
        <w:spacing w:line="360" w:lineRule="auto"/>
        <w:ind w:firstLine="708"/>
        <w:jc w:val="both"/>
        <w:rPr>
          <w:rFonts w:ascii="Calibri" w:hAnsi="Calibri" w:cs="Calibri"/>
        </w:rPr>
      </w:pPr>
      <w:r w:rsidRPr="006126DF">
        <w:rPr>
          <w:rFonts w:ascii="Calibri" w:hAnsi="Calibri" w:cs="Calibri"/>
        </w:rPr>
        <w:lastRenderedPageBreak/>
        <w:t>Eine weitere, neue Überl</w:t>
      </w:r>
      <w:r w:rsidR="00302860">
        <w:rPr>
          <w:rFonts w:ascii="Calibri" w:hAnsi="Calibri" w:cs="Calibri"/>
        </w:rPr>
        <w:t>N</w:t>
      </w:r>
      <w:r w:rsidRPr="006126DF">
        <w:rPr>
          <w:rFonts w:ascii="Calibri" w:hAnsi="Calibri" w:cs="Calibri"/>
        </w:rPr>
        <w:t xml:space="preserve">egung Aquinas lag im Kontext des Tauschs. Für Aristoteles hat ein Gut, zB ein Huhn, den gleichen Wert, unabhängig vom Zeitpunkt oder Ort. Aquinas unterscheidet den Wert für ein Huhn, je nachdem wie viel Wert es dem Besitzer schafft und welche Fähigkeiten dieser besitzt. Wenn ein Bauer weiß, wie er Hühner nutzt, sodass diese Eier legen und </w:t>
      </w:r>
      <w:r w:rsidR="00B3697B" w:rsidRPr="006126DF">
        <w:rPr>
          <w:rFonts w:ascii="Calibri" w:hAnsi="Calibri" w:cs="Calibri"/>
        </w:rPr>
        <w:t>sie</w:t>
      </w:r>
      <w:r w:rsidRPr="006126DF">
        <w:rPr>
          <w:rFonts w:ascii="Calibri" w:hAnsi="Calibri" w:cs="Calibri"/>
        </w:rPr>
        <w:t xml:space="preserve"> anschließend verkaufen kann, so ist ein Huhn für den fähigen Bauern mehr wert, als für jemanden, der darüber keine Kenntnis hat. </w:t>
      </w:r>
      <w:r w:rsidR="009F4743" w:rsidRPr="006126DF">
        <w:rPr>
          <w:rFonts w:ascii="Calibri" w:hAnsi="Calibri" w:cs="Calibri"/>
        </w:rPr>
        <w:t xml:space="preserve">Nichtsdestotrotz stimmt Aquinas Aristoteles zu, wonach Güter nicht teurer als der tatsächliche Wert verkauft werden dürfen. </w:t>
      </w:r>
      <w:r w:rsidR="00893D57" w:rsidRPr="006126DF">
        <w:rPr>
          <w:rFonts w:ascii="Calibri" w:hAnsi="Calibri" w:cs="Calibri"/>
        </w:rPr>
        <w:t>Laut Aquinas müssen Händler für die Gegenpartei kompensieren, wenn sie einen zu großen Vorteil aus einem Tausch ziehen</w:t>
      </w:r>
      <w:r w:rsidR="00101FCD">
        <w:rPr>
          <w:rFonts w:ascii="Calibri" w:hAnsi="Calibri" w:cs="Calibri"/>
        </w:rPr>
        <w:t xml:space="preserve"> (</w:t>
      </w:r>
      <w:r w:rsidR="00307934">
        <w:rPr>
          <w:rFonts w:ascii="Calibri" w:hAnsi="Calibri" w:cs="Calibri"/>
        </w:rPr>
        <w:t>Söllner, 2012</w:t>
      </w:r>
      <w:r w:rsidR="00101FCD">
        <w:rPr>
          <w:rFonts w:ascii="Calibri" w:hAnsi="Calibri" w:cs="Calibri"/>
        </w:rPr>
        <w:t>)</w:t>
      </w:r>
      <w:r w:rsidR="00893D57" w:rsidRPr="006126DF">
        <w:rPr>
          <w:rFonts w:ascii="Calibri" w:hAnsi="Calibri" w:cs="Calibri"/>
        </w:rPr>
        <w:t xml:space="preserve">. </w:t>
      </w:r>
    </w:p>
    <w:p w:rsidR="00330C3D" w:rsidRPr="006126DF" w:rsidRDefault="00330C3D" w:rsidP="007F489E">
      <w:pPr>
        <w:spacing w:line="360" w:lineRule="auto"/>
        <w:jc w:val="both"/>
        <w:rPr>
          <w:rFonts w:ascii="Calibri" w:hAnsi="Calibri" w:cs="Calibri"/>
        </w:rPr>
      </w:pPr>
    </w:p>
    <w:p w:rsidR="007F5C5F" w:rsidRPr="006126DF" w:rsidRDefault="00330C3D" w:rsidP="007F489E">
      <w:pPr>
        <w:spacing w:line="360" w:lineRule="auto"/>
        <w:ind w:firstLine="708"/>
        <w:jc w:val="both"/>
        <w:rPr>
          <w:rFonts w:ascii="Calibri" w:hAnsi="Calibri" w:cs="Calibri"/>
        </w:rPr>
      </w:pPr>
      <w:r w:rsidRPr="006126DF">
        <w:rPr>
          <w:rFonts w:ascii="Calibri" w:hAnsi="Calibri" w:cs="Calibri"/>
        </w:rPr>
        <w:t>Konzepte aus dem Mittelalter existieren auch heute noch. Wucherzinsen, Preisregulation oder unsere heutige „Verkürzung über die Hälfte“ lehnen an die Ideen aus der Zeit an.</w:t>
      </w:r>
    </w:p>
    <w:p w:rsidR="00EE2B25" w:rsidRPr="006126DF" w:rsidRDefault="00EE2B25" w:rsidP="007F489E">
      <w:pPr>
        <w:spacing w:line="360" w:lineRule="auto"/>
        <w:jc w:val="both"/>
        <w:rPr>
          <w:rFonts w:ascii="Calibri" w:hAnsi="Calibri" w:cs="Calibri"/>
        </w:rPr>
      </w:pPr>
    </w:p>
    <w:p w:rsidR="00EE2B25" w:rsidRPr="006126DF" w:rsidRDefault="00766C58" w:rsidP="007F489E">
      <w:pPr>
        <w:pStyle w:val="berschrift2"/>
        <w:spacing w:line="360" w:lineRule="auto"/>
        <w:rPr>
          <w:rFonts w:eastAsia="Times New Roman"/>
        </w:rPr>
      </w:pPr>
      <w:bookmarkStart w:id="4" w:name="_Toc11850901"/>
      <w:r>
        <w:rPr>
          <w:rFonts w:eastAsia="Times New Roman"/>
        </w:rPr>
        <w:t>2</w:t>
      </w:r>
      <w:r w:rsidR="006126DF">
        <w:rPr>
          <w:rFonts w:eastAsia="Times New Roman"/>
        </w:rPr>
        <w:t xml:space="preserve">.3 </w:t>
      </w:r>
      <w:r w:rsidR="00EE2B25" w:rsidRPr="006126DF">
        <w:rPr>
          <w:rFonts w:eastAsia="Times New Roman"/>
        </w:rPr>
        <w:t>Neuzeit</w:t>
      </w:r>
      <w:bookmarkEnd w:id="4"/>
    </w:p>
    <w:p w:rsidR="002A034F" w:rsidRPr="006126DF" w:rsidRDefault="00EE2B25" w:rsidP="007F489E">
      <w:pPr>
        <w:spacing w:line="360" w:lineRule="auto"/>
        <w:ind w:firstLine="708"/>
        <w:jc w:val="both"/>
        <w:rPr>
          <w:rFonts w:ascii="Calibri" w:hAnsi="Calibri" w:cs="Calibri"/>
        </w:rPr>
      </w:pPr>
      <w:r w:rsidRPr="006126DF">
        <w:rPr>
          <w:rFonts w:ascii="Calibri" w:hAnsi="Calibri" w:cs="Calibri"/>
        </w:rPr>
        <w:t xml:space="preserve">Die Neuzeit ist geprägt von wirtschaftlichem Aufschwung. </w:t>
      </w:r>
      <w:r w:rsidR="002A034F" w:rsidRPr="006126DF">
        <w:rPr>
          <w:rFonts w:ascii="Calibri" w:hAnsi="Calibri" w:cs="Calibri"/>
        </w:rPr>
        <w:t>Der</w:t>
      </w:r>
      <w:r w:rsidRPr="006126DF">
        <w:rPr>
          <w:rFonts w:ascii="Calibri" w:hAnsi="Calibri" w:cs="Calibri"/>
        </w:rPr>
        <w:t xml:space="preserve"> Merkantilismus</w:t>
      </w:r>
      <w:r w:rsidR="002A034F" w:rsidRPr="006126DF">
        <w:rPr>
          <w:rFonts w:ascii="Calibri" w:hAnsi="Calibri" w:cs="Calibri"/>
        </w:rPr>
        <w:t xml:space="preserve"> hat die </w:t>
      </w:r>
      <w:r w:rsidRPr="006126DF">
        <w:rPr>
          <w:rFonts w:ascii="Calibri" w:hAnsi="Calibri" w:cs="Calibri"/>
        </w:rPr>
        <w:t>Kirche zurückgedrängt</w:t>
      </w:r>
      <w:r w:rsidR="00B3697B" w:rsidRPr="006126DF">
        <w:rPr>
          <w:rFonts w:ascii="Calibri" w:hAnsi="Calibri" w:cs="Calibri"/>
        </w:rPr>
        <w:t>,</w:t>
      </w:r>
      <w:r w:rsidRPr="006126DF">
        <w:rPr>
          <w:rFonts w:ascii="Calibri" w:hAnsi="Calibri" w:cs="Calibri"/>
        </w:rPr>
        <w:t xml:space="preserve"> zugunsten </w:t>
      </w:r>
      <w:r w:rsidR="00B3697B" w:rsidRPr="006126DF">
        <w:rPr>
          <w:rFonts w:ascii="Calibri" w:hAnsi="Calibri" w:cs="Calibri"/>
        </w:rPr>
        <w:t>des</w:t>
      </w:r>
      <w:r w:rsidRPr="006126DF">
        <w:rPr>
          <w:rFonts w:ascii="Calibri" w:hAnsi="Calibri" w:cs="Calibri"/>
        </w:rPr>
        <w:t xml:space="preserve"> Ziel</w:t>
      </w:r>
      <w:r w:rsidR="00B3697B" w:rsidRPr="006126DF">
        <w:rPr>
          <w:rFonts w:ascii="Calibri" w:hAnsi="Calibri" w:cs="Calibri"/>
        </w:rPr>
        <w:t>s</w:t>
      </w:r>
      <w:r w:rsidRPr="006126DF">
        <w:rPr>
          <w:rFonts w:ascii="Calibri" w:hAnsi="Calibri" w:cs="Calibri"/>
        </w:rPr>
        <w:t xml:space="preserve"> </w:t>
      </w:r>
      <w:r w:rsidR="00B80EAD" w:rsidRPr="006126DF">
        <w:rPr>
          <w:rFonts w:ascii="Calibri" w:hAnsi="Calibri" w:cs="Calibri"/>
        </w:rPr>
        <w:t>materiell wohlhabend</w:t>
      </w:r>
      <w:r w:rsidRPr="006126DF">
        <w:rPr>
          <w:rFonts w:ascii="Calibri" w:hAnsi="Calibri" w:cs="Calibri"/>
        </w:rPr>
        <w:t xml:space="preserve"> zu </w:t>
      </w:r>
      <w:r w:rsidR="00B80EAD" w:rsidRPr="006126DF">
        <w:rPr>
          <w:rFonts w:ascii="Calibri" w:hAnsi="Calibri" w:cs="Calibri"/>
        </w:rPr>
        <w:t>sein</w:t>
      </w:r>
      <w:r w:rsidR="002A034F" w:rsidRPr="006126DF">
        <w:rPr>
          <w:rFonts w:ascii="Calibri" w:hAnsi="Calibri" w:cs="Calibri"/>
        </w:rPr>
        <w:t>. Die merkantilistischen Merkmale bestanden darin, Gewinne zu erzielen, diesen zu maximieren und lukrativ zu handeln. Der Wert eines Gutes wurde als ein Wert gesehen, der vom Markt bestimmt wird</w:t>
      </w:r>
      <w:r w:rsidR="00B3697B" w:rsidRPr="006126DF">
        <w:rPr>
          <w:rFonts w:ascii="Calibri" w:hAnsi="Calibri" w:cs="Calibri"/>
        </w:rPr>
        <w:t>, der M</w:t>
      </w:r>
      <w:r w:rsidR="002A034F" w:rsidRPr="006126DF">
        <w:rPr>
          <w:rFonts w:ascii="Calibri" w:hAnsi="Calibri" w:cs="Calibri"/>
        </w:rPr>
        <w:t>arktpreis. Angebot und Nachfrage entscheiden auf dem Markt über diesen Wert</w:t>
      </w:r>
      <w:r w:rsidR="00307934">
        <w:rPr>
          <w:rFonts w:ascii="Calibri" w:hAnsi="Calibri" w:cs="Calibri"/>
        </w:rPr>
        <w:t xml:space="preserve"> (Andrews, 2014)</w:t>
      </w:r>
      <w:r w:rsidR="002A034F" w:rsidRPr="006126DF">
        <w:rPr>
          <w:rFonts w:ascii="Calibri" w:hAnsi="Calibri" w:cs="Calibri"/>
        </w:rPr>
        <w:t xml:space="preserve">. </w:t>
      </w:r>
    </w:p>
    <w:p w:rsidR="002A034F" w:rsidRPr="006126DF" w:rsidRDefault="002A034F" w:rsidP="007F489E">
      <w:pPr>
        <w:spacing w:line="360" w:lineRule="auto"/>
        <w:ind w:firstLine="708"/>
        <w:jc w:val="both"/>
        <w:rPr>
          <w:rFonts w:ascii="Calibri" w:hAnsi="Calibri" w:cs="Calibri"/>
        </w:rPr>
      </w:pPr>
    </w:p>
    <w:p w:rsidR="001C707A" w:rsidRPr="006126DF" w:rsidRDefault="008D592B" w:rsidP="007F489E">
      <w:pPr>
        <w:spacing w:line="360" w:lineRule="auto"/>
        <w:jc w:val="both"/>
        <w:rPr>
          <w:rFonts w:ascii="Calibri" w:hAnsi="Calibri" w:cs="Calibri"/>
        </w:rPr>
      </w:pPr>
      <w:r w:rsidRPr="006126DF">
        <w:rPr>
          <w:rFonts w:ascii="Calibri" w:hAnsi="Calibri" w:cs="Calibri"/>
        </w:rPr>
        <w:tab/>
        <w:t>Einer der prominentesten Vertreter der ökonomischen Theorie ist Adam Smith. Smith gilt als Begründer der klassischen Nationalökonomie und sein Werk, „Inquiry into the Nature and Causes of Wealth of Nations“ ist eines der einflussreichsten Ökonomie Werke.</w:t>
      </w:r>
    </w:p>
    <w:p w:rsidR="001B0EA6" w:rsidRPr="006126DF" w:rsidRDefault="001B0EA6" w:rsidP="007F489E">
      <w:pPr>
        <w:spacing w:line="360" w:lineRule="auto"/>
        <w:jc w:val="both"/>
        <w:rPr>
          <w:rFonts w:ascii="Calibri" w:hAnsi="Calibri" w:cs="Calibri"/>
        </w:rPr>
      </w:pPr>
      <w:r w:rsidRPr="006126DF">
        <w:rPr>
          <w:rFonts w:ascii="Calibri" w:hAnsi="Calibri" w:cs="Calibri"/>
        </w:rPr>
        <w:tab/>
      </w:r>
    </w:p>
    <w:p w:rsidR="001B0EA6" w:rsidRPr="006126DF" w:rsidRDefault="001B0EA6" w:rsidP="007F489E">
      <w:pPr>
        <w:spacing w:line="360" w:lineRule="auto"/>
        <w:jc w:val="both"/>
        <w:rPr>
          <w:rFonts w:ascii="Calibri" w:hAnsi="Calibri" w:cs="Calibri"/>
        </w:rPr>
      </w:pPr>
      <w:r w:rsidRPr="006126DF">
        <w:rPr>
          <w:rFonts w:ascii="Calibri" w:hAnsi="Calibri" w:cs="Calibri"/>
        </w:rPr>
        <w:tab/>
        <w:t xml:space="preserve">Adam Smith war Anhänger der utilitaristischen Philosophie. </w:t>
      </w:r>
      <w:r w:rsidR="009543CF" w:rsidRPr="006126DF">
        <w:rPr>
          <w:rFonts w:ascii="Calibri" w:hAnsi="Calibri" w:cs="Calibri"/>
        </w:rPr>
        <w:t>Für ihn war, ähnlich wie für Aristoteles, die Volkswirtschaft eng mit Ethik und Recht verbunden. Smith berücksichtigt das Bewusstsein und die Sympathie eines jeden Individuums in dessen Entscheidungsprozess</w:t>
      </w:r>
      <w:r w:rsidR="00307934">
        <w:rPr>
          <w:rFonts w:ascii="Calibri" w:hAnsi="Calibri" w:cs="Calibri"/>
        </w:rPr>
        <w:t xml:space="preserve"> (Söllner, 2012)</w:t>
      </w:r>
      <w:r w:rsidR="009543CF" w:rsidRPr="006126DF">
        <w:rPr>
          <w:rFonts w:ascii="Calibri" w:hAnsi="Calibri" w:cs="Calibri"/>
        </w:rPr>
        <w:t xml:space="preserve">. </w:t>
      </w:r>
      <w:r w:rsidR="00F92993" w:rsidRPr="006126DF">
        <w:rPr>
          <w:rFonts w:ascii="Calibri" w:hAnsi="Calibri" w:cs="Calibri"/>
        </w:rPr>
        <w:t>In seinem wohl bekanntesten Buch, „Wealth of Nations“, behandelt er Preissetzung, Wirtschaftswachstum, Sozialhilfe und Einkommensverteilung.</w:t>
      </w:r>
    </w:p>
    <w:p w:rsidR="006320B1" w:rsidRPr="006126DF" w:rsidRDefault="006320B1" w:rsidP="007F489E">
      <w:pPr>
        <w:spacing w:line="360" w:lineRule="auto"/>
        <w:jc w:val="both"/>
        <w:rPr>
          <w:rFonts w:ascii="Calibri" w:hAnsi="Calibri" w:cs="Calibri"/>
        </w:rPr>
      </w:pPr>
    </w:p>
    <w:p w:rsidR="006320B1" w:rsidRPr="006126DF" w:rsidRDefault="006320B1" w:rsidP="007F489E">
      <w:pPr>
        <w:spacing w:line="360" w:lineRule="auto"/>
        <w:jc w:val="both"/>
        <w:rPr>
          <w:rFonts w:ascii="Calibri" w:hAnsi="Calibri" w:cs="Calibri"/>
        </w:rPr>
      </w:pPr>
      <w:r w:rsidRPr="006126DF">
        <w:rPr>
          <w:rFonts w:ascii="Calibri" w:hAnsi="Calibri" w:cs="Calibri"/>
        </w:rPr>
        <w:lastRenderedPageBreak/>
        <w:tab/>
        <w:t xml:space="preserve">Adam Smith unterschied sich signifikant gegenüber Aristoteles und Thomas Aquinas was die Bewertung von Gütern anging. So gab es für Smith nicht den </w:t>
      </w:r>
      <w:r w:rsidR="00B3697B" w:rsidRPr="006126DF">
        <w:rPr>
          <w:rFonts w:ascii="Calibri" w:hAnsi="Calibri" w:cs="Calibri"/>
        </w:rPr>
        <w:t xml:space="preserve">einen </w:t>
      </w:r>
      <w:r w:rsidRPr="006126DF">
        <w:rPr>
          <w:rFonts w:ascii="Calibri" w:hAnsi="Calibri" w:cs="Calibri"/>
          <w:i/>
        </w:rPr>
        <w:t xml:space="preserve">objektiven </w:t>
      </w:r>
      <w:r w:rsidRPr="006126DF">
        <w:rPr>
          <w:rFonts w:ascii="Calibri" w:hAnsi="Calibri" w:cs="Calibri"/>
        </w:rPr>
        <w:t xml:space="preserve">Wert für Güter. Der Wert eines Gutes würde einzig von den beiden Individuen entschieden, die an dem Tauschgeschäft teilnehmen. </w:t>
      </w:r>
      <w:r w:rsidR="007E3B64" w:rsidRPr="006126DF">
        <w:rPr>
          <w:rFonts w:ascii="Calibri" w:hAnsi="Calibri" w:cs="Calibri"/>
        </w:rPr>
        <w:t>Trotzdem unterscheidet Smith zwischen dem „natürlichen“ Preis und dem Marktpreis. Der natürliche Preis ergibt sich nur aufgrund der Berücksichtigung der Angebotsseite. Das heißt, dass der Preis den Herstellungskosten entspricht. Im Gegensatz dazu enthält der Marktpreis sowohl die Angebots- als auch die Nachfrageseite und kann – im Gegensatz zum natürlichen Preis – variieren</w:t>
      </w:r>
      <w:r w:rsidR="000A34DA">
        <w:rPr>
          <w:rFonts w:ascii="Calibri" w:hAnsi="Calibri" w:cs="Calibri"/>
        </w:rPr>
        <w:t xml:space="preserve"> (Söllner, 2012)</w:t>
      </w:r>
      <w:r w:rsidR="007E3B64" w:rsidRPr="006126DF">
        <w:rPr>
          <w:rFonts w:ascii="Calibri" w:hAnsi="Calibri" w:cs="Calibri"/>
        </w:rPr>
        <w:t xml:space="preserve">. </w:t>
      </w:r>
      <w:r w:rsidR="00773162" w:rsidRPr="006126DF">
        <w:rPr>
          <w:rFonts w:ascii="Calibri" w:hAnsi="Calibri" w:cs="Calibri"/>
        </w:rPr>
        <w:t xml:space="preserve">Wettbewerb führt idealerweise zu einer Dynamik, die den Marktpreis in Richtung natürlichen Preis entwickeln lässt. </w:t>
      </w:r>
      <w:r w:rsidR="005D49D5" w:rsidRPr="006126DF">
        <w:rPr>
          <w:rFonts w:ascii="Calibri" w:hAnsi="Calibri" w:cs="Calibri"/>
        </w:rPr>
        <w:t xml:space="preserve">Denn wenn der Marktpreis über dem natürlichen Preis liegt, so beträgt die Differenz den Gewinn. Angezogen vom Gewinn, betreten Marktbeobachter den Markt und erhöhen das Angebot so lange, bis der Marktpreis dem natürlichen Preis entspricht. </w:t>
      </w:r>
      <w:r w:rsidR="00967A66" w:rsidRPr="006126DF">
        <w:rPr>
          <w:rFonts w:ascii="Calibri" w:hAnsi="Calibri" w:cs="Calibri"/>
        </w:rPr>
        <w:t xml:space="preserve">Dieses Phänomen nennt sich „die unsichtbare Hand“ und ist eine der bekanntesten Thesen Adam Smiths. </w:t>
      </w:r>
      <w:r w:rsidR="00B3697B" w:rsidRPr="006126DF">
        <w:rPr>
          <w:rFonts w:ascii="Calibri" w:hAnsi="Calibri" w:cs="Calibri"/>
        </w:rPr>
        <w:t>„</w:t>
      </w:r>
      <w:r w:rsidR="00077FC1" w:rsidRPr="006126DF">
        <w:rPr>
          <w:rFonts w:ascii="Calibri" w:hAnsi="Calibri" w:cs="Calibri"/>
        </w:rPr>
        <w:t>Die unsichtbare Hand</w:t>
      </w:r>
      <w:r w:rsidR="00B3697B" w:rsidRPr="006126DF">
        <w:rPr>
          <w:rFonts w:ascii="Calibri" w:hAnsi="Calibri" w:cs="Calibri"/>
        </w:rPr>
        <w:t>“</w:t>
      </w:r>
      <w:r w:rsidR="00077FC1" w:rsidRPr="006126DF">
        <w:rPr>
          <w:rFonts w:ascii="Calibri" w:hAnsi="Calibri" w:cs="Calibri"/>
        </w:rPr>
        <w:t xml:space="preserve"> beschreibt das stetige Angleichen zwischen natürlichem Preis und Marktpreis, die </w:t>
      </w:r>
      <w:r w:rsidR="00232DBE" w:rsidRPr="006126DF">
        <w:rPr>
          <w:rFonts w:ascii="Calibri" w:hAnsi="Calibri" w:cs="Calibri"/>
        </w:rPr>
        <w:t>dadurch</w:t>
      </w:r>
      <w:r w:rsidR="000615C9" w:rsidRPr="006126DF">
        <w:rPr>
          <w:rFonts w:ascii="Calibri" w:hAnsi="Calibri" w:cs="Calibri"/>
        </w:rPr>
        <w:t xml:space="preserve"> auch</w:t>
      </w:r>
      <w:r w:rsidR="00077FC1" w:rsidRPr="006126DF">
        <w:rPr>
          <w:rFonts w:ascii="Calibri" w:hAnsi="Calibri" w:cs="Calibri"/>
        </w:rPr>
        <w:t xml:space="preserve"> für die bestmögliche Ressourcenverteilung in einer Volkswirtschaft sorgt</w:t>
      </w:r>
      <w:r w:rsidR="000A34DA">
        <w:rPr>
          <w:rFonts w:ascii="Calibri" w:hAnsi="Calibri" w:cs="Calibri"/>
        </w:rPr>
        <w:t xml:space="preserve"> (Andrews, 2014)</w:t>
      </w:r>
      <w:r w:rsidR="00077FC1" w:rsidRPr="006126DF">
        <w:rPr>
          <w:rFonts w:ascii="Calibri" w:hAnsi="Calibri" w:cs="Calibri"/>
        </w:rPr>
        <w:t>.</w:t>
      </w:r>
    </w:p>
    <w:p w:rsidR="00232DBE" w:rsidRPr="006126DF" w:rsidRDefault="00232DBE" w:rsidP="007F489E">
      <w:pPr>
        <w:spacing w:line="360" w:lineRule="auto"/>
        <w:jc w:val="both"/>
        <w:rPr>
          <w:rFonts w:ascii="Calibri" w:hAnsi="Calibri" w:cs="Calibri"/>
        </w:rPr>
      </w:pPr>
      <w:r w:rsidRPr="006126DF">
        <w:rPr>
          <w:rFonts w:ascii="Calibri" w:hAnsi="Calibri" w:cs="Calibri"/>
        </w:rPr>
        <w:tab/>
      </w:r>
    </w:p>
    <w:p w:rsidR="00232DBE" w:rsidRPr="006126DF" w:rsidRDefault="00232DBE" w:rsidP="007F489E">
      <w:pPr>
        <w:spacing w:line="360" w:lineRule="auto"/>
        <w:jc w:val="both"/>
        <w:rPr>
          <w:rFonts w:ascii="Calibri" w:hAnsi="Calibri" w:cs="Calibri"/>
        </w:rPr>
      </w:pPr>
      <w:r w:rsidRPr="006126DF">
        <w:rPr>
          <w:rFonts w:ascii="Calibri" w:hAnsi="Calibri" w:cs="Calibri"/>
        </w:rPr>
        <w:tab/>
        <w:t xml:space="preserve">Adam Smith erklärt zwar einen Mechanismus zur Steuerung der Preise, doch definiert er nicht direkt einen gerechten Preis. </w:t>
      </w:r>
      <w:r w:rsidR="00E90E66" w:rsidRPr="006126DF">
        <w:rPr>
          <w:rFonts w:ascii="Calibri" w:hAnsi="Calibri" w:cs="Calibri"/>
        </w:rPr>
        <w:t xml:space="preserve">Denkbar ist, dass </w:t>
      </w:r>
      <w:r w:rsidR="00B3697B" w:rsidRPr="006126DF">
        <w:rPr>
          <w:rFonts w:ascii="Calibri" w:hAnsi="Calibri" w:cs="Calibri"/>
        </w:rPr>
        <w:t>„</w:t>
      </w:r>
      <w:r w:rsidR="00E90E66" w:rsidRPr="006126DF">
        <w:rPr>
          <w:rFonts w:ascii="Calibri" w:hAnsi="Calibri" w:cs="Calibri"/>
        </w:rPr>
        <w:t>die unsichtbare Hand</w:t>
      </w:r>
      <w:r w:rsidR="00B3697B" w:rsidRPr="006126DF">
        <w:rPr>
          <w:rFonts w:ascii="Calibri" w:hAnsi="Calibri" w:cs="Calibri"/>
        </w:rPr>
        <w:t>“</w:t>
      </w:r>
      <w:r w:rsidR="00E90E66" w:rsidRPr="006126DF">
        <w:rPr>
          <w:rFonts w:ascii="Calibri" w:hAnsi="Calibri" w:cs="Calibri"/>
        </w:rPr>
        <w:t xml:space="preserve"> des Marktes sich, laut Smith, dem gerechten Preis stetig </w:t>
      </w:r>
      <w:r w:rsidR="00292AC2" w:rsidRPr="006126DF">
        <w:rPr>
          <w:rFonts w:ascii="Calibri" w:hAnsi="Calibri" w:cs="Calibri"/>
        </w:rPr>
        <w:t>annähert</w:t>
      </w:r>
      <w:r w:rsidR="00E90E66" w:rsidRPr="006126DF">
        <w:rPr>
          <w:rFonts w:ascii="Calibri" w:hAnsi="Calibri" w:cs="Calibri"/>
        </w:rPr>
        <w:t>.</w:t>
      </w:r>
    </w:p>
    <w:p w:rsidR="00B255FA" w:rsidRPr="006126DF" w:rsidRDefault="00B255FA" w:rsidP="007F489E">
      <w:pPr>
        <w:spacing w:line="360" w:lineRule="auto"/>
        <w:jc w:val="both"/>
        <w:rPr>
          <w:rFonts w:ascii="Calibri" w:hAnsi="Calibri" w:cs="Calibri"/>
        </w:rPr>
      </w:pPr>
    </w:p>
    <w:p w:rsidR="008B414A" w:rsidRPr="006126DF" w:rsidRDefault="00B255FA" w:rsidP="007F489E">
      <w:pPr>
        <w:spacing w:line="360" w:lineRule="auto"/>
        <w:jc w:val="both"/>
        <w:rPr>
          <w:rFonts w:ascii="Calibri" w:hAnsi="Calibri" w:cs="Calibri"/>
        </w:rPr>
      </w:pPr>
      <w:r w:rsidRPr="006126DF">
        <w:rPr>
          <w:rFonts w:ascii="Calibri" w:hAnsi="Calibri" w:cs="Calibri"/>
        </w:rPr>
        <w:tab/>
        <w:t xml:space="preserve">Eine weitere, spannende Theorie der Neuzeit stammt von Alfred und Mary Paley Marshall. Der „natürliche“ Preis von Adam Smith wird als Gravitationszentrum der Marktpreise begriffen. </w:t>
      </w:r>
      <w:r w:rsidR="00B820C9" w:rsidRPr="006126DF">
        <w:rPr>
          <w:rFonts w:ascii="Calibri" w:hAnsi="Calibri" w:cs="Calibri"/>
        </w:rPr>
        <w:t>Sie gehen noch weiter als Smith</w:t>
      </w:r>
      <w:r w:rsidR="00B3697B" w:rsidRPr="006126DF">
        <w:rPr>
          <w:rFonts w:ascii="Calibri" w:hAnsi="Calibri" w:cs="Calibri"/>
        </w:rPr>
        <w:t>,</w:t>
      </w:r>
      <w:r w:rsidR="00B820C9" w:rsidRPr="006126DF">
        <w:rPr>
          <w:rFonts w:ascii="Calibri" w:hAnsi="Calibri" w:cs="Calibri"/>
        </w:rPr>
        <w:t xml:space="preserve"> und behaupten, dass Käufer und Verkäufer dem jeweiligen Gut einen unterschiedlichen Wert unterstellen. Das begründen die Marshalls dadurch, dass der Verkäufer einen höheren Preis benötigt, als er das Gut selbst bewertet, um bereit zu sein das Gut zu verkaufen. </w:t>
      </w:r>
      <w:r w:rsidR="00B52C9E" w:rsidRPr="006126DF">
        <w:rPr>
          <w:rFonts w:ascii="Calibri" w:hAnsi="Calibri" w:cs="Calibri"/>
        </w:rPr>
        <w:t>Auf der anderen Seite ist der Käufer maximal bereit den Preis zu zahlen, wie er das Gut bewertet und würde das Gut natürlich auch noch günstiger kaufen</w:t>
      </w:r>
      <w:r w:rsidR="000A34DA">
        <w:rPr>
          <w:rFonts w:ascii="Calibri" w:hAnsi="Calibri" w:cs="Calibri"/>
        </w:rPr>
        <w:t xml:space="preserve"> (Söllner, 2012)</w:t>
      </w:r>
      <w:r w:rsidR="00B52C9E" w:rsidRPr="006126DF">
        <w:rPr>
          <w:rFonts w:ascii="Calibri" w:hAnsi="Calibri" w:cs="Calibri"/>
        </w:rPr>
        <w:t xml:space="preserve">. </w:t>
      </w:r>
      <w:r w:rsidR="00CE6F2A" w:rsidRPr="006126DF">
        <w:rPr>
          <w:rFonts w:ascii="Calibri" w:hAnsi="Calibri" w:cs="Calibri"/>
        </w:rPr>
        <w:t xml:space="preserve">Diese These widerspricht Aristoteles und Aquinas, die einem Gut nur </w:t>
      </w:r>
      <w:r w:rsidR="00CE6F2A" w:rsidRPr="006126DF">
        <w:rPr>
          <w:rFonts w:ascii="Calibri" w:hAnsi="Calibri" w:cs="Calibri"/>
          <w:i/>
        </w:rPr>
        <w:t>einen</w:t>
      </w:r>
      <w:r w:rsidR="00CE6F2A" w:rsidRPr="006126DF">
        <w:rPr>
          <w:rFonts w:ascii="Calibri" w:hAnsi="Calibri" w:cs="Calibri"/>
        </w:rPr>
        <w:t xml:space="preserve"> objektiven Preis geben, der für beide Parteien gilt.</w:t>
      </w:r>
    </w:p>
    <w:p w:rsidR="00B1789B" w:rsidRPr="006126DF" w:rsidRDefault="00B1789B" w:rsidP="007F489E">
      <w:pPr>
        <w:spacing w:line="360" w:lineRule="auto"/>
        <w:jc w:val="both"/>
        <w:rPr>
          <w:rFonts w:ascii="Calibri" w:hAnsi="Calibri" w:cs="Calibri"/>
        </w:rPr>
      </w:pPr>
    </w:p>
    <w:p w:rsidR="00B1789B" w:rsidRPr="006126DF" w:rsidRDefault="00766C58" w:rsidP="007F489E">
      <w:pPr>
        <w:pStyle w:val="berschrift2"/>
        <w:spacing w:line="360" w:lineRule="auto"/>
        <w:rPr>
          <w:rFonts w:eastAsia="Times New Roman"/>
        </w:rPr>
      </w:pPr>
      <w:bookmarkStart w:id="5" w:name="_Toc11850902"/>
      <w:r>
        <w:rPr>
          <w:rFonts w:eastAsia="Times New Roman"/>
        </w:rPr>
        <w:lastRenderedPageBreak/>
        <w:t>2</w:t>
      </w:r>
      <w:r w:rsidR="006126DF">
        <w:rPr>
          <w:rFonts w:eastAsia="Times New Roman"/>
        </w:rPr>
        <w:t xml:space="preserve">.4 </w:t>
      </w:r>
      <w:r w:rsidR="00B1789B" w:rsidRPr="006126DF">
        <w:rPr>
          <w:rFonts w:eastAsia="Times New Roman"/>
        </w:rPr>
        <w:t>Heute</w:t>
      </w:r>
      <w:bookmarkEnd w:id="5"/>
    </w:p>
    <w:p w:rsidR="00B255FA" w:rsidRPr="006126DF" w:rsidRDefault="00B1789B" w:rsidP="007F489E">
      <w:pPr>
        <w:spacing w:line="360" w:lineRule="auto"/>
        <w:jc w:val="both"/>
        <w:rPr>
          <w:rFonts w:ascii="Calibri" w:hAnsi="Calibri" w:cs="Calibri"/>
        </w:rPr>
      </w:pPr>
      <w:r w:rsidRPr="006126DF">
        <w:rPr>
          <w:rFonts w:ascii="Calibri" w:hAnsi="Calibri" w:cs="Calibri"/>
          <w:b/>
        </w:rPr>
        <w:tab/>
      </w:r>
      <w:r w:rsidRPr="006126DF">
        <w:rPr>
          <w:rFonts w:ascii="Calibri" w:hAnsi="Calibri" w:cs="Calibri"/>
        </w:rPr>
        <w:t xml:space="preserve">Heutzutage </w:t>
      </w:r>
      <w:r w:rsidR="00C15B34" w:rsidRPr="006126DF">
        <w:rPr>
          <w:rFonts w:ascii="Calibri" w:hAnsi="Calibri" w:cs="Calibri"/>
        </w:rPr>
        <w:t xml:space="preserve">gilt das Konzept des gerechten Preises </w:t>
      </w:r>
      <w:r w:rsidR="00B3697B" w:rsidRPr="006126DF">
        <w:rPr>
          <w:rFonts w:ascii="Calibri" w:hAnsi="Calibri" w:cs="Calibri"/>
        </w:rPr>
        <w:t xml:space="preserve">weitgehend </w:t>
      </w:r>
      <w:r w:rsidR="00C15B34" w:rsidRPr="006126DF">
        <w:rPr>
          <w:rFonts w:ascii="Calibri" w:hAnsi="Calibri" w:cs="Calibri"/>
        </w:rPr>
        <w:t xml:space="preserve">als nicht mehr praktikabel. Die meisten Nationen, darunter auch Österreich, benutzen den Marktpreis, der aus Angebot und Nachfrage selbst entsteht. Der Markt wird „allein“ gelassen, bis auf wenige Eingriffe durch den Staat, die eine reine Marktwirtschaft aufheben. </w:t>
      </w:r>
      <w:r w:rsidR="00351DAF" w:rsidRPr="006126DF">
        <w:rPr>
          <w:rFonts w:ascii="Calibri" w:hAnsi="Calibri" w:cs="Calibri"/>
        </w:rPr>
        <w:t xml:space="preserve">Dazu gehören beispielsweise Mietpreisdeckelungen in Wien, Tabaksteuern oder Diskussionen um einen möglichen Mindestlohn. </w:t>
      </w:r>
    </w:p>
    <w:p w:rsidR="005077A9" w:rsidRPr="006126DF" w:rsidRDefault="005077A9" w:rsidP="007F489E">
      <w:pPr>
        <w:spacing w:line="360" w:lineRule="auto"/>
        <w:jc w:val="both"/>
        <w:rPr>
          <w:rFonts w:ascii="Calibri" w:hAnsi="Calibri" w:cs="Calibri"/>
        </w:rPr>
      </w:pPr>
    </w:p>
    <w:p w:rsidR="009578F7" w:rsidRPr="006126DF" w:rsidRDefault="00766C58" w:rsidP="007F489E">
      <w:pPr>
        <w:pStyle w:val="berschrift2"/>
        <w:spacing w:line="360" w:lineRule="auto"/>
        <w:rPr>
          <w:rFonts w:eastAsia="Times New Roman"/>
        </w:rPr>
      </w:pPr>
      <w:bookmarkStart w:id="6" w:name="_Toc11850903"/>
      <w:r>
        <w:rPr>
          <w:rFonts w:eastAsia="Times New Roman"/>
        </w:rPr>
        <w:t>2</w:t>
      </w:r>
      <w:r w:rsidR="006126DF">
        <w:rPr>
          <w:rFonts w:eastAsia="Times New Roman"/>
        </w:rPr>
        <w:t xml:space="preserve">.5 </w:t>
      </w:r>
      <w:r w:rsidR="005077A9" w:rsidRPr="006126DF">
        <w:rPr>
          <w:rFonts w:eastAsia="Times New Roman"/>
        </w:rPr>
        <w:t>Zusammenfassung</w:t>
      </w:r>
      <w:bookmarkEnd w:id="6"/>
    </w:p>
    <w:p w:rsidR="009578F7" w:rsidRPr="006126DF" w:rsidRDefault="009578F7" w:rsidP="007F489E">
      <w:pPr>
        <w:spacing w:line="360" w:lineRule="auto"/>
        <w:ind w:firstLine="708"/>
        <w:jc w:val="both"/>
        <w:rPr>
          <w:rFonts w:ascii="Calibri" w:hAnsi="Calibri" w:cs="Calibri"/>
        </w:rPr>
      </w:pPr>
      <w:r w:rsidRPr="006126DF">
        <w:rPr>
          <w:rFonts w:ascii="Calibri" w:hAnsi="Calibri" w:cs="Calibri"/>
        </w:rPr>
        <w:t>Aristoteles war zwar nicht der erste, der sich der Fragestellung gestellt hat, trotzdem hat er seine Theorien strukturiert verschriftlicht. Seine Unterscheidung in die Verteilungsgerechtigkeit und Tauschgerechtigkeit beschreiben ein System, welches Leistung belohnt und Wucher verbietet.</w:t>
      </w:r>
    </w:p>
    <w:p w:rsidR="002344C2" w:rsidRPr="006126DF" w:rsidRDefault="002344C2" w:rsidP="007F489E">
      <w:pPr>
        <w:spacing w:line="360" w:lineRule="auto"/>
        <w:ind w:firstLine="708"/>
        <w:jc w:val="both"/>
        <w:rPr>
          <w:rFonts w:ascii="Calibri" w:hAnsi="Calibri" w:cs="Calibri"/>
        </w:rPr>
      </w:pPr>
    </w:p>
    <w:p w:rsidR="002344C2" w:rsidRPr="006126DF" w:rsidRDefault="002344C2" w:rsidP="007F489E">
      <w:pPr>
        <w:spacing w:line="360" w:lineRule="auto"/>
        <w:ind w:firstLine="708"/>
        <w:jc w:val="both"/>
        <w:rPr>
          <w:rFonts w:ascii="Calibri" w:hAnsi="Calibri" w:cs="Calibri"/>
        </w:rPr>
      </w:pPr>
      <w:r w:rsidRPr="006126DF">
        <w:rPr>
          <w:rFonts w:ascii="Calibri" w:hAnsi="Calibri" w:cs="Calibri"/>
        </w:rPr>
        <w:t xml:space="preserve">Im Mittelalter stach Thomas Aquinas hervor. In seinem Werk „Summa Theologica“ hat er Aristoteles Ideen </w:t>
      </w:r>
      <w:r w:rsidR="00A22AB7" w:rsidRPr="006126DF">
        <w:rPr>
          <w:rFonts w:ascii="Calibri" w:hAnsi="Calibri" w:cs="Calibri"/>
        </w:rPr>
        <w:t>weiterentwickelt</w:t>
      </w:r>
      <w:r w:rsidRPr="006126DF">
        <w:rPr>
          <w:rFonts w:ascii="Calibri" w:hAnsi="Calibri" w:cs="Calibri"/>
        </w:rPr>
        <w:t xml:space="preserve">. </w:t>
      </w:r>
      <w:r w:rsidR="00A22AB7" w:rsidRPr="006126DF">
        <w:rPr>
          <w:rFonts w:ascii="Calibri" w:hAnsi="Calibri" w:cs="Calibri"/>
        </w:rPr>
        <w:t xml:space="preserve">Wie Aristoteles, schreibt er jedem gut einen objektiven Wert zu, der sich allerdings aufgrund von Raum und Zeit verändern kann. </w:t>
      </w:r>
      <w:r w:rsidR="00AD5A96" w:rsidRPr="006126DF">
        <w:rPr>
          <w:rFonts w:ascii="Calibri" w:hAnsi="Calibri" w:cs="Calibri"/>
        </w:rPr>
        <w:t>Aquinas schloss sich außerdem Aristoteles an, indem ein Tauschgeschäft nicht zu Gunsten einer Seite vorteilhafter ausfallen darf.</w:t>
      </w:r>
    </w:p>
    <w:p w:rsidR="00FE791B" w:rsidRPr="006126DF" w:rsidRDefault="00FE791B" w:rsidP="007F489E">
      <w:pPr>
        <w:spacing w:line="360" w:lineRule="auto"/>
        <w:ind w:firstLine="708"/>
        <w:jc w:val="both"/>
        <w:rPr>
          <w:rFonts w:ascii="Calibri" w:hAnsi="Calibri" w:cs="Calibri"/>
        </w:rPr>
      </w:pPr>
    </w:p>
    <w:p w:rsidR="00F613B5" w:rsidRPr="006126DF" w:rsidRDefault="00FE791B" w:rsidP="007F489E">
      <w:pPr>
        <w:spacing w:line="360" w:lineRule="auto"/>
        <w:ind w:firstLine="708"/>
        <w:jc w:val="both"/>
        <w:rPr>
          <w:rFonts w:ascii="Calibri" w:hAnsi="Calibri" w:cs="Calibri"/>
        </w:rPr>
      </w:pPr>
      <w:r w:rsidRPr="006126DF">
        <w:rPr>
          <w:rFonts w:ascii="Calibri" w:hAnsi="Calibri" w:cs="Calibri"/>
        </w:rPr>
        <w:t xml:space="preserve">Die dritte Epoche der Neuzeit wurde am prominentesten geprägt durch Adam Smith. Die „unsichtbare Hand“ lässt den Marktpreis zum „natürlichen“ Preis konvergieren und beachtete erstmals die Nachfrageseite in seinen Überlegungen. </w:t>
      </w:r>
      <w:r w:rsidR="000A1E2A" w:rsidRPr="006126DF">
        <w:rPr>
          <w:rFonts w:ascii="Calibri" w:hAnsi="Calibri" w:cs="Calibri"/>
        </w:rPr>
        <w:t xml:space="preserve">Für Smith gibt es keinen objektiven fairen Preis, da jedes Individuum einem Gut einen unterschiedlichen Wert zuschreibt. </w:t>
      </w:r>
      <w:r w:rsidR="007427AD" w:rsidRPr="006126DF">
        <w:rPr>
          <w:rFonts w:ascii="Calibri" w:hAnsi="Calibri" w:cs="Calibri"/>
        </w:rPr>
        <w:t xml:space="preserve">Die Marschalls haben diese Idee noch weiter ausgeführt, indem sie behaupten, dass Verkäufer nur über Wertbeurteilung verkaufen würden und Käufer unter ihrer Wertbeurteilung, beziehungsweise maximal genau ihrer Wertbeurteilung. </w:t>
      </w:r>
    </w:p>
    <w:p w:rsidR="00F613B5" w:rsidRPr="006126DF" w:rsidRDefault="00F613B5" w:rsidP="007F489E">
      <w:pPr>
        <w:spacing w:line="360" w:lineRule="auto"/>
        <w:ind w:firstLine="708"/>
        <w:jc w:val="both"/>
        <w:rPr>
          <w:rFonts w:ascii="Calibri" w:hAnsi="Calibri" w:cs="Calibri"/>
        </w:rPr>
      </w:pPr>
    </w:p>
    <w:p w:rsidR="00BD64E1" w:rsidRPr="006126DF" w:rsidRDefault="00F613B5" w:rsidP="002911BF">
      <w:pPr>
        <w:spacing w:line="360" w:lineRule="auto"/>
        <w:ind w:firstLine="708"/>
        <w:jc w:val="both"/>
        <w:rPr>
          <w:rFonts w:ascii="Calibri" w:hAnsi="Calibri" w:cs="Calibri"/>
        </w:rPr>
      </w:pPr>
      <w:r w:rsidRPr="006126DF">
        <w:rPr>
          <w:rFonts w:ascii="Calibri" w:hAnsi="Calibri" w:cs="Calibri"/>
        </w:rPr>
        <w:t xml:space="preserve">Es ist spannend zu sehen, dass die Frage nach dem gerechten Preis heutzutage eine abstrakte und sogar unverständliche Idee </w:t>
      </w:r>
      <w:r w:rsidR="00216174" w:rsidRPr="006126DF">
        <w:rPr>
          <w:rFonts w:ascii="Calibri" w:hAnsi="Calibri" w:cs="Calibri"/>
        </w:rPr>
        <w:t>sein kann</w:t>
      </w:r>
      <w:r w:rsidRPr="006126DF">
        <w:rPr>
          <w:rFonts w:ascii="Calibri" w:hAnsi="Calibri" w:cs="Calibri"/>
        </w:rPr>
        <w:t xml:space="preserve">. </w:t>
      </w:r>
      <w:r w:rsidR="0096324B" w:rsidRPr="006126DF">
        <w:rPr>
          <w:rFonts w:ascii="Calibri" w:hAnsi="Calibri" w:cs="Calibri"/>
        </w:rPr>
        <w:t>Die freie Marktwirtschaft</w:t>
      </w:r>
      <w:r w:rsidR="00B3697B" w:rsidRPr="006126DF">
        <w:rPr>
          <w:rFonts w:ascii="Calibri" w:hAnsi="Calibri" w:cs="Calibri"/>
        </w:rPr>
        <w:t xml:space="preserve">, </w:t>
      </w:r>
      <w:r w:rsidR="0096324B" w:rsidRPr="006126DF">
        <w:rPr>
          <w:rFonts w:ascii="Calibri" w:hAnsi="Calibri" w:cs="Calibri"/>
        </w:rPr>
        <w:t>durch Angebot und Nachfrage</w:t>
      </w:r>
      <w:r w:rsidR="00B3697B" w:rsidRPr="006126DF">
        <w:rPr>
          <w:rFonts w:ascii="Calibri" w:hAnsi="Calibri" w:cs="Calibri"/>
        </w:rPr>
        <w:t>, erklärt</w:t>
      </w:r>
      <w:r w:rsidR="0096324B" w:rsidRPr="006126DF">
        <w:rPr>
          <w:rFonts w:ascii="Calibri" w:hAnsi="Calibri" w:cs="Calibri"/>
        </w:rPr>
        <w:t xml:space="preserve"> die Preissetzung, die meist akzeptiert wird. </w:t>
      </w:r>
      <w:r w:rsidR="00216174" w:rsidRPr="006126DF">
        <w:rPr>
          <w:rFonts w:ascii="Calibri" w:hAnsi="Calibri" w:cs="Calibri"/>
        </w:rPr>
        <w:t xml:space="preserve">Trotzdem finden sich Überlegungen von Aristoteles und Aquinas heute in Gesetzen und Staatsformen wieder, die </w:t>
      </w:r>
      <w:r w:rsidR="00216174" w:rsidRPr="006126DF">
        <w:rPr>
          <w:rFonts w:ascii="Calibri" w:hAnsi="Calibri" w:cs="Calibri"/>
        </w:rPr>
        <w:lastRenderedPageBreak/>
        <w:t xml:space="preserve">vermuten lassen, dass eine reine Marktwirtschaft, wie Smith sie für eine bestmögliche Ressourcenallokation fordert, </w:t>
      </w:r>
      <w:r w:rsidR="00BD64E1" w:rsidRPr="006126DF">
        <w:rPr>
          <w:rFonts w:ascii="Calibri" w:hAnsi="Calibri" w:cs="Calibri"/>
        </w:rPr>
        <w:t xml:space="preserve">eventuell </w:t>
      </w:r>
      <w:r w:rsidR="00216174" w:rsidRPr="006126DF">
        <w:rPr>
          <w:rFonts w:ascii="Calibri" w:hAnsi="Calibri" w:cs="Calibri"/>
        </w:rPr>
        <w:t>nicht zum gerechten Preis führt.</w:t>
      </w:r>
      <w:r w:rsidR="00BD64E1" w:rsidRPr="006126DF">
        <w:rPr>
          <w:rFonts w:ascii="Calibri" w:hAnsi="Calibri" w:cs="Calibri"/>
        </w:rPr>
        <w:t xml:space="preserve"> </w:t>
      </w:r>
    </w:p>
    <w:p w:rsidR="00B3697B" w:rsidRPr="006126DF" w:rsidRDefault="00B3697B" w:rsidP="007F489E">
      <w:pPr>
        <w:spacing w:line="360" w:lineRule="auto"/>
        <w:ind w:firstLine="708"/>
        <w:jc w:val="both"/>
        <w:rPr>
          <w:rFonts w:ascii="Calibri" w:hAnsi="Calibri" w:cs="Calibri"/>
        </w:rPr>
      </w:pPr>
    </w:p>
    <w:p w:rsidR="00766C58" w:rsidRPr="006126DF" w:rsidRDefault="003A5670" w:rsidP="007F489E">
      <w:pPr>
        <w:spacing w:line="360" w:lineRule="auto"/>
        <w:ind w:firstLine="708"/>
        <w:jc w:val="both"/>
        <w:rPr>
          <w:rFonts w:ascii="Calibri" w:hAnsi="Calibri" w:cs="Calibri"/>
        </w:rPr>
      </w:pPr>
      <w:r w:rsidRPr="006126DF">
        <w:rPr>
          <w:rFonts w:ascii="Calibri" w:hAnsi="Calibri" w:cs="Calibri"/>
        </w:rPr>
        <w:t>Trotz der theoretischen Grundlage</w:t>
      </w:r>
      <w:r w:rsidR="00BD64E1" w:rsidRPr="006126DF">
        <w:rPr>
          <w:rFonts w:ascii="Calibri" w:hAnsi="Calibri" w:cs="Calibri"/>
        </w:rPr>
        <w:t xml:space="preserve"> ist es objektiv nicht möglich, den </w:t>
      </w:r>
      <w:r w:rsidR="00BD64E1" w:rsidRPr="006126DF">
        <w:rPr>
          <w:rFonts w:ascii="Calibri" w:hAnsi="Calibri" w:cs="Calibri"/>
          <w:i/>
        </w:rPr>
        <w:t>einen</w:t>
      </w:r>
      <w:r w:rsidR="00BD64E1" w:rsidRPr="006126DF">
        <w:rPr>
          <w:rFonts w:ascii="Calibri" w:hAnsi="Calibri" w:cs="Calibri"/>
        </w:rPr>
        <w:t xml:space="preserve"> gerechten Preis für Bankgebühren zu ermitteln. </w:t>
      </w:r>
      <w:r w:rsidRPr="006126DF">
        <w:rPr>
          <w:rFonts w:ascii="Calibri" w:hAnsi="Calibri" w:cs="Calibri"/>
        </w:rPr>
        <w:t>Dennoch helfen die verschieden</w:t>
      </w:r>
      <w:r w:rsidR="00FE600D" w:rsidRPr="006126DF">
        <w:rPr>
          <w:rFonts w:ascii="Calibri" w:hAnsi="Calibri" w:cs="Calibri"/>
        </w:rPr>
        <w:t>en</w:t>
      </w:r>
      <w:r w:rsidRPr="006126DF">
        <w:rPr>
          <w:rFonts w:ascii="Calibri" w:hAnsi="Calibri" w:cs="Calibri"/>
        </w:rPr>
        <w:t xml:space="preserve"> Ansätze des gerechten Preises, Bankgebühren auf ihre Rechtfertigung kritisch zu evaluieren. </w:t>
      </w:r>
      <w:r w:rsidR="003A7666" w:rsidRPr="006126DF">
        <w:rPr>
          <w:rFonts w:ascii="Calibri" w:hAnsi="Calibri" w:cs="Calibri"/>
        </w:rPr>
        <w:t>Um das zu tun</w:t>
      </w:r>
      <w:r w:rsidR="00B3697B" w:rsidRPr="006126DF">
        <w:rPr>
          <w:rFonts w:ascii="Calibri" w:hAnsi="Calibri" w:cs="Calibri"/>
        </w:rPr>
        <w:t>,</w:t>
      </w:r>
      <w:r w:rsidR="003A7666" w:rsidRPr="006126DF">
        <w:rPr>
          <w:rFonts w:ascii="Calibri" w:hAnsi="Calibri" w:cs="Calibri"/>
        </w:rPr>
        <w:t xml:space="preserve"> möchte ich zunächst die </w:t>
      </w:r>
      <w:r w:rsidR="00FE600D" w:rsidRPr="006126DF">
        <w:rPr>
          <w:rFonts w:ascii="Calibri" w:hAnsi="Calibri" w:cs="Calibri"/>
        </w:rPr>
        <w:t xml:space="preserve">Bankenindustrie, die </w:t>
      </w:r>
      <w:r w:rsidR="003A7666" w:rsidRPr="006126DF">
        <w:rPr>
          <w:rFonts w:ascii="Calibri" w:hAnsi="Calibri" w:cs="Calibri"/>
        </w:rPr>
        <w:t xml:space="preserve">Bankendienstleistungen und </w:t>
      </w:r>
      <w:r w:rsidR="00FE600D" w:rsidRPr="006126DF">
        <w:rPr>
          <w:rFonts w:ascii="Calibri" w:hAnsi="Calibri" w:cs="Calibri"/>
        </w:rPr>
        <w:t>respektiven</w:t>
      </w:r>
      <w:r w:rsidR="003A7666" w:rsidRPr="006126DF">
        <w:rPr>
          <w:rFonts w:ascii="Calibri" w:hAnsi="Calibri" w:cs="Calibri"/>
        </w:rPr>
        <w:t xml:space="preserve"> Gebühren und Kosten aufschlüsseln. </w:t>
      </w:r>
    </w:p>
    <w:p w:rsidR="0094472F" w:rsidRPr="00AF4BB0" w:rsidRDefault="00AF4BB0" w:rsidP="007F489E">
      <w:pPr>
        <w:pStyle w:val="berschrift1"/>
        <w:spacing w:line="360" w:lineRule="auto"/>
        <w:rPr>
          <w:rFonts w:eastAsia="Times New Roman"/>
        </w:rPr>
      </w:pPr>
      <w:bookmarkStart w:id="7" w:name="_Toc11850904"/>
      <w:r>
        <w:rPr>
          <w:rFonts w:eastAsia="Times New Roman"/>
        </w:rPr>
        <w:t xml:space="preserve">3. </w:t>
      </w:r>
      <w:r w:rsidR="006126DF" w:rsidRPr="00AF4BB0">
        <w:rPr>
          <w:rFonts w:eastAsia="Times New Roman"/>
        </w:rPr>
        <w:t>Banken und Gebühren</w:t>
      </w:r>
      <w:bookmarkEnd w:id="7"/>
    </w:p>
    <w:p w:rsidR="005F5E21" w:rsidRPr="005F5E21" w:rsidRDefault="005F5E21" w:rsidP="007F489E">
      <w:pPr>
        <w:spacing w:line="360" w:lineRule="auto"/>
        <w:jc w:val="both"/>
        <w:rPr>
          <w:rFonts w:ascii="Calibri" w:hAnsi="Calibri" w:cs="Calibri"/>
          <w:b/>
          <w:sz w:val="32"/>
          <w:szCs w:val="28"/>
        </w:rPr>
      </w:pPr>
    </w:p>
    <w:p w:rsidR="006126DF" w:rsidRPr="006126DF" w:rsidRDefault="00AF4BB0" w:rsidP="007F489E">
      <w:pPr>
        <w:pStyle w:val="berschrift2"/>
        <w:spacing w:line="360" w:lineRule="auto"/>
        <w:rPr>
          <w:rFonts w:eastAsia="Times New Roman"/>
        </w:rPr>
      </w:pPr>
      <w:bookmarkStart w:id="8" w:name="_Toc11850905"/>
      <w:r>
        <w:rPr>
          <w:rFonts w:eastAsia="Times New Roman"/>
        </w:rPr>
        <w:t>3</w:t>
      </w:r>
      <w:r w:rsidR="006126DF" w:rsidRPr="006126DF">
        <w:rPr>
          <w:rFonts w:eastAsia="Times New Roman"/>
        </w:rPr>
        <w:t>.1 Bankenlandschaft</w:t>
      </w:r>
      <w:bookmarkEnd w:id="8"/>
    </w:p>
    <w:p w:rsidR="0094472F" w:rsidRPr="006126DF" w:rsidRDefault="0094472F" w:rsidP="007F489E">
      <w:pPr>
        <w:spacing w:line="360" w:lineRule="auto"/>
        <w:ind w:firstLine="708"/>
        <w:jc w:val="both"/>
        <w:rPr>
          <w:rFonts w:ascii="Calibri" w:hAnsi="Calibri" w:cs="Calibri"/>
        </w:rPr>
      </w:pPr>
      <w:r w:rsidRPr="006126DF">
        <w:rPr>
          <w:rFonts w:ascii="Calibri" w:hAnsi="Calibri" w:cs="Calibri"/>
        </w:rPr>
        <w:t xml:space="preserve">Die großen europäischen Banken </w:t>
      </w:r>
      <w:r w:rsidR="00220703" w:rsidRPr="006126DF">
        <w:rPr>
          <w:rFonts w:ascii="Calibri" w:hAnsi="Calibri" w:cs="Calibri"/>
        </w:rPr>
        <w:t xml:space="preserve">haben auch nach über 10 Jahren nach der Finanzkrise 2008 nicht zu ihrer alten Profitabilität zurückgefunden. </w:t>
      </w:r>
      <w:r w:rsidR="00D859EA" w:rsidRPr="006126DF">
        <w:rPr>
          <w:rFonts w:ascii="Calibri" w:hAnsi="Calibri" w:cs="Calibri"/>
        </w:rPr>
        <w:t>Darüber hinaus</w:t>
      </w:r>
      <w:r w:rsidR="00220703" w:rsidRPr="006126DF">
        <w:rPr>
          <w:rFonts w:ascii="Calibri" w:hAnsi="Calibri" w:cs="Calibri"/>
        </w:rPr>
        <w:t xml:space="preserve"> verschlechtert</w:t>
      </w:r>
      <w:r w:rsidR="0017618D">
        <w:rPr>
          <w:rFonts w:ascii="Calibri" w:hAnsi="Calibri" w:cs="Calibri"/>
        </w:rPr>
        <w:t>e</w:t>
      </w:r>
      <w:r w:rsidR="00220703" w:rsidRPr="006126DF">
        <w:rPr>
          <w:rFonts w:ascii="Calibri" w:hAnsi="Calibri" w:cs="Calibri"/>
        </w:rPr>
        <w:t xml:space="preserve"> sich für einige </w:t>
      </w:r>
      <w:r w:rsidR="00D859EA" w:rsidRPr="006126DF">
        <w:rPr>
          <w:rFonts w:ascii="Calibri" w:hAnsi="Calibri" w:cs="Calibri"/>
        </w:rPr>
        <w:t xml:space="preserve">Banken </w:t>
      </w:r>
      <w:r w:rsidR="00220703" w:rsidRPr="006126DF">
        <w:rPr>
          <w:rFonts w:ascii="Calibri" w:hAnsi="Calibri" w:cs="Calibri"/>
        </w:rPr>
        <w:t xml:space="preserve">die Situation </w:t>
      </w:r>
      <w:r w:rsidR="003636CF" w:rsidRPr="006126DF">
        <w:rPr>
          <w:rFonts w:ascii="Calibri" w:hAnsi="Calibri" w:cs="Calibri"/>
        </w:rPr>
        <w:t xml:space="preserve">noch </w:t>
      </w:r>
      <w:r w:rsidR="00220703" w:rsidRPr="006126DF">
        <w:rPr>
          <w:rFonts w:ascii="Calibri" w:hAnsi="Calibri" w:cs="Calibri"/>
        </w:rPr>
        <w:t xml:space="preserve">stetig über die letzten Jahre, zB </w:t>
      </w:r>
      <w:r w:rsidR="003636CF" w:rsidRPr="006126DF">
        <w:rPr>
          <w:rFonts w:ascii="Calibri" w:hAnsi="Calibri" w:cs="Calibri"/>
        </w:rPr>
        <w:t xml:space="preserve">für die </w:t>
      </w:r>
      <w:r w:rsidR="00220703" w:rsidRPr="006126DF">
        <w:rPr>
          <w:rFonts w:ascii="Calibri" w:hAnsi="Calibri" w:cs="Calibri"/>
        </w:rPr>
        <w:t xml:space="preserve">Deutsche Bank oder </w:t>
      </w:r>
      <w:r w:rsidR="003636CF" w:rsidRPr="006126DF">
        <w:rPr>
          <w:rFonts w:ascii="Calibri" w:hAnsi="Calibri" w:cs="Calibri"/>
        </w:rPr>
        <w:t xml:space="preserve">die </w:t>
      </w:r>
      <w:r w:rsidR="00220703" w:rsidRPr="006126DF">
        <w:rPr>
          <w:rFonts w:ascii="Calibri" w:hAnsi="Calibri" w:cs="Calibri"/>
        </w:rPr>
        <w:t>Royal Bank of Scotland</w:t>
      </w:r>
      <w:r w:rsidR="00D859EA" w:rsidRPr="006126DF">
        <w:rPr>
          <w:rFonts w:ascii="Calibri" w:hAnsi="Calibri" w:cs="Calibri"/>
        </w:rPr>
        <w:t>, die 201</w:t>
      </w:r>
      <w:r w:rsidR="0017618D">
        <w:rPr>
          <w:rFonts w:ascii="Calibri" w:hAnsi="Calibri" w:cs="Calibri"/>
        </w:rPr>
        <w:t>7 noch hohe</w:t>
      </w:r>
      <w:r w:rsidR="00D859EA" w:rsidRPr="006126DF">
        <w:rPr>
          <w:rFonts w:ascii="Calibri" w:hAnsi="Calibri" w:cs="Calibri"/>
        </w:rPr>
        <w:t xml:space="preserve"> Verluste vermelde</w:t>
      </w:r>
      <w:r w:rsidR="00B94584">
        <w:rPr>
          <w:rFonts w:ascii="Calibri" w:hAnsi="Calibri" w:cs="Calibri"/>
        </w:rPr>
        <w:t>ten</w:t>
      </w:r>
      <w:r w:rsidR="0017618D">
        <w:rPr>
          <w:rFonts w:ascii="Calibri" w:hAnsi="Calibri" w:cs="Calibri"/>
        </w:rPr>
        <w:t xml:space="preserve"> und scheinbar mühsam zur Profitabilität zurückkehren</w:t>
      </w:r>
      <w:r w:rsidR="002911BF">
        <w:rPr>
          <w:rFonts w:ascii="Calibri" w:hAnsi="Calibri" w:cs="Calibri"/>
        </w:rPr>
        <w:t xml:space="preserve"> (Deutsche Bank, 2019)</w:t>
      </w:r>
      <w:r w:rsidR="00220703" w:rsidRPr="006126DF">
        <w:rPr>
          <w:rFonts w:ascii="Calibri" w:hAnsi="Calibri" w:cs="Calibri"/>
        </w:rPr>
        <w:t xml:space="preserve">. </w:t>
      </w:r>
      <w:r w:rsidR="00D859EA" w:rsidRPr="006126DF">
        <w:rPr>
          <w:rFonts w:ascii="Calibri" w:hAnsi="Calibri" w:cs="Calibri"/>
        </w:rPr>
        <w:t>Der Gedanke liegt nahe, dass Bankendienstleistungen nicht ungerecht gepreist sein können, wenn die Banken unprofitabel wirtschaften.</w:t>
      </w:r>
      <w:r w:rsidR="003636CF" w:rsidRPr="006126DF">
        <w:rPr>
          <w:rFonts w:ascii="Calibri" w:hAnsi="Calibri" w:cs="Calibri"/>
        </w:rPr>
        <w:t xml:space="preserve"> Doch um die Bankgebühren evaluieren zu können, möchte ich das Geschäftsmodell des Privatkundengeschäfts genauer ansehen und dort Gebühren und Kosten vergleichen.</w:t>
      </w:r>
    </w:p>
    <w:p w:rsidR="001C7DE1" w:rsidRPr="006126DF" w:rsidRDefault="001C7DE1" w:rsidP="007F489E">
      <w:pPr>
        <w:spacing w:line="360" w:lineRule="auto"/>
        <w:ind w:firstLine="708"/>
        <w:jc w:val="both"/>
        <w:rPr>
          <w:rFonts w:ascii="Calibri" w:hAnsi="Calibri" w:cs="Calibri"/>
        </w:rPr>
      </w:pPr>
    </w:p>
    <w:p w:rsidR="00EE165C" w:rsidRPr="006126DF" w:rsidRDefault="001C7DE1" w:rsidP="007F489E">
      <w:pPr>
        <w:spacing w:line="360" w:lineRule="auto"/>
        <w:ind w:firstLine="708"/>
        <w:jc w:val="both"/>
        <w:rPr>
          <w:rFonts w:ascii="Calibri" w:hAnsi="Calibri" w:cs="Calibri"/>
        </w:rPr>
      </w:pPr>
      <w:r w:rsidRPr="006126DF">
        <w:rPr>
          <w:rFonts w:ascii="Calibri" w:hAnsi="Calibri" w:cs="Calibri"/>
        </w:rPr>
        <w:t xml:space="preserve">Das klassische Geschäftsmodell von Banken im Privatkundengeschäft ist es, sich als </w:t>
      </w:r>
      <w:r w:rsidR="00EE165C" w:rsidRPr="006126DF">
        <w:rPr>
          <w:rFonts w:ascii="Calibri" w:hAnsi="Calibri" w:cs="Calibri"/>
        </w:rPr>
        <w:t xml:space="preserve">kreditwürdige </w:t>
      </w:r>
      <w:r w:rsidRPr="006126DF">
        <w:rPr>
          <w:rFonts w:ascii="Calibri" w:hAnsi="Calibri" w:cs="Calibri"/>
        </w:rPr>
        <w:t xml:space="preserve">Bank günstig </w:t>
      </w:r>
      <w:r w:rsidR="00EE165C" w:rsidRPr="006126DF">
        <w:rPr>
          <w:rFonts w:ascii="Calibri" w:hAnsi="Calibri" w:cs="Calibri"/>
        </w:rPr>
        <w:t>über die Zentralbank oder andere Banken zu</w:t>
      </w:r>
      <w:r w:rsidRPr="006126DF">
        <w:rPr>
          <w:rFonts w:ascii="Calibri" w:hAnsi="Calibri" w:cs="Calibri"/>
        </w:rPr>
        <w:t xml:space="preserve"> refinanzieren und Kredite an Kunden zu vergeben. </w:t>
      </w:r>
      <w:r w:rsidR="007557FE" w:rsidRPr="006126DF">
        <w:rPr>
          <w:rFonts w:ascii="Calibri" w:hAnsi="Calibri" w:cs="Calibri"/>
        </w:rPr>
        <w:t>Die Zinssätze der Kredite entsprechen dem Marktzins, dem Ausfallrisiko und einer Prämie</w:t>
      </w:r>
      <w:r w:rsidR="002911BF">
        <w:rPr>
          <w:rFonts w:ascii="Calibri" w:hAnsi="Calibri" w:cs="Calibri"/>
        </w:rPr>
        <w:t xml:space="preserve"> (Karkal, 2019)</w:t>
      </w:r>
      <w:r w:rsidR="007557FE" w:rsidRPr="006126DF">
        <w:rPr>
          <w:rFonts w:ascii="Calibri" w:hAnsi="Calibri" w:cs="Calibri"/>
        </w:rPr>
        <w:t xml:space="preserve">. Die Prämie deckt die Kosten der Bank ab und trägt </w:t>
      </w:r>
      <w:r w:rsidR="00D75FB8" w:rsidRPr="006126DF">
        <w:rPr>
          <w:rFonts w:ascii="Calibri" w:hAnsi="Calibri" w:cs="Calibri"/>
        </w:rPr>
        <w:t xml:space="preserve">in </w:t>
      </w:r>
      <w:r w:rsidR="000F1C74" w:rsidRPr="006126DF">
        <w:rPr>
          <w:rFonts w:ascii="Calibri" w:hAnsi="Calibri" w:cs="Calibri"/>
        </w:rPr>
        <w:t>etwa zur Hälfte des Gesamtg</w:t>
      </w:r>
      <w:r w:rsidR="007557FE" w:rsidRPr="006126DF">
        <w:rPr>
          <w:rFonts w:ascii="Calibri" w:hAnsi="Calibri" w:cs="Calibri"/>
        </w:rPr>
        <w:t>ewinn</w:t>
      </w:r>
      <w:r w:rsidR="000F1C74" w:rsidRPr="006126DF">
        <w:rPr>
          <w:rFonts w:ascii="Calibri" w:hAnsi="Calibri" w:cs="Calibri"/>
        </w:rPr>
        <w:t>s</w:t>
      </w:r>
      <w:r w:rsidR="007557FE" w:rsidRPr="006126DF">
        <w:rPr>
          <w:rFonts w:ascii="Calibri" w:hAnsi="Calibri" w:cs="Calibri"/>
        </w:rPr>
        <w:t xml:space="preserve"> bei</w:t>
      </w:r>
      <w:r w:rsidR="002911BF">
        <w:rPr>
          <w:rFonts w:ascii="Calibri" w:hAnsi="Calibri" w:cs="Calibri"/>
        </w:rPr>
        <w:t xml:space="preserve"> (OeNB, 2017)</w:t>
      </w:r>
      <w:r w:rsidR="007557FE" w:rsidRPr="006126DF">
        <w:rPr>
          <w:rFonts w:ascii="Calibri" w:hAnsi="Calibri" w:cs="Calibri"/>
        </w:rPr>
        <w:t xml:space="preserve">. </w:t>
      </w:r>
      <w:r w:rsidR="00EE165C" w:rsidRPr="006126DF">
        <w:rPr>
          <w:rFonts w:ascii="Calibri" w:hAnsi="Calibri" w:cs="Calibri"/>
        </w:rPr>
        <w:t>Darüber hinaus verlangen Banken (unterschiedliche) Gebühren für Kontoführungsgebühren, Auslandstransaktionen, Kreditkartengebühren, Bargeldbehebung</w:t>
      </w:r>
      <w:r w:rsidR="005352A5" w:rsidRPr="006126DF">
        <w:rPr>
          <w:rFonts w:ascii="Calibri" w:hAnsi="Calibri" w:cs="Calibri"/>
        </w:rPr>
        <w:t>, Überziehungsgebühren, sowie für verschiedene manuelle Dienstleistungen (zB Bargeldeinzahlung am Schalter).</w:t>
      </w:r>
    </w:p>
    <w:p w:rsidR="00EE165C" w:rsidRPr="006126DF" w:rsidRDefault="00EE165C" w:rsidP="007F489E">
      <w:pPr>
        <w:spacing w:line="360" w:lineRule="auto"/>
        <w:ind w:firstLine="708"/>
        <w:jc w:val="both"/>
        <w:rPr>
          <w:rFonts w:ascii="Calibri" w:hAnsi="Calibri" w:cs="Calibri"/>
        </w:rPr>
      </w:pPr>
    </w:p>
    <w:p w:rsidR="002F2510" w:rsidRDefault="00EE165C" w:rsidP="007F489E">
      <w:pPr>
        <w:spacing w:line="360" w:lineRule="auto"/>
        <w:ind w:firstLine="708"/>
        <w:jc w:val="both"/>
        <w:rPr>
          <w:rFonts w:ascii="Calibri" w:hAnsi="Calibri" w:cs="Calibri"/>
        </w:rPr>
      </w:pPr>
      <w:r w:rsidRPr="006126DF">
        <w:rPr>
          <w:rFonts w:ascii="Calibri" w:hAnsi="Calibri" w:cs="Calibri"/>
        </w:rPr>
        <w:lastRenderedPageBreak/>
        <w:t>Je höher das Zinsniveau, umso relativ geringer ist der Anteil der Prämie am Zins.</w:t>
      </w:r>
      <w:r w:rsidR="008B0EF4" w:rsidRPr="006126DF">
        <w:rPr>
          <w:rFonts w:ascii="Calibri" w:hAnsi="Calibri" w:cs="Calibri"/>
        </w:rPr>
        <w:t xml:space="preserve"> B</w:t>
      </w:r>
      <w:r w:rsidR="006C7BC1" w:rsidRPr="006126DF">
        <w:rPr>
          <w:rFonts w:ascii="Calibri" w:hAnsi="Calibri" w:cs="Calibri"/>
        </w:rPr>
        <w:t>ei de</w:t>
      </w:r>
      <w:r w:rsidR="000F1C74" w:rsidRPr="006126DF">
        <w:rPr>
          <w:rFonts w:ascii="Calibri" w:hAnsi="Calibri" w:cs="Calibri"/>
        </w:rPr>
        <w:t>m</w:t>
      </w:r>
      <w:r w:rsidR="006C7BC1" w:rsidRPr="006126DF">
        <w:rPr>
          <w:rFonts w:ascii="Calibri" w:hAnsi="Calibri" w:cs="Calibri"/>
        </w:rPr>
        <w:t xml:space="preserve"> derzeit niedrigen Zinsniveau, können Banken daher nur einen geringeren Aufschlag verlangen. Hinzu kommt der Investitionsdruck, da zum Teil Minus-Zinsen </w:t>
      </w:r>
      <w:r w:rsidR="00DA67E7">
        <w:rPr>
          <w:rFonts w:ascii="Calibri" w:hAnsi="Calibri" w:cs="Calibri"/>
        </w:rPr>
        <w:t xml:space="preserve">drohen, </w:t>
      </w:r>
      <w:r w:rsidR="006C7BC1" w:rsidRPr="006126DF">
        <w:rPr>
          <w:rFonts w:ascii="Calibri" w:hAnsi="Calibri" w:cs="Calibri"/>
        </w:rPr>
        <w:t>Verluste zu verursachen, sollten keine Kredite vergeben werden.</w:t>
      </w:r>
      <w:r w:rsidR="00D75FB8" w:rsidRPr="006126DF">
        <w:rPr>
          <w:rFonts w:ascii="Calibri" w:hAnsi="Calibri" w:cs="Calibri"/>
        </w:rPr>
        <w:t xml:space="preserve"> Durch den Investitionsdruck verringert sich die Verhandlungsmacht der Banken gegenüber Kreditnehmern und dementsprechend auch die Prämienaufschläge.</w:t>
      </w:r>
    </w:p>
    <w:p w:rsidR="00BC402B" w:rsidRDefault="00BC402B" w:rsidP="007F489E">
      <w:pPr>
        <w:spacing w:line="360" w:lineRule="auto"/>
        <w:ind w:firstLine="708"/>
        <w:jc w:val="both"/>
        <w:rPr>
          <w:rFonts w:ascii="Calibri" w:hAnsi="Calibri" w:cs="Calibri"/>
        </w:rPr>
      </w:pPr>
    </w:p>
    <w:p w:rsidR="00994FB2" w:rsidRDefault="00BC402B" w:rsidP="00BC402B">
      <w:pPr>
        <w:spacing w:line="360" w:lineRule="auto"/>
        <w:ind w:firstLine="708"/>
        <w:jc w:val="center"/>
        <w:rPr>
          <w:rFonts w:ascii="Calibri" w:hAnsi="Calibri" w:cs="Calibri"/>
        </w:rPr>
      </w:pPr>
      <w:r>
        <w:rPr>
          <w:rFonts w:ascii="Calibri" w:hAnsi="Calibri" w:cs="Calibri"/>
          <w:noProof/>
        </w:rPr>
        <w:drawing>
          <wp:inline distT="0" distB="0" distL="0" distR="0" wp14:anchorId="5A68ED2B" wp14:editId="065F6F8E">
            <wp:extent cx="3378200" cy="365887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schirmfoto 2019-06-19 um 15.55.19.png"/>
                    <pic:cNvPicPr/>
                  </pic:nvPicPr>
                  <pic:blipFill>
                    <a:blip r:embed="rId9" cstate="email">
                      <a:extLst>
                        <a:ext uri="{28A0092B-C50C-407E-A947-70E740481C1C}">
                          <a14:useLocalDpi xmlns:a14="http://schemas.microsoft.com/office/drawing/2010/main"/>
                        </a:ext>
                      </a:extLst>
                    </a:blip>
                    <a:stretch>
                      <a:fillRect/>
                    </a:stretch>
                  </pic:blipFill>
                  <pic:spPr>
                    <a:xfrm>
                      <a:off x="0" y="0"/>
                      <a:ext cx="3378200" cy="3658870"/>
                    </a:xfrm>
                    <a:prstGeom prst="rect">
                      <a:avLst/>
                    </a:prstGeom>
                  </pic:spPr>
                </pic:pic>
              </a:graphicData>
            </a:graphic>
          </wp:inline>
        </w:drawing>
      </w:r>
    </w:p>
    <w:p w:rsidR="00BC402B" w:rsidRDefault="00BC402B" w:rsidP="00BC402B">
      <w:pPr>
        <w:spacing w:line="360" w:lineRule="auto"/>
        <w:ind w:firstLine="708"/>
        <w:jc w:val="center"/>
        <w:rPr>
          <w:rFonts w:ascii="Calibri" w:hAnsi="Calibri" w:cs="Calibri"/>
        </w:rPr>
      </w:pPr>
      <w:r>
        <w:rPr>
          <w:rFonts w:ascii="Calibri" w:hAnsi="Calibri" w:cs="Calibri"/>
        </w:rPr>
        <w:t>(Abbildung 1, Quelle: OeNB)</w:t>
      </w:r>
    </w:p>
    <w:p w:rsidR="00BC402B" w:rsidRPr="006126DF" w:rsidRDefault="00BC402B" w:rsidP="00BC402B">
      <w:pPr>
        <w:spacing w:line="360" w:lineRule="auto"/>
        <w:ind w:firstLine="708"/>
        <w:jc w:val="center"/>
        <w:rPr>
          <w:rFonts w:ascii="Calibri" w:hAnsi="Calibri" w:cs="Calibri"/>
        </w:rPr>
      </w:pPr>
    </w:p>
    <w:p w:rsidR="00B06606" w:rsidRPr="006126DF" w:rsidRDefault="002F2510" w:rsidP="00BC402B">
      <w:pPr>
        <w:spacing w:line="360" w:lineRule="auto"/>
        <w:ind w:firstLine="708"/>
        <w:jc w:val="both"/>
        <w:rPr>
          <w:rFonts w:ascii="Calibri" w:hAnsi="Calibri" w:cs="Calibri"/>
        </w:rPr>
      </w:pPr>
      <w:r w:rsidRPr="006126DF">
        <w:rPr>
          <w:rFonts w:ascii="Calibri" w:hAnsi="Calibri" w:cs="Calibri"/>
        </w:rPr>
        <w:t>Um dieser Entwicklung entgegen zu wirken, arbeiten Banken vermehrt mit Bankgebühren</w:t>
      </w:r>
      <w:r w:rsidR="005B7A81" w:rsidRPr="006126DF">
        <w:rPr>
          <w:rFonts w:ascii="Calibri" w:hAnsi="Calibri" w:cs="Calibri"/>
        </w:rPr>
        <w:t>, die</w:t>
      </w:r>
      <w:r w:rsidR="00506023" w:rsidRPr="006126DF">
        <w:rPr>
          <w:rFonts w:ascii="Calibri" w:hAnsi="Calibri" w:cs="Calibri"/>
        </w:rPr>
        <w:t xml:space="preserve"> unabhängig von</w:t>
      </w:r>
      <w:r w:rsidRPr="006126DF">
        <w:rPr>
          <w:rFonts w:ascii="Calibri" w:hAnsi="Calibri" w:cs="Calibri"/>
        </w:rPr>
        <w:t xml:space="preserve"> </w:t>
      </w:r>
      <w:r w:rsidR="00506023" w:rsidRPr="006126DF">
        <w:rPr>
          <w:rFonts w:ascii="Calibri" w:hAnsi="Calibri" w:cs="Calibri"/>
        </w:rPr>
        <w:t>Zinsen</w:t>
      </w:r>
      <w:r w:rsidR="005B7A81" w:rsidRPr="006126DF">
        <w:rPr>
          <w:rFonts w:ascii="Calibri" w:hAnsi="Calibri" w:cs="Calibri"/>
        </w:rPr>
        <w:t xml:space="preserve"> sind</w:t>
      </w:r>
      <w:r w:rsidRPr="006126DF">
        <w:rPr>
          <w:rFonts w:ascii="Calibri" w:hAnsi="Calibri" w:cs="Calibri"/>
        </w:rPr>
        <w:t>, um den Gewinneinschnitten aus</w:t>
      </w:r>
      <w:r w:rsidR="0004030A" w:rsidRPr="006126DF">
        <w:rPr>
          <w:rFonts w:ascii="Calibri" w:hAnsi="Calibri" w:cs="Calibri"/>
        </w:rPr>
        <w:t xml:space="preserve"> </w:t>
      </w:r>
      <w:r w:rsidR="00536842" w:rsidRPr="006126DF">
        <w:rPr>
          <w:rFonts w:ascii="Calibri" w:hAnsi="Calibri" w:cs="Calibri"/>
        </w:rPr>
        <w:t>fehlenden Zinserträgen</w:t>
      </w:r>
      <w:r w:rsidRPr="006126DF">
        <w:rPr>
          <w:rFonts w:ascii="Calibri" w:hAnsi="Calibri" w:cs="Calibri"/>
        </w:rPr>
        <w:t xml:space="preserve"> entgegenzuwirken</w:t>
      </w:r>
      <w:r w:rsidR="00D42DA5">
        <w:rPr>
          <w:rFonts w:ascii="Calibri" w:hAnsi="Calibri" w:cs="Calibri"/>
        </w:rPr>
        <w:t>. Abbildung 1 zeigt eine rückläufige Entwicklung der Einnahmen aus Zinserträgen, währen Abbildung 2 eine Zunahme der Einnahmen aus Gebühren zeigt.</w:t>
      </w:r>
      <w:r w:rsidR="00506023" w:rsidRPr="006126DF">
        <w:rPr>
          <w:rFonts w:ascii="Calibri" w:hAnsi="Calibri" w:cs="Calibri"/>
        </w:rPr>
        <w:t xml:space="preserve"> </w:t>
      </w:r>
      <w:r w:rsidR="00D42DA5">
        <w:rPr>
          <w:rFonts w:ascii="Calibri" w:hAnsi="Calibri" w:cs="Calibri"/>
        </w:rPr>
        <w:t>Zu den Gebühren</w:t>
      </w:r>
      <w:r w:rsidR="005B7A81" w:rsidRPr="006126DF">
        <w:rPr>
          <w:rFonts w:ascii="Calibri" w:hAnsi="Calibri" w:cs="Calibri"/>
        </w:rPr>
        <w:t xml:space="preserve"> gehören Bankführungsgebühren, Beratungskosten, Kommissionen für Wertpapierkäufe etc. </w:t>
      </w:r>
      <w:r w:rsidR="00506023" w:rsidRPr="006126DF">
        <w:rPr>
          <w:rFonts w:ascii="Calibri" w:hAnsi="Calibri" w:cs="Calibri"/>
        </w:rPr>
        <w:t>Die Methoden zeigen, dass</w:t>
      </w:r>
      <w:r w:rsidR="0018273A" w:rsidRPr="006126DF">
        <w:rPr>
          <w:rFonts w:ascii="Calibri" w:hAnsi="Calibri" w:cs="Calibri"/>
        </w:rPr>
        <w:t xml:space="preserve"> europäische Privatkundengeschäfte </w:t>
      </w:r>
      <w:r w:rsidR="00696E63" w:rsidRPr="006126DF">
        <w:rPr>
          <w:rFonts w:ascii="Calibri" w:hAnsi="Calibri" w:cs="Calibri"/>
        </w:rPr>
        <w:t xml:space="preserve">profitabel </w:t>
      </w:r>
      <w:r w:rsidR="00506023" w:rsidRPr="006126DF">
        <w:rPr>
          <w:rFonts w:ascii="Calibri" w:hAnsi="Calibri" w:cs="Calibri"/>
        </w:rPr>
        <w:t>sind</w:t>
      </w:r>
      <w:r w:rsidR="0018273A" w:rsidRPr="006126DF">
        <w:rPr>
          <w:rFonts w:ascii="Calibri" w:hAnsi="Calibri" w:cs="Calibri"/>
        </w:rPr>
        <w:t>. Laut der Unternehmensberatung PWC</w:t>
      </w:r>
      <w:r w:rsidR="00D42DA5">
        <w:rPr>
          <w:rFonts w:ascii="Calibri" w:hAnsi="Calibri" w:cs="Calibri"/>
        </w:rPr>
        <w:t xml:space="preserve"> (2019)</w:t>
      </w:r>
      <w:r w:rsidR="0018273A" w:rsidRPr="006126DF">
        <w:rPr>
          <w:rFonts w:ascii="Calibri" w:hAnsi="Calibri" w:cs="Calibri"/>
        </w:rPr>
        <w:t xml:space="preserve">, verdienen europäische Banken zwischen 149€ </w:t>
      </w:r>
      <w:r w:rsidR="00156CCD" w:rsidRPr="006126DF">
        <w:rPr>
          <w:rFonts w:ascii="Calibri" w:hAnsi="Calibri" w:cs="Calibri"/>
        </w:rPr>
        <w:t xml:space="preserve">(Vereinigtes Königreich) </w:t>
      </w:r>
      <w:r w:rsidR="0018273A" w:rsidRPr="006126DF">
        <w:rPr>
          <w:rFonts w:ascii="Calibri" w:hAnsi="Calibri" w:cs="Calibri"/>
        </w:rPr>
        <w:t xml:space="preserve">und 451€ </w:t>
      </w:r>
      <w:r w:rsidR="00156CCD" w:rsidRPr="006126DF">
        <w:rPr>
          <w:rFonts w:ascii="Calibri" w:hAnsi="Calibri" w:cs="Calibri"/>
        </w:rPr>
        <w:t xml:space="preserve">(Schweiz) </w:t>
      </w:r>
      <w:r w:rsidR="0018273A" w:rsidRPr="006126DF">
        <w:rPr>
          <w:rFonts w:ascii="Calibri" w:hAnsi="Calibri" w:cs="Calibri"/>
        </w:rPr>
        <w:t>pro Privatkunden</w:t>
      </w:r>
      <w:r w:rsidR="00F74C97">
        <w:rPr>
          <w:rFonts w:ascii="Calibri" w:hAnsi="Calibri" w:cs="Calibri"/>
        </w:rPr>
        <w:t>.</w:t>
      </w:r>
    </w:p>
    <w:p w:rsidR="00C32828" w:rsidRPr="006126DF" w:rsidRDefault="00BC402B" w:rsidP="0043332A">
      <w:pPr>
        <w:spacing w:line="360" w:lineRule="auto"/>
        <w:ind w:firstLine="708"/>
        <w:jc w:val="center"/>
        <w:rPr>
          <w:rFonts w:ascii="Calibri" w:hAnsi="Calibri" w:cs="Calibri"/>
        </w:rPr>
      </w:pPr>
      <w:r>
        <w:rPr>
          <w:rFonts w:ascii="Calibri" w:hAnsi="Calibri" w:cs="Calibri"/>
          <w:noProof/>
        </w:rPr>
        <w:lastRenderedPageBreak/>
        <w:drawing>
          <wp:inline distT="0" distB="0" distL="0" distR="0" wp14:anchorId="41929EFD">
            <wp:extent cx="5111085" cy="37973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tistic_id242867_provisionsertraege-der-banken-in-deutschland-bis-2017.pdf"/>
                    <pic:cNvPicPr/>
                  </pic:nvPicPr>
                  <pic:blipFill>
                    <a:blip r:embed="rId10" cstate="email">
                      <a:extLst>
                        <a:ext uri="{28A0092B-C50C-407E-A947-70E740481C1C}">
                          <a14:useLocalDpi xmlns:a14="http://schemas.microsoft.com/office/drawing/2010/main"/>
                        </a:ext>
                      </a:extLst>
                    </a:blip>
                    <a:stretch>
                      <a:fillRect/>
                    </a:stretch>
                  </pic:blipFill>
                  <pic:spPr>
                    <a:xfrm>
                      <a:off x="0" y="0"/>
                      <a:ext cx="5120356" cy="3804188"/>
                    </a:xfrm>
                    <a:prstGeom prst="rect">
                      <a:avLst/>
                    </a:prstGeom>
                  </pic:spPr>
                </pic:pic>
              </a:graphicData>
            </a:graphic>
          </wp:inline>
        </w:drawing>
      </w:r>
    </w:p>
    <w:p w:rsidR="00F74C97" w:rsidRDefault="0043332A" w:rsidP="006E1E8D">
      <w:pPr>
        <w:spacing w:line="360" w:lineRule="auto"/>
        <w:ind w:firstLine="708"/>
        <w:jc w:val="center"/>
        <w:rPr>
          <w:rFonts w:ascii="Calibri" w:hAnsi="Calibri" w:cs="Calibri"/>
        </w:rPr>
      </w:pPr>
      <w:r>
        <w:rPr>
          <w:rFonts w:ascii="Calibri" w:hAnsi="Calibri" w:cs="Calibri"/>
        </w:rPr>
        <w:t>(Abbildung 2, Quelle: Deutsche Bundesbank)</w:t>
      </w:r>
    </w:p>
    <w:p w:rsidR="0043332A" w:rsidRDefault="0043332A" w:rsidP="007F489E">
      <w:pPr>
        <w:spacing w:line="360" w:lineRule="auto"/>
        <w:ind w:firstLine="708"/>
        <w:jc w:val="both"/>
        <w:rPr>
          <w:rFonts w:ascii="Calibri" w:hAnsi="Calibri" w:cs="Calibri"/>
        </w:rPr>
      </w:pPr>
    </w:p>
    <w:p w:rsidR="0004030A" w:rsidRPr="006126DF" w:rsidRDefault="00C15F26" w:rsidP="00BC402B">
      <w:pPr>
        <w:spacing w:line="360" w:lineRule="auto"/>
        <w:ind w:firstLine="708"/>
        <w:jc w:val="both"/>
        <w:rPr>
          <w:rFonts w:ascii="Calibri" w:hAnsi="Calibri" w:cs="Calibri"/>
        </w:rPr>
      </w:pPr>
      <w:r w:rsidRPr="006126DF">
        <w:rPr>
          <w:rFonts w:ascii="Calibri" w:hAnsi="Calibri" w:cs="Calibri"/>
        </w:rPr>
        <w:t>Diese Werte entsprechen in etwa denen von vor der Krise 2008, als die Zinseinnahmen</w:t>
      </w:r>
      <w:r w:rsidR="00F74C97">
        <w:rPr>
          <w:rFonts w:ascii="Calibri" w:hAnsi="Calibri" w:cs="Calibri"/>
        </w:rPr>
        <w:t xml:space="preserve"> </w:t>
      </w:r>
      <w:r w:rsidRPr="006126DF">
        <w:rPr>
          <w:rFonts w:ascii="Calibri" w:hAnsi="Calibri" w:cs="Calibri"/>
        </w:rPr>
        <w:t>der Banken noch deutlich höher waren.</w:t>
      </w:r>
      <w:r w:rsidR="009425F7" w:rsidRPr="006126DF">
        <w:rPr>
          <w:rFonts w:ascii="Calibri" w:hAnsi="Calibri" w:cs="Calibri"/>
        </w:rPr>
        <w:t xml:space="preserve"> Diese gleichbleibende Ertrags-Entwicklung aus unterschiedlichen Einnahmeströmen (Gebühren vs</w:t>
      </w:r>
      <w:r w:rsidR="00403906" w:rsidRPr="006126DF">
        <w:rPr>
          <w:rFonts w:ascii="Calibri" w:hAnsi="Calibri" w:cs="Calibri"/>
        </w:rPr>
        <w:t>.</w:t>
      </w:r>
      <w:r w:rsidR="009425F7" w:rsidRPr="006126DF">
        <w:rPr>
          <w:rFonts w:ascii="Calibri" w:hAnsi="Calibri" w:cs="Calibri"/>
        </w:rPr>
        <w:t xml:space="preserve"> Zinsen) lässt sich auf eine Geschäftsmodellwandlung hindeuten</w:t>
      </w:r>
      <w:r w:rsidR="00515932">
        <w:rPr>
          <w:rFonts w:ascii="Calibri" w:hAnsi="Calibri" w:cs="Calibri"/>
        </w:rPr>
        <w:t xml:space="preserve"> (Wolf, 2018)</w:t>
      </w:r>
      <w:r w:rsidR="009425F7" w:rsidRPr="006126DF">
        <w:rPr>
          <w:rFonts w:ascii="Calibri" w:hAnsi="Calibri" w:cs="Calibri"/>
        </w:rPr>
        <w:t>.</w:t>
      </w:r>
    </w:p>
    <w:p w:rsidR="0004030A" w:rsidRPr="006126DF" w:rsidRDefault="0004030A" w:rsidP="007F489E">
      <w:pPr>
        <w:spacing w:line="360" w:lineRule="auto"/>
        <w:jc w:val="both"/>
        <w:rPr>
          <w:rFonts w:ascii="Calibri" w:hAnsi="Calibri" w:cs="Calibri"/>
        </w:rPr>
      </w:pPr>
    </w:p>
    <w:p w:rsidR="000F1C74" w:rsidRPr="006126DF" w:rsidRDefault="00AF4BB0" w:rsidP="007F489E">
      <w:pPr>
        <w:pStyle w:val="berschrift2"/>
        <w:spacing w:line="360" w:lineRule="auto"/>
        <w:rPr>
          <w:rFonts w:eastAsia="Times New Roman"/>
        </w:rPr>
      </w:pPr>
      <w:bookmarkStart w:id="9" w:name="_Toc11850906"/>
      <w:r>
        <w:rPr>
          <w:rFonts w:eastAsia="Times New Roman"/>
        </w:rPr>
        <w:t>3</w:t>
      </w:r>
      <w:r w:rsidR="006126DF">
        <w:rPr>
          <w:rFonts w:eastAsia="Times New Roman"/>
        </w:rPr>
        <w:t xml:space="preserve">.2 </w:t>
      </w:r>
      <w:r w:rsidR="0004030A" w:rsidRPr="006126DF">
        <w:rPr>
          <w:rFonts w:eastAsia="Times New Roman"/>
        </w:rPr>
        <w:t>Zinsen oder Gebühren – Wo liegt der Unterschied</w:t>
      </w:r>
      <w:r w:rsidR="00C631C1">
        <w:rPr>
          <w:rFonts w:eastAsia="Times New Roman"/>
        </w:rPr>
        <w:t>?</w:t>
      </w:r>
      <w:bookmarkEnd w:id="9"/>
    </w:p>
    <w:p w:rsidR="0004030A" w:rsidRPr="006126DF" w:rsidRDefault="00186FC4" w:rsidP="007F489E">
      <w:pPr>
        <w:spacing w:line="360" w:lineRule="auto"/>
        <w:jc w:val="both"/>
        <w:rPr>
          <w:rFonts w:ascii="Calibri" w:hAnsi="Calibri" w:cs="Calibri"/>
        </w:rPr>
      </w:pPr>
      <w:r w:rsidRPr="006126DF">
        <w:rPr>
          <w:rFonts w:ascii="Calibri" w:hAnsi="Calibri" w:cs="Calibri"/>
          <w:b/>
        </w:rPr>
        <w:tab/>
      </w:r>
      <w:r w:rsidR="00536842" w:rsidRPr="006126DF">
        <w:rPr>
          <w:rFonts w:ascii="Calibri" w:hAnsi="Calibri" w:cs="Calibri"/>
        </w:rPr>
        <w:t>Die Frage stellt sich, ob es für die Gerechtigkeit signifikant ist, ob</w:t>
      </w:r>
      <w:r w:rsidR="002E0434" w:rsidRPr="006126DF">
        <w:rPr>
          <w:rFonts w:ascii="Calibri" w:hAnsi="Calibri" w:cs="Calibri"/>
        </w:rPr>
        <w:t xml:space="preserve"> sich die Gewinnaufteilung verändert, solange der Gesamtgewinn gleich bleibt.</w:t>
      </w:r>
      <w:r w:rsidR="00536842" w:rsidRPr="006126DF">
        <w:rPr>
          <w:rFonts w:ascii="Calibri" w:hAnsi="Calibri" w:cs="Calibri"/>
        </w:rPr>
        <w:t xml:space="preserve"> </w:t>
      </w:r>
      <w:r w:rsidR="002E0434" w:rsidRPr="006126DF">
        <w:rPr>
          <w:rFonts w:ascii="Calibri" w:hAnsi="Calibri" w:cs="Calibri"/>
        </w:rPr>
        <w:t xml:space="preserve">Denn </w:t>
      </w:r>
      <w:r w:rsidRPr="006126DF">
        <w:rPr>
          <w:rFonts w:ascii="Calibri" w:hAnsi="Calibri" w:cs="Calibri"/>
        </w:rPr>
        <w:t>Gebühren anzuheben, um fallende Zinserträge auszugleichen ist aus Sicht der Banken nachvollziehbar. Nichtsdestotrotz sind Zinsen und Gebühren sehr unterschiedliche Arten von Zahlungen. Zinsen stellen Opportunitätskosten sowohl für Banken, als auch Kunden da</w:t>
      </w:r>
      <w:r w:rsidR="00536842" w:rsidRPr="006126DF">
        <w:rPr>
          <w:rFonts w:ascii="Calibri" w:hAnsi="Calibri" w:cs="Calibri"/>
        </w:rPr>
        <w:t>r</w:t>
      </w:r>
      <w:r w:rsidRPr="006126DF">
        <w:rPr>
          <w:rFonts w:ascii="Calibri" w:hAnsi="Calibri" w:cs="Calibri"/>
        </w:rPr>
        <w:t>. Banken müssen das Kreditrisiko einschätzen, während Kunden abschätzen</w:t>
      </w:r>
      <w:r w:rsidR="00B317C8" w:rsidRPr="006126DF">
        <w:rPr>
          <w:rFonts w:ascii="Calibri" w:hAnsi="Calibri" w:cs="Calibri"/>
        </w:rPr>
        <w:t xml:space="preserve"> müssen</w:t>
      </w:r>
      <w:r w:rsidRPr="006126DF">
        <w:rPr>
          <w:rFonts w:ascii="Calibri" w:hAnsi="Calibri" w:cs="Calibri"/>
        </w:rPr>
        <w:t>, ob ein kreditfinanzierter Kauf heute einen größeren Nutzen hat</w:t>
      </w:r>
      <w:r w:rsidR="00B317C8" w:rsidRPr="006126DF">
        <w:rPr>
          <w:rFonts w:ascii="Calibri" w:hAnsi="Calibri" w:cs="Calibri"/>
        </w:rPr>
        <w:t>,</w:t>
      </w:r>
      <w:r w:rsidRPr="006126DF">
        <w:rPr>
          <w:rFonts w:ascii="Calibri" w:hAnsi="Calibri" w:cs="Calibri"/>
        </w:rPr>
        <w:t xml:space="preserve"> als die Rückzahlungskosten in der Zukunft. </w:t>
      </w:r>
      <w:r w:rsidR="00B317C8" w:rsidRPr="006126DF">
        <w:rPr>
          <w:rFonts w:ascii="Calibri" w:hAnsi="Calibri" w:cs="Calibri"/>
        </w:rPr>
        <w:t xml:space="preserve">Es ließe sich zwar argumentieren, dass insbesondere Kreditkartenzinsen zu hoch seien, jedoch liegt es am </w:t>
      </w:r>
      <w:r w:rsidR="00C631C1">
        <w:rPr>
          <w:rFonts w:ascii="Calibri" w:hAnsi="Calibri" w:cs="Calibri"/>
        </w:rPr>
        <w:t xml:space="preserve">Ende am </w:t>
      </w:r>
      <w:r w:rsidR="00B317C8" w:rsidRPr="006126DF">
        <w:rPr>
          <w:rFonts w:ascii="Calibri" w:hAnsi="Calibri" w:cs="Calibri"/>
        </w:rPr>
        <w:t>Kunden Schulden aufzunehmen oder nicht.</w:t>
      </w:r>
    </w:p>
    <w:p w:rsidR="00B317C8" w:rsidRPr="006126DF" w:rsidRDefault="00B317C8" w:rsidP="007F489E">
      <w:pPr>
        <w:spacing w:line="360" w:lineRule="auto"/>
        <w:jc w:val="both"/>
        <w:rPr>
          <w:rFonts w:ascii="Calibri" w:hAnsi="Calibri" w:cs="Calibri"/>
        </w:rPr>
      </w:pPr>
    </w:p>
    <w:p w:rsidR="00B317C8" w:rsidRPr="006126DF" w:rsidRDefault="00B317C8" w:rsidP="007F489E">
      <w:pPr>
        <w:spacing w:line="360" w:lineRule="auto"/>
        <w:jc w:val="both"/>
        <w:rPr>
          <w:rFonts w:ascii="Calibri" w:hAnsi="Calibri" w:cs="Calibri"/>
        </w:rPr>
      </w:pPr>
      <w:r w:rsidRPr="006126DF">
        <w:rPr>
          <w:rFonts w:ascii="Calibri" w:hAnsi="Calibri" w:cs="Calibri"/>
        </w:rPr>
        <w:lastRenderedPageBreak/>
        <w:tab/>
        <w:t>Im Gegensatz zu Zinsen, stufe ich Gebühren (im klassischen Sinne) anders ein. Hier müssen d</w:t>
      </w:r>
      <w:r w:rsidR="00C631C1">
        <w:rPr>
          <w:rFonts w:ascii="Calibri" w:hAnsi="Calibri" w:cs="Calibri"/>
        </w:rPr>
        <w:t>ie</w:t>
      </w:r>
      <w:r w:rsidRPr="006126DF">
        <w:rPr>
          <w:rFonts w:ascii="Calibri" w:hAnsi="Calibri" w:cs="Calibri"/>
        </w:rPr>
        <w:t xml:space="preserve"> Gebühren d</w:t>
      </w:r>
      <w:r w:rsidR="00C631C1">
        <w:rPr>
          <w:rFonts w:ascii="Calibri" w:hAnsi="Calibri" w:cs="Calibri"/>
        </w:rPr>
        <w:t>en</w:t>
      </w:r>
      <w:r w:rsidRPr="006126DF">
        <w:rPr>
          <w:rFonts w:ascii="Calibri" w:hAnsi="Calibri" w:cs="Calibri"/>
        </w:rPr>
        <w:t xml:space="preserve"> Kosten gegenübergestellt werden.</w:t>
      </w:r>
      <w:r w:rsidR="00E85D6E" w:rsidRPr="006126DF">
        <w:rPr>
          <w:rFonts w:ascii="Calibri" w:hAnsi="Calibri" w:cs="Calibri"/>
        </w:rPr>
        <w:t xml:space="preserve"> Insbesondere möchte ich die automatisierten Bankdienstleistungen auf ihre Kosten und damit Gerechtigkeit untersuchen.</w:t>
      </w:r>
      <w:r w:rsidRPr="006126DF">
        <w:rPr>
          <w:rFonts w:ascii="Calibri" w:hAnsi="Calibri" w:cs="Calibri"/>
        </w:rPr>
        <w:t xml:space="preserve"> </w:t>
      </w:r>
      <w:r w:rsidR="00E85D6E" w:rsidRPr="006126DF">
        <w:rPr>
          <w:rFonts w:ascii="Calibri" w:hAnsi="Calibri" w:cs="Calibri"/>
        </w:rPr>
        <w:t xml:space="preserve">Dazu gehören vor allem Kontoführungsgebühren, </w:t>
      </w:r>
      <w:r w:rsidR="0023059E" w:rsidRPr="006126DF">
        <w:rPr>
          <w:rFonts w:ascii="Calibri" w:hAnsi="Calibri" w:cs="Calibri"/>
        </w:rPr>
        <w:t xml:space="preserve">Geldautomatengebühren, </w:t>
      </w:r>
      <w:r w:rsidR="00E85D6E" w:rsidRPr="006126DF">
        <w:rPr>
          <w:rFonts w:ascii="Calibri" w:hAnsi="Calibri" w:cs="Calibri"/>
        </w:rPr>
        <w:t xml:space="preserve">Gebühren für Auslandstransaktion und Kommissionen bei Wertpapierkäufen. Die Banken haben über die letzten Jahrzehnte zunächst vom Internet profitiert. Das Internet ermöglichte Online-Banking, </w:t>
      </w:r>
      <w:r w:rsidR="00284F54" w:rsidRPr="006126DF">
        <w:rPr>
          <w:rFonts w:ascii="Calibri" w:hAnsi="Calibri" w:cs="Calibri"/>
        </w:rPr>
        <w:t>welches</w:t>
      </w:r>
      <w:r w:rsidR="00E85D6E" w:rsidRPr="006126DF">
        <w:rPr>
          <w:rFonts w:ascii="Calibri" w:hAnsi="Calibri" w:cs="Calibri"/>
        </w:rPr>
        <w:t xml:space="preserve"> persönliche Betreuung </w:t>
      </w:r>
      <w:r w:rsidR="00284F54" w:rsidRPr="006126DF">
        <w:rPr>
          <w:rFonts w:ascii="Calibri" w:hAnsi="Calibri" w:cs="Calibri"/>
        </w:rPr>
        <w:t xml:space="preserve">automatisierte </w:t>
      </w:r>
      <w:r w:rsidR="00E85D6E" w:rsidRPr="006126DF">
        <w:rPr>
          <w:rFonts w:ascii="Calibri" w:hAnsi="Calibri" w:cs="Calibri"/>
        </w:rPr>
        <w:t xml:space="preserve">und damit Personalkosten einsparte. </w:t>
      </w:r>
      <w:r w:rsidR="00284F54" w:rsidRPr="006126DF">
        <w:rPr>
          <w:rFonts w:ascii="Calibri" w:hAnsi="Calibri" w:cs="Calibri"/>
        </w:rPr>
        <w:t>Der Umstieg auf Banking als (Online-) „Self-Service“ wurde von den Banken noch weiter forciert, indem seit der Finanzkrise 2008 der Trend zur Reduzierung von Filialen vor allem im deutschsprachigem Raum zu erkennen ist</w:t>
      </w:r>
      <w:r w:rsidR="00A86784">
        <w:rPr>
          <w:rFonts w:ascii="Calibri" w:hAnsi="Calibri" w:cs="Calibri"/>
        </w:rPr>
        <w:t xml:space="preserve"> (PWC, 2019)</w:t>
      </w:r>
      <w:r w:rsidR="00284F54" w:rsidRPr="006126DF">
        <w:rPr>
          <w:rFonts w:ascii="Calibri" w:hAnsi="Calibri" w:cs="Calibri"/>
        </w:rPr>
        <w:t xml:space="preserve">. </w:t>
      </w:r>
      <w:r w:rsidR="00E52E6F" w:rsidRPr="006126DF">
        <w:rPr>
          <w:rFonts w:ascii="Calibri" w:hAnsi="Calibri" w:cs="Calibri"/>
        </w:rPr>
        <w:t>Dass durch technologische Fortschritte, vor allem dem Internet und Kosteneinsparungsprogrammen, die oben genannten automatisierten trotzdem Bankendienstleistungen teurer wurden</w:t>
      </w:r>
      <w:r w:rsidR="007F0931" w:rsidRPr="006126DF">
        <w:rPr>
          <w:rFonts w:ascii="Calibri" w:hAnsi="Calibri" w:cs="Calibri"/>
        </w:rPr>
        <w:t>,</w:t>
      </w:r>
      <w:r w:rsidR="00E52E6F" w:rsidRPr="006126DF">
        <w:rPr>
          <w:rFonts w:ascii="Calibri" w:hAnsi="Calibri" w:cs="Calibri"/>
        </w:rPr>
        <w:t xml:space="preserve"> scheint zunächst ungerecht.</w:t>
      </w:r>
    </w:p>
    <w:p w:rsidR="00EC35DE" w:rsidRPr="006126DF" w:rsidRDefault="00EC35DE" w:rsidP="007F489E">
      <w:pPr>
        <w:spacing w:line="360" w:lineRule="auto"/>
        <w:jc w:val="both"/>
        <w:rPr>
          <w:rFonts w:ascii="Calibri" w:hAnsi="Calibri" w:cs="Calibri"/>
        </w:rPr>
      </w:pPr>
      <w:r w:rsidRPr="006126DF">
        <w:rPr>
          <w:rFonts w:ascii="Calibri" w:hAnsi="Calibri" w:cs="Calibri"/>
        </w:rPr>
        <w:tab/>
      </w:r>
    </w:p>
    <w:p w:rsidR="00186FC4" w:rsidRPr="006126DF" w:rsidRDefault="00EC35DE" w:rsidP="007F489E">
      <w:pPr>
        <w:spacing w:line="360" w:lineRule="auto"/>
        <w:jc w:val="both"/>
        <w:rPr>
          <w:rFonts w:ascii="Calibri" w:hAnsi="Calibri" w:cs="Calibri"/>
        </w:rPr>
      </w:pPr>
      <w:r w:rsidRPr="006126DF">
        <w:rPr>
          <w:rFonts w:ascii="Calibri" w:hAnsi="Calibri" w:cs="Calibri"/>
        </w:rPr>
        <w:tab/>
        <w:t>Aristoteles und Thomas Aquinas würden aufgrund des Auseinanderklaffens zwischen Preis und Wert solche Bankgebühren als ungerecht bezeichnen. Für Adam Smith gilt prinzipiell, dass die natürliche Hand über den Preis entscheidet. Allerdings setzt Smith ein</w:t>
      </w:r>
      <w:r w:rsidR="007B0979" w:rsidRPr="006126DF">
        <w:rPr>
          <w:rFonts w:ascii="Calibri" w:hAnsi="Calibri" w:cs="Calibri"/>
        </w:rPr>
        <w:t>en</w:t>
      </w:r>
      <w:r w:rsidRPr="006126DF">
        <w:rPr>
          <w:rFonts w:ascii="Calibri" w:hAnsi="Calibri" w:cs="Calibri"/>
        </w:rPr>
        <w:t xml:space="preserve"> friktionsfreien und transparenten Markt voraus</w:t>
      </w:r>
      <w:r w:rsidR="00DE6621">
        <w:rPr>
          <w:rFonts w:ascii="Calibri" w:hAnsi="Calibri" w:cs="Calibri"/>
        </w:rPr>
        <w:t xml:space="preserve"> (Andrews, 2014)</w:t>
      </w:r>
      <w:r w:rsidRPr="006126DF">
        <w:rPr>
          <w:rFonts w:ascii="Calibri" w:hAnsi="Calibri" w:cs="Calibri"/>
        </w:rPr>
        <w:t xml:space="preserve">. </w:t>
      </w:r>
      <w:r w:rsidR="007B0979" w:rsidRPr="006126DF">
        <w:rPr>
          <w:rFonts w:ascii="Calibri" w:hAnsi="Calibri" w:cs="Calibri"/>
        </w:rPr>
        <w:t>Ein denkbares Szenario wäre ein langjähriger Kunde bei einer Bank. D</w:t>
      </w:r>
      <w:r w:rsidR="007F0931" w:rsidRPr="006126DF">
        <w:rPr>
          <w:rFonts w:ascii="Calibri" w:hAnsi="Calibri" w:cs="Calibri"/>
        </w:rPr>
        <w:t xml:space="preserve">ieser imaginäre </w:t>
      </w:r>
      <w:r w:rsidR="007B0979" w:rsidRPr="006126DF">
        <w:rPr>
          <w:rFonts w:ascii="Calibri" w:hAnsi="Calibri" w:cs="Calibri"/>
        </w:rPr>
        <w:t xml:space="preserve">Kunde hat ein Girokonto, Sparbuch und Depot und bewahrt dort sein/ihr Vermögen auf. </w:t>
      </w:r>
      <w:r w:rsidR="00A00694" w:rsidRPr="006126DF">
        <w:rPr>
          <w:rFonts w:ascii="Calibri" w:hAnsi="Calibri" w:cs="Calibri"/>
        </w:rPr>
        <w:t xml:space="preserve">Wenn Banken nun Kontoführungsgebühren erhöhen oder Transaktionskosten für Aktienkäufe und Verkäufe, so ist ein schlichtes Ablehnen der Dienstleistungen seitens des Kunden nicht so einfach. Der sogenannte Effekt </w:t>
      </w:r>
      <w:r w:rsidR="003D6E9F">
        <w:rPr>
          <w:rFonts w:ascii="Calibri" w:hAnsi="Calibri" w:cs="Calibri"/>
        </w:rPr>
        <w:t xml:space="preserve">der Umstellungskosten </w:t>
      </w:r>
      <w:r w:rsidR="00A00694" w:rsidRPr="006126DF">
        <w:rPr>
          <w:rFonts w:ascii="Calibri" w:hAnsi="Calibri" w:cs="Calibri"/>
        </w:rPr>
        <w:t xml:space="preserve">tritt ein, wenn Wechselkosten für Kunden hoch sind, </w:t>
      </w:r>
      <w:r w:rsidR="007F0931" w:rsidRPr="006126DF">
        <w:rPr>
          <w:rFonts w:ascii="Calibri" w:hAnsi="Calibri" w:cs="Calibri"/>
        </w:rPr>
        <w:t>beispielsweise</w:t>
      </w:r>
      <w:r w:rsidR="00A00694" w:rsidRPr="006126DF">
        <w:rPr>
          <w:rFonts w:ascii="Calibri" w:hAnsi="Calibri" w:cs="Calibri"/>
        </w:rPr>
        <w:t xml:space="preserve"> weil eine Kontoauflösung mühsam ist und ein Depotwechsel teuer. </w:t>
      </w:r>
      <w:r w:rsidR="00413A4C" w:rsidRPr="006126DF">
        <w:rPr>
          <w:rFonts w:ascii="Calibri" w:hAnsi="Calibri" w:cs="Calibri"/>
        </w:rPr>
        <w:t xml:space="preserve">Unternehmen in allen Branchen streben </w:t>
      </w:r>
      <w:r w:rsidR="003D6E9F">
        <w:rPr>
          <w:rFonts w:ascii="Calibri" w:hAnsi="Calibri" w:cs="Calibri"/>
        </w:rPr>
        <w:t>hohe Umstellungskosten</w:t>
      </w:r>
      <w:r w:rsidR="00413A4C" w:rsidRPr="006126DF">
        <w:rPr>
          <w:rFonts w:ascii="Calibri" w:hAnsi="Calibri" w:cs="Calibri"/>
        </w:rPr>
        <w:t xml:space="preserve"> an, da somit Preise über dem „natürlichen“ Preis verlangt werden können. </w:t>
      </w:r>
      <w:r w:rsidR="008439C6" w:rsidRPr="006126DF">
        <w:rPr>
          <w:rFonts w:ascii="Calibri" w:hAnsi="Calibri" w:cs="Calibri"/>
        </w:rPr>
        <w:t>Dementsprechend ist es auch fraglich ob Adam Smith solche Bankgebühren als gerecht ansehen würde.</w:t>
      </w:r>
    </w:p>
    <w:p w:rsidR="007F0931" w:rsidRPr="006126DF" w:rsidRDefault="007F0931" w:rsidP="007F489E">
      <w:pPr>
        <w:spacing w:line="360" w:lineRule="auto"/>
        <w:jc w:val="both"/>
        <w:rPr>
          <w:rFonts w:ascii="Calibri" w:hAnsi="Calibri" w:cs="Calibri"/>
        </w:rPr>
      </w:pPr>
    </w:p>
    <w:p w:rsidR="00895D4E" w:rsidRPr="006126DF" w:rsidRDefault="00AF4BB0" w:rsidP="007F489E">
      <w:pPr>
        <w:pStyle w:val="berschrift2"/>
        <w:spacing w:line="360" w:lineRule="auto"/>
        <w:rPr>
          <w:rFonts w:eastAsia="Times New Roman"/>
        </w:rPr>
      </w:pPr>
      <w:bookmarkStart w:id="10" w:name="_Toc11850907"/>
      <w:r>
        <w:rPr>
          <w:rFonts w:eastAsia="Times New Roman"/>
        </w:rPr>
        <w:t>3</w:t>
      </w:r>
      <w:r w:rsidR="006126DF">
        <w:rPr>
          <w:rFonts w:eastAsia="Times New Roman"/>
        </w:rPr>
        <w:t xml:space="preserve">.3 </w:t>
      </w:r>
      <w:r w:rsidR="00895D4E" w:rsidRPr="006126DF">
        <w:rPr>
          <w:rFonts w:eastAsia="Times New Roman"/>
        </w:rPr>
        <w:t>Zinsen als Opportunitätskosten für Kunden</w:t>
      </w:r>
      <w:bookmarkEnd w:id="10"/>
    </w:p>
    <w:p w:rsidR="00895D4E" w:rsidRPr="006126DF" w:rsidRDefault="00895D4E" w:rsidP="007F489E">
      <w:pPr>
        <w:spacing w:line="360" w:lineRule="auto"/>
        <w:jc w:val="both"/>
        <w:rPr>
          <w:rFonts w:ascii="Calibri" w:hAnsi="Calibri" w:cs="Calibri"/>
        </w:rPr>
      </w:pPr>
      <w:r w:rsidRPr="006126DF">
        <w:rPr>
          <w:rFonts w:ascii="Calibri" w:hAnsi="Calibri" w:cs="Calibri"/>
          <w:b/>
        </w:rPr>
        <w:tab/>
      </w:r>
      <w:r w:rsidR="00F6797E" w:rsidRPr="006126DF">
        <w:rPr>
          <w:rFonts w:ascii="Calibri" w:hAnsi="Calibri" w:cs="Calibri"/>
        </w:rPr>
        <w:t xml:space="preserve">Meine bisherigen Beobachtungen haben </w:t>
      </w:r>
      <w:r w:rsidR="007F0931" w:rsidRPr="006126DF">
        <w:rPr>
          <w:rFonts w:ascii="Calibri" w:hAnsi="Calibri" w:cs="Calibri"/>
        </w:rPr>
        <w:t xml:space="preserve">noch </w:t>
      </w:r>
      <w:r w:rsidR="00F6797E" w:rsidRPr="006126DF">
        <w:rPr>
          <w:rFonts w:ascii="Calibri" w:hAnsi="Calibri" w:cs="Calibri"/>
        </w:rPr>
        <w:t xml:space="preserve">nicht den </w:t>
      </w:r>
      <w:r w:rsidR="007F0931" w:rsidRPr="006126DF">
        <w:rPr>
          <w:rFonts w:ascii="Calibri" w:hAnsi="Calibri" w:cs="Calibri"/>
        </w:rPr>
        <w:t>Zweck</w:t>
      </w:r>
      <w:r w:rsidR="00F6797E" w:rsidRPr="006126DF">
        <w:rPr>
          <w:rFonts w:ascii="Calibri" w:hAnsi="Calibri" w:cs="Calibri"/>
        </w:rPr>
        <w:t xml:space="preserve"> einer Bank aus Sicht </w:t>
      </w:r>
      <w:r w:rsidR="003D6E9F">
        <w:rPr>
          <w:rFonts w:ascii="Calibri" w:hAnsi="Calibri" w:cs="Calibri"/>
        </w:rPr>
        <w:t>des</w:t>
      </w:r>
      <w:r w:rsidR="00F6797E" w:rsidRPr="006126DF">
        <w:rPr>
          <w:rFonts w:ascii="Calibri" w:hAnsi="Calibri" w:cs="Calibri"/>
        </w:rPr>
        <w:t xml:space="preserve"> Kunden beleuchtet. </w:t>
      </w:r>
      <w:r w:rsidR="004829ED" w:rsidRPr="006126DF">
        <w:rPr>
          <w:rFonts w:ascii="Calibri" w:hAnsi="Calibri" w:cs="Calibri"/>
        </w:rPr>
        <w:t xml:space="preserve">Für Individuen ist die Bank traditionell nicht nur eine Vermögungsaufbewahrung oder Transaktionsermöglichung, sondern der Hauptzugang für </w:t>
      </w:r>
      <w:r w:rsidR="004829ED" w:rsidRPr="006126DF">
        <w:rPr>
          <w:rFonts w:ascii="Calibri" w:hAnsi="Calibri" w:cs="Calibri"/>
        </w:rPr>
        <w:lastRenderedPageBreak/>
        <w:t>Vermögen</w:t>
      </w:r>
      <w:r w:rsidR="007F0931" w:rsidRPr="006126DF">
        <w:rPr>
          <w:rFonts w:ascii="Calibri" w:hAnsi="Calibri" w:cs="Calibri"/>
        </w:rPr>
        <w:t>s</w:t>
      </w:r>
      <w:r w:rsidR="004829ED" w:rsidRPr="006126DF">
        <w:rPr>
          <w:rFonts w:ascii="Calibri" w:hAnsi="Calibri" w:cs="Calibri"/>
        </w:rPr>
        <w:t xml:space="preserve">steigerung. </w:t>
      </w:r>
      <w:r w:rsidR="005C1FDC" w:rsidRPr="006126DF">
        <w:rPr>
          <w:rFonts w:ascii="Calibri" w:hAnsi="Calibri" w:cs="Calibri"/>
        </w:rPr>
        <w:t>Wenn der Einlagezins hoch ist, aufgrund des hohen Zinsniveaus, so profitieren</w:t>
      </w:r>
      <w:r w:rsidR="007F0931" w:rsidRPr="006126DF">
        <w:rPr>
          <w:rFonts w:ascii="Calibri" w:hAnsi="Calibri" w:cs="Calibri"/>
        </w:rPr>
        <w:t xml:space="preserve"> Kunden</w:t>
      </w:r>
      <w:r w:rsidR="005C1FDC" w:rsidRPr="006126DF">
        <w:rPr>
          <w:rFonts w:ascii="Calibri" w:hAnsi="Calibri" w:cs="Calibri"/>
        </w:rPr>
        <w:t xml:space="preserve"> von Wertsteigerungen ihrer Einlagen. Gleichzeitig profitieren Banken vom höheren Spread den sie verlangen können</w:t>
      </w:r>
      <w:r w:rsidR="00BF7C50">
        <w:rPr>
          <w:rFonts w:ascii="Calibri" w:hAnsi="Calibri" w:cs="Calibri"/>
        </w:rPr>
        <w:t xml:space="preserve"> (Karkal, 2019)</w:t>
      </w:r>
      <w:r w:rsidR="005C1FDC" w:rsidRPr="006126DF">
        <w:rPr>
          <w:rFonts w:ascii="Calibri" w:hAnsi="Calibri" w:cs="Calibri"/>
        </w:rPr>
        <w:t>. Im Falll der Einlagen von Kunden</w:t>
      </w:r>
      <w:r w:rsidR="007F0931" w:rsidRPr="006126DF">
        <w:rPr>
          <w:rFonts w:ascii="Calibri" w:hAnsi="Calibri" w:cs="Calibri"/>
        </w:rPr>
        <w:t>,</w:t>
      </w:r>
      <w:r w:rsidR="005C1FDC" w:rsidRPr="006126DF">
        <w:rPr>
          <w:rFonts w:ascii="Calibri" w:hAnsi="Calibri" w:cs="Calibri"/>
        </w:rPr>
        <w:t xml:space="preserve"> wäre der Spread die Differenz zwischen dem höheren Zins, den die Bank aus den Kundeneinlagen erzielt und dem niedrigeren Zins, den sie den Kunden anbietet.</w:t>
      </w:r>
    </w:p>
    <w:p w:rsidR="00747160" w:rsidRPr="006126DF" w:rsidRDefault="00747160" w:rsidP="007F489E">
      <w:pPr>
        <w:spacing w:line="360" w:lineRule="auto"/>
        <w:jc w:val="both"/>
        <w:rPr>
          <w:rFonts w:ascii="Calibri" w:hAnsi="Calibri" w:cs="Calibri"/>
        </w:rPr>
      </w:pPr>
    </w:p>
    <w:p w:rsidR="00747160" w:rsidRPr="006126DF" w:rsidRDefault="00747160" w:rsidP="007F489E">
      <w:pPr>
        <w:spacing w:line="360" w:lineRule="auto"/>
        <w:jc w:val="both"/>
        <w:rPr>
          <w:rFonts w:ascii="Calibri" w:hAnsi="Calibri" w:cs="Calibri"/>
        </w:rPr>
      </w:pPr>
      <w:r w:rsidRPr="006126DF">
        <w:rPr>
          <w:rFonts w:ascii="Calibri" w:hAnsi="Calibri" w:cs="Calibri"/>
        </w:rPr>
        <w:tab/>
        <w:t xml:space="preserve">Vor allem </w:t>
      </w:r>
      <w:r w:rsidR="007F0931" w:rsidRPr="006126DF">
        <w:rPr>
          <w:rFonts w:ascii="Calibri" w:hAnsi="Calibri" w:cs="Calibri"/>
        </w:rPr>
        <w:t>im deutschsprachigen Raum</w:t>
      </w:r>
      <w:r w:rsidR="00B06606" w:rsidRPr="006126DF">
        <w:rPr>
          <w:rFonts w:ascii="Calibri" w:hAnsi="Calibri" w:cs="Calibri"/>
        </w:rPr>
        <w:t xml:space="preserve"> </w:t>
      </w:r>
      <w:r w:rsidRPr="006126DF">
        <w:rPr>
          <w:rFonts w:ascii="Calibri" w:hAnsi="Calibri" w:cs="Calibri"/>
        </w:rPr>
        <w:t xml:space="preserve">sind die Mehrheit </w:t>
      </w:r>
      <w:r w:rsidR="007F0931" w:rsidRPr="006126DF">
        <w:rPr>
          <w:rFonts w:ascii="Calibri" w:hAnsi="Calibri" w:cs="Calibri"/>
        </w:rPr>
        <w:t xml:space="preserve">der Menschen </w:t>
      </w:r>
      <w:r w:rsidRPr="006126DF">
        <w:rPr>
          <w:rFonts w:ascii="Calibri" w:hAnsi="Calibri" w:cs="Calibri"/>
        </w:rPr>
        <w:t>risikoavers</w:t>
      </w:r>
      <w:r w:rsidR="007F0931" w:rsidRPr="006126DF">
        <w:rPr>
          <w:rFonts w:ascii="Calibri" w:hAnsi="Calibri" w:cs="Calibri"/>
        </w:rPr>
        <w:t>,</w:t>
      </w:r>
      <w:r w:rsidRPr="006126DF">
        <w:rPr>
          <w:rFonts w:ascii="Calibri" w:hAnsi="Calibri" w:cs="Calibri"/>
        </w:rPr>
        <w:t xml:space="preserve"> was Investitionen außerhalb des Sparbuchs angeht. </w:t>
      </w:r>
      <w:r w:rsidR="00B06606" w:rsidRPr="006126DF">
        <w:rPr>
          <w:rFonts w:ascii="Calibri" w:hAnsi="Calibri" w:cs="Calibri"/>
        </w:rPr>
        <w:t xml:space="preserve">Eine Studie </w:t>
      </w:r>
      <w:r w:rsidR="00F168C8">
        <w:rPr>
          <w:rFonts w:ascii="Calibri" w:hAnsi="Calibri" w:cs="Calibri"/>
        </w:rPr>
        <w:t xml:space="preserve">von Verivox (2017) </w:t>
      </w:r>
      <w:r w:rsidR="00B06606" w:rsidRPr="006126DF">
        <w:rPr>
          <w:rFonts w:ascii="Calibri" w:hAnsi="Calibri" w:cs="Calibri"/>
        </w:rPr>
        <w:t xml:space="preserve">hat </w:t>
      </w:r>
      <w:r w:rsidR="00C32828" w:rsidRPr="006126DF">
        <w:rPr>
          <w:rFonts w:ascii="Calibri" w:hAnsi="Calibri" w:cs="Calibri"/>
        </w:rPr>
        <w:t>sieben Banken in der Schweiz auf die Vorteilhaftigkeit aus Sicht der Kunden verglichen</w:t>
      </w:r>
      <w:r w:rsidR="003D6E9F">
        <w:rPr>
          <w:rFonts w:ascii="Calibri" w:hAnsi="Calibri" w:cs="Calibri"/>
        </w:rPr>
        <w:t xml:space="preserve"> (Siehe Abbildung </w:t>
      </w:r>
      <w:r w:rsidR="00F168C8">
        <w:rPr>
          <w:rFonts w:ascii="Calibri" w:hAnsi="Calibri" w:cs="Calibri"/>
        </w:rPr>
        <w:t>3</w:t>
      </w:r>
      <w:r w:rsidR="003D6E9F">
        <w:rPr>
          <w:rFonts w:ascii="Calibri" w:hAnsi="Calibri" w:cs="Calibri"/>
        </w:rPr>
        <w:t>)</w:t>
      </w:r>
      <w:r w:rsidR="00C32828" w:rsidRPr="006126DF">
        <w:rPr>
          <w:rFonts w:ascii="Calibri" w:hAnsi="Calibri" w:cs="Calibri"/>
        </w:rPr>
        <w:t>.</w:t>
      </w:r>
    </w:p>
    <w:p w:rsidR="00C32828" w:rsidRPr="006126DF" w:rsidRDefault="00C32828" w:rsidP="007F489E">
      <w:pPr>
        <w:spacing w:line="360" w:lineRule="auto"/>
        <w:jc w:val="both"/>
        <w:rPr>
          <w:rFonts w:ascii="Calibri" w:hAnsi="Calibri" w:cs="Calibri"/>
        </w:rPr>
      </w:pPr>
    </w:p>
    <w:p w:rsidR="00B06606" w:rsidRPr="006126DF" w:rsidRDefault="00B06606" w:rsidP="006E1E8D">
      <w:pPr>
        <w:spacing w:line="360" w:lineRule="auto"/>
        <w:jc w:val="center"/>
      </w:pPr>
      <w:r w:rsidRPr="006126DF">
        <w:fldChar w:fldCharType="begin"/>
      </w:r>
      <w:r w:rsidRPr="006126DF">
        <w:instrText xml:space="preserve"> INCLUDEPICTURE "https://img.nzz.ch/S=W2000/O=75/http:/nzz-img.s3.amazonaws.com/2017/11/10/468f16d5-5882-4dca-967d-3366c802db6e.jpeg" \* MERGEFORMATINET </w:instrText>
      </w:r>
      <w:r w:rsidRPr="006126DF">
        <w:fldChar w:fldCharType="separate"/>
      </w:r>
      <w:r w:rsidRPr="006126DF">
        <w:rPr>
          <w:noProof/>
        </w:rPr>
        <w:drawing>
          <wp:inline distT="0" distB="0" distL="0" distR="0">
            <wp:extent cx="5756910" cy="2108200"/>
            <wp:effectExtent l="0" t="0" r="0" b="0"/>
            <wp:docPr id="5" name="Grafik 5" descr="https://img.nzz.ch/S=W2000/O=75/http:/nzz-img.s3.amazonaws.com/2017/11/10/468f16d5-5882-4dca-967d-3366c802db6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nzz.ch/S=W2000/O=75/http:/nzz-img.s3.amazonaws.com/2017/11/10/468f16d5-5882-4dca-967d-3366c802db6e.jpe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5756910" cy="2108200"/>
                    </a:xfrm>
                    <a:prstGeom prst="rect">
                      <a:avLst/>
                    </a:prstGeom>
                    <a:noFill/>
                    <a:ln>
                      <a:noFill/>
                    </a:ln>
                    <a:extLst>
                      <a:ext uri="{53640926-AAD7-44D8-BBD7-CCE9431645EC}">
                        <a14:shadowObscured xmlns:a14="http://schemas.microsoft.com/office/drawing/2010/main"/>
                      </a:ext>
                    </a:extLst>
                  </pic:spPr>
                </pic:pic>
              </a:graphicData>
            </a:graphic>
          </wp:inline>
        </w:drawing>
      </w:r>
      <w:r w:rsidRPr="006126DF">
        <w:fldChar w:fldCharType="end"/>
      </w:r>
    </w:p>
    <w:p w:rsidR="00B06606" w:rsidRPr="006F5BBE" w:rsidRDefault="003E04B7" w:rsidP="006E1E8D">
      <w:pPr>
        <w:spacing w:line="360" w:lineRule="auto"/>
        <w:jc w:val="center"/>
        <w:rPr>
          <w:rFonts w:ascii="Calibri" w:hAnsi="Calibri"/>
        </w:rPr>
      </w:pPr>
      <w:r w:rsidRPr="006F5BBE">
        <w:rPr>
          <w:rFonts w:ascii="Calibri" w:hAnsi="Calibri"/>
        </w:rPr>
        <w:t>(Abbildung 3, Quelle: Verivox, NZZ)</w:t>
      </w:r>
    </w:p>
    <w:p w:rsidR="003E04B7" w:rsidRPr="006126DF" w:rsidRDefault="003E04B7" w:rsidP="007F489E">
      <w:pPr>
        <w:spacing w:line="360" w:lineRule="auto"/>
      </w:pPr>
    </w:p>
    <w:p w:rsidR="00CD62A2" w:rsidRPr="006126DF" w:rsidRDefault="00F923D1" w:rsidP="007F489E">
      <w:pPr>
        <w:spacing w:line="360" w:lineRule="auto"/>
        <w:jc w:val="both"/>
        <w:rPr>
          <w:rFonts w:ascii="Calibri" w:hAnsi="Calibri" w:cs="Calibri"/>
        </w:rPr>
      </w:pPr>
      <w:r w:rsidRPr="006126DF">
        <w:rPr>
          <w:rFonts w:ascii="Calibri" w:hAnsi="Calibri" w:cs="Calibri"/>
        </w:rPr>
        <w:t xml:space="preserve">Für die Berechnungsgrundlage wurde ein durchschnittlicher Kunde ausgewählt, der typische Transaktionen über ein Jahr tätigt. </w:t>
      </w:r>
      <w:r w:rsidR="00EF580A" w:rsidRPr="006126DF">
        <w:rPr>
          <w:rFonts w:ascii="Calibri" w:hAnsi="Calibri" w:cs="Calibri"/>
        </w:rPr>
        <w:t>Auffällig ist, dass bis auf eine Bank, alle anderen sechs Banken bei den Kunden ein</w:t>
      </w:r>
      <w:r w:rsidR="00701177" w:rsidRPr="006126DF">
        <w:rPr>
          <w:rFonts w:ascii="Calibri" w:hAnsi="Calibri" w:cs="Calibri"/>
        </w:rPr>
        <w:t>en</w:t>
      </w:r>
      <w:r w:rsidR="00EF580A" w:rsidRPr="006126DF">
        <w:rPr>
          <w:rFonts w:ascii="Calibri" w:hAnsi="Calibri" w:cs="Calibri"/>
        </w:rPr>
        <w:t xml:space="preserve"> negative</w:t>
      </w:r>
      <w:r w:rsidR="00701177" w:rsidRPr="006126DF">
        <w:rPr>
          <w:rFonts w:ascii="Calibri" w:hAnsi="Calibri" w:cs="Calibri"/>
        </w:rPr>
        <w:t xml:space="preserve">n </w:t>
      </w:r>
      <w:r w:rsidR="00EF580A" w:rsidRPr="006126DF">
        <w:rPr>
          <w:rFonts w:ascii="Calibri" w:hAnsi="Calibri" w:cs="Calibri"/>
        </w:rPr>
        <w:t xml:space="preserve">Saldo verursacht haben. </w:t>
      </w:r>
      <w:r w:rsidR="00CD62A2" w:rsidRPr="006126DF">
        <w:rPr>
          <w:rFonts w:ascii="Calibri" w:hAnsi="Calibri" w:cs="Calibri"/>
        </w:rPr>
        <w:t xml:space="preserve">Banken sind offenbar kein Kanal mehr, um als Kleinanleger positive Renditen zu erzielen. </w:t>
      </w:r>
    </w:p>
    <w:p w:rsidR="00176BAF" w:rsidRPr="006126DF" w:rsidRDefault="00176BAF" w:rsidP="007F489E">
      <w:pPr>
        <w:spacing w:line="360" w:lineRule="auto"/>
        <w:jc w:val="both"/>
        <w:rPr>
          <w:rFonts w:ascii="Calibri" w:hAnsi="Calibri" w:cs="Calibri"/>
        </w:rPr>
      </w:pPr>
    </w:p>
    <w:p w:rsidR="00176BAF" w:rsidRPr="006126DF" w:rsidRDefault="00AF4BB0" w:rsidP="007F489E">
      <w:pPr>
        <w:pStyle w:val="berschrift2"/>
        <w:spacing w:line="360" w:lineRule="auto"/>
        <w:rPr>
          <w:rFonts w:eastAsia="Times New Roman"/>
        </w:rPr>
      </w:pPr>
      <w:bookmarkStart w:id="11" w:name="_Toc11850908"/>
      <w:r>
        <w:rPr>
          <w:rFonts w:eastAsia="Times New Roman"/>
        </w:rPr>
        <w:t>3</w:t>
      </w:r>
      <w:r w:rsidR="006126DF">
        <w:rPr>
          <w:rFonts w:eastAsia="Times New Roman"/>
        </w:rPr>
        <w:t xml:space="preserve">.4 </w:t>
      </w:r>
      <w:r w:rsidR="00176BAF" w:rsidRPr="006126DF">
        <w:rPr>
          <w:rFonts w:eastAsia="Times New Roman"/>
        </w:rPr>
        <w:t>Bankgebühren gerecht – was sagen Kunden</w:t>
      </w:r>
      <w:bookmarkEnd w:id="11"/>
    </w:p>
    <w:p w:rsidR="00104F76" w:rsidRPr="006126DF" w:rsidRDefault="00176BAF" w:rsidP="007F489E">
      <w:pPr>
        <w:spacing w:line="360" w:lineRule="auto"/>
        <w:jc w:val="both"/>
        <w:rPr>
          <w:rFonts w:ascii="Calibri" w:hAnsi="Calibri" w:cs="Calibri"/>
        </w:rPr>
      </w:pPr>
      <w:r w:rsidRPr="006126DF">
        <w:rPr>
          <w:rFonts w:ascii="Calibri" w:hAnsi="Calibri" w:cs="Calibri"/>
        </w:rPr>
        <w:t>Bei der Frage nach dem gerechten Preis von Bankgebühren sind direkte Befragungen von Kunden</w:t>
      </w:r>
      <w:r w:rsidR="00F207A0" w:rsidRPr="006126DF">
        <w:rPr>
          <w:rFonts w:ascii="Calibri" w:hAnsi="Calibri" w:cs="Calibri"/>
        </w:rPr>
        <w:t>,</w:t>
      </w:r>
      <w:r w:rsidRPr="006126DF">
        <w:rPr>
          <w:rFonts w:ascii="Calibri" w:hAnsi="Calibri" w:cs="Calibri"/>
        </w:rPr>
        <w:t xml:space="preserve"> </w:t>
      </w:r>
      <w:r w:rsidR="00F207A0" w:rsidRPr="006126DF">
        <w:rPr>
          <w:rFonts w:ascii="Calibri" w:hAnsi="Calibri" w:cs="Calibri"/>
        </w:rPr>
        <w:t xml:space="preserve">neben den theoretischen Erklärungsansätzen, auch </w:t>
      </w:r>
      <w:r w:rsidRPr="006126DF">
        <w:rPr>
          <w:rFonts w:ascii="Calibri" w:hAnsi="Calibri" w:cs="Calibri"/>
        </w:rPr>
        <w:t>eine empirische Möglichkeit, um herauszufinden wie gerecht die Preise eingeschätzt werden.</w:t>
      </w:r>
      <w:r w:rsidR="00BF3A0B" w:rsidRPr="006126DF">
        <w:rPr>
          <w:rFonts w:ascii="Calibri" w:hAnsi="Calibri" w:cs="Calibri"/>
        </w:rPr>
        <w:t xml:space="preserve"> Bei der Befragung </w:t>
      </w:r>
      <w:r w:rsidR="00541016">
        <w:rPr>
          <w:rFonts w:ascii="Calibri" w:hAnsi="Calibri" w:cs="Calibri"/>
        </w:rPr>
        <w:t xml:space="preserve">der ING Diba (2018) </w:t>
      </w:r>
      <w:r w:rsidR="00BF3A0B" w:rsidRPr="006126DF">
        <w:rPr>
          <w:rFonts w:ascii="Calibri" w:hAnsi="Calibri" w:cs="Calibri"/>
        </w:rPr>
        <w:t xml:space="preserve">stechen die Kontoführungsgebühren </w:t>
      </w:r>
      <w:r w:rsidR="004D5EEB" w:rsidRPr="006126DF">
        <w:rPr>
          <w:rFonts w:ascii="Calibri" w:hAnsi="Calibri" w:cs="Calibri"/>
        </w:rPr>
        <w:t xml:space="preserve">als ungerecht angesehen </w:t>
      </w:r>
      <w:r w:rsidR="00BF3A0B" w:rsidRPr="006126DF">
        <w:rPr>
          <w:rFonts w:ascii="Calibri" w:hAnsi="Calibri" w:cs="Calibri"/>
        </w:rPr>
        <w:t xml:space="preserve">hervor. 42% der Befragten ärgern sich am meisten über diese Art von Bankgebühren. </w:t>
      </w:r>
      <w:r w:rsidR="00104F76" w:rsidRPr="006126DF">
        <w:rPr>
          <w:rFonts w:ascii="Calibri" w:hAnsi="Calibri" w:cs="Calibri"/>
        </w:rPr>
        <w:t xml:space="preserve">Ebenfalls unbeliebt sind </w:t>
      </w:r>
      <w:r w:rsidR="00104F76" w:rsidRPr="006126DF">
        <w:rPr>
          <w:rFonts w:ascii="Calibri" w:hAnsi="Calibri" w:cs="Calibri"/>
        </w:rPr>
        <w:lastRenderedPageBreak/>
        <w:t>Überziehungszinsen für das Girokonto (21%) und Geldautomatengebühren (16%). Nur 8% der Befragten gaben an, dass sie sich nicht über Bankgebühren ärgern würden</w:t>
      </w:r>
      <w:r w:rsidR="003D6E9F">
        <w:rPr>
          <w:rFonts w:ascii="Calibri" w:hAnsi="Calibri" w:cs="Calibri"/>
        </w:rPr>
        <w:t xml:space="preserve"> (Siehe Abbildung </w:t>
      </w:r>
      <w:r w:rsidR="004F237F">
        <w:rPr>
          <w:rFonts w:ascii="Calibri" w:hAnsi="Calibri" w:cs="Calibri"/>
        </w:rPr>
        <w:t>4</w:t>
      </w:r>
      <w:r w:rsidR="003D6E9F">
        <w:rPr>
          <w:rFonts w:ascii="Calibri" w:hAnsi="Calibri" w:cs="Calibri"/>
        </w:rPr>
        <w:t>)</w:t>
      </w:r>
      <w:r w:rsidR="00104F76" w:rsidRPr="006126DF">
        <w:rPr>
          <w:rFonts w:ascii="Calibri" w:hAnsi="Calibri" w:cs="Calibri"/>
        </w:rPr>
        <w:t xml:space="preserve">. </w:t>
      </w:r>
    </w:p>
    <w:p w:rsidR="00710735" w:rsidRPr="006126DF" w:rsidRDefault="00710735" w:rsidP="006E1E8D">
      <w:pPr>
        <w:spacing w:line="360" w:lineRule="auto"/>
        <w:jc w:val="center"/>
        <w:rPr>
          <w:rFonts w:ascii="Calibri" w:hAnsi="Calibri" w:cs="Calibri"/>
        </w:rPr>
      </w:pPr>
      <w:r w:rsidRPr="006126DF">
        <w:rPr>
          <w:rFonts w:ascii="Calibri" w:hAnsi="Calibri" w:cs="Calibri"/>
          <w:b/>
          <w:noProof/>
        </w:rPr>
        <w:drawing>
          <wp:inline distT="0" distB="0" distL="0" distR="0" wp14:anchorId="2F926CD3" wp14:editId="1F65AEB9">
            <wp:extent cx="5756910" cy="427736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stic_id323346_umfrage-zu-bankgebuehren-die-die-deutschen-am-meisten-aergern-2016.png"/>
                    <pic:cNvPicPr/>
                  </pic:nvPicPr>
                  <pic:blipFill>
                    <a:blip r:embed="rId12" cstate="email">
                      <a:extLst>
                        <a:ext uri="{28A0092B-C50C-407E-A947-70E740481C1C}">
                          <a14:useLocalDpi xmlns:a14="http://schemas.microsoft.com/office/drawing/2010/main"/>
                        </a:ext>
                      </a:extLst>
                    </a:blip>
                    <a:stretch>
                      <a:fillRect/>
                    </a:stretch>
                  </pic:blipFill>
                  <pic:spPr>
                    <a:xfrm>
                      <a:off x="0" y="0"/>
                      <a:ext cx="5756910" cy="4277360"/>
                    </a:xfrm>
                    <a:prstGeom prst="rect">
                      <a:avLst/>
                    </a:prstGeom>
                  </pic:spPr>
                </pic:pic>
              </a:graphicData>
            </a:graphic>
          </wp:inline>
        </w:drawing>
      </w:r>
    </w:p>
    <w:p w:rsidR="00C32828" w:rsidRPr="006126DF" w:rsidRDefault="004F237F" w:rsidP="006E1E8D">
      <w:pPr>
        <w:spacing w:line="360" w:lineRule="auto"/>
        <w:jc w:val="center"/>
        <w:rPr>
          <w:rFonts w:ascii="Calibri" w:hAnsi="Calibri" w:cs="Calibri"/>
        </w:rPr>
      </w:pPr>
      <w:r>
        <w:rPr>
          <w:rFonts w:ascii="Calibri" w:hAnsi="Calibri" w:cs="Calibri"/>
        </w:rPr>
        <w:t>(Abbildung 4, Quelle: ING-Diba, Statista)</w:t>
      </w:r>
    </w:p>
    <w:p w:rsidR="006126DF" w:rsidRPr="00AF4BB0" w:rsidRDefault="00AF4BB0" w:rsidP="007F489E">
      <w:pPr>
        <w:pStyle w:val="berschrift1"/>
        <w:spacing w:line="360" w:lineRule="auto"/>
        <w:rPr>
          <w:rFonts w:eastAsia="Times New Roman"/>
        </w:rPr>
      </w:pPr>
      <w:bookmarkStart w:id="12" w:name="_Toc11850909"/>
      <w:r>
        <w:rPr>
          <w:rFonts w:eastAsia="Times New Roman"/>
        </w:rPr>
        <w:t xml:space="preserve">4. </w:t>
      </w:r>
      <w:r w:rsidR="006126DF" w:rsidRPr="00AF4BB0">
        <w:rPr>
          <w:rFonts w:eastAsia="Times New Roman"/>
        </w:rPr>
        <w:t>Die Finanzkrise 2008</w:t>
      </w:r>
      <w:bookmarkEnd w:id="12"/>
    </w:p>
    <w:p w:rsidR="005F5E21" w:rsidRPr="006126DF" w:rsidRDefault="005F5E21" w:rsidP="007F489E">
      <w:pPr>
        <w:pStyle w:val="Listenabsatz"/>
        <w:spacing w:line="360" w:lineRule="auto"/>
        <w:ind w:left="360"/>
        <w:jc w:val="both"/>
        <w:rPr>
          <w:rFonts w:ascii="Calibri" w:hAnsi="Calibri" w:cs="Calibri"/>
          <w:b/>
          <w:sz w:val="32"/>
          <w:szCs w:val="28"/>
        </w:rPr>
      </w:pPr>
    </w:p>
    <w:p w:rsidR="0023059E" w:rsidRPr="006126DF" w:rsidRDefault="00AF4BB0" w:rsidP="007F489E">
      <w:pPr>
        <w:pStyle w:val="berschrift2"/>
        <w:spacing w:line="360" w:lineRule="auto"/>
        <w:rPr>
          <w:rFonts w:eastAsia="Times New Roman"/>
        </w:rPr>
      </w:pPr>
      <w:bookmarkStart w:id="13" w:name="_Toc11850910"/>
      <w:r>
        <w:rPr>
          <w:rFonts w:eastAsia="Times New Roman"/>
        </w:rPr>
        <w:t>4</w:t>
      </w:r>
      <w:r w:rsidR="006126DF">
        <w:rPr>
          <w:rFonts w:eastAsia="Times New Roman"/>
        </w:rPr>
        <w:t xml:space="preserve">.1 </w:t>
      </w:r>
      <w:r w:rsidR="00B26BEE">
        <w:rPr>
          <w:rFonts w:eastAsia="Times New Roman"/>
        </w:rPr>
        <w:t>Zinsniveau und Realzinsen</w:t>
      </w:r>
      <w:bookmarkEnd w:id="13"/>
    </w:p>
    <w:p w:rsidR="007E2618" w:rsidRPr="006126DF" w:rsidRDefault="0023059E" w:rsidP="007F489E">
      <w:pPr>
        <w:spacing w:line="360" w:lineRule="auto"/>
        <w:ind w:firstLine="360"/>
        <w:jc w:val="both"/>
        <w:rPr>
          <w:rFonts w:ascii="Calibri" w:hAnsi="Calibri" w:cs="Calibri"/>
        </w:rPr>
      </w:pPr>
      <w:r w:rsidRPr="006126DF">
        <w:rPr>
          <w:rFonts w:ascii="Calibri" w:hAnsi="Calibri" w:cs="Calibri"/>
        </w:rPr>
        <w:t xml:space="preserve">Wie vorher dargelegt, verbuchen die meisten Kunden bei ihrer Bank einen negativen Saldo. </w:t>
      </w:r>
      <w:r w:rsidR="00C176B5" w:rsidRPr="006126DF">
        <w:rPr>
          <w:rFonts w:ascii="Calibri" w:hAnsi="Calibri" w:cs="Calibri"/>
        </w:rPr>
        <w:t xml:space="preserve">Niedrigzinsen machen vor allem Kleinsparern zu schaffen. Der Grund dafür ist, dass die Inflation höher ist als die </w:t>
      </w:r>
      <w:r w:rsidR="00F37D54" w:rsidRPr="006126DF">
        <w:rPr>
          <w:rFonts w:ascii="Calibri" w:hAnsi="Calibri" w:cs="Calibri"/>
        </w:rPr>
        <w:t xml:space="preserve">Sparzinsen. </w:t>
      </w:r>
      <w:r w:rsidR="0091512A" w:rsidRPr="006126DF">
        <w:rPr>
          <w:rFonts w:ascii="Calibri" w:hAnsi="Calibri" w:cs="Calibri"/>
        </w:rPr>
        <w:t>Daraus resultiert ein reales Schrumpfen des Vermögens</w:t>
      </w:r>
      <w:r w:rsidR="00B266BD">
        <w:rPr>
          <w:rFonts w:ascii="Calibri" w:hAnsi="Calibri" w:cs="Calibri"/>
        </w:rPr>
        <w:t xml:space="preserve"> (</w:t>
      </w:r>
      <w:r w:rsidR="007673A3">
        <w:rPr>
          <w:rFonts w:ascii="Calibri" w:hAnsi="Calibri" w:cs="Calibri"/>
        </w:rPr>
        <w:t>Ferber, 2017</w:t>
      </w:r>
      <w:r w:rsidR="00B266BD">
        <w:rPr>
          <w:rFonts w:ascii="Calibri" w:hAnsi="Calibri" w:cs="Calibri"/>
        </w:rPr>
        <w:t>)</w:t>
      </w:r>
      <w:r w:rsidR="0091512A" w:rsidRPr="006126DF">
        <w:rPr>
          <w:rFonts w:ascii="Calibri" w:hAnsi="Calibri" w:cs="Calibri"/>
        </w:rPr>
        <w:t>.</w:t>
      </w:r>
      <w:r w:rsidR="006C4E0E" w:rsidRPr="006126DF">
        <w:rPr>
          <w:rFonts w:ascii="Calibri" w:hAnsi="Calibri" w:cs="Calibri"/>
        </w:rPr>
        <w:t xml:space="preserve"> </w:t>
      </w:r>
    </w:p>
    <w:p w:rsidR="007E2618" w:rsidRPr="006126DF" w:rsidRDefault="007E2618" w:rsidP="007F489E">
      <w:pPr>
        <w:spacing w:line="360" w:lineRule="auto"/>
        <w:ind w:firstLine="708"/>
        <w:jc w:val="both"/>
        <w:rPr>
          <w:rFonts w:ascii="Calibri" w:hAnsi="Calibri" w:cs="Calibri"/>
        </w:rPr>
      </w:pPr>
    </w:p>
    <w:p w:rsidR="0023059E" w:rsidRPr="006126DF" w:rsidRDefault="006C4E0E" w:rsidP="007F489E">
      <w:pPr>
        <w:spacing w:line="360" w:lineRule="auto"/>
        <w:ind w:firstLine="708"/>
        <w:jc w:val="both"/>
        <w:rPr>
          <w:rFonts w:ascii="Calibri" w:hAnsi="Calibri" w:cs="Calibri"/>
        </w:rPr>
      </w:pPr>
      <w:r w:rsidRPr="006126DF">
        <w:rPr>
          <w:rFonts w:ascii="Calibri" w:hAnsi="Calibri" w:cs="Calibri"/>
        </w:rPr>
        <w:t xml:space="preserve">Auf der anderen Seite profitieren Unternehmen und Individuen, die Anlageobjekte </w:t>
      </w:r>
      <w:r w:rsidR="003D6E9F">
        <w:rPr>
          <w:rFonts w:ascii="Calibri" w:hAnsi="Calibri" w:cs="Calibri"/>
        </w:rPr>
        <w:t>besitzen</w:t>
      </w:r>
      <w:r w:rsidRPr="006126DF">
        <w:rPr>
          <w:rFonts w:ascii="Calibri" w:hAnsi="Calibri" w:cs="Calibri"/>
        </w:rPr>
        <w:t xml:space="preserve"> von den Niedrigzinsen. </w:t>
      </w:r>
      <w:r w:rsidR="007E2618" w:rsidRPr="006126DF">
        <w:rPr>
          <w:rFonts w:ascii="Calibri" w:hAnsi="Calibri" w:cs="Calibri"/>
        </w:rPr>
        <w:t xml:space="preserve">Denn zum einen werden Kreditaufnahmen günstiger für Unternehmen, wodurch eine günstige Refinanzierung möglich ist oder das Investieren in neue </w:t>
      </w:r>
      <w:r w:rsidR="007E2618" w:rsidRPr="006126DF">
        <w:rPr>
          <w:rFonts w:ascii="Calibri" w:hAnsi="Calibri" w:cs="Calibri"/>
        </w:rPr>
        <w:lastRenderedPageBreak/>
        <w:t>Projekte oder Unternehmen</w:t>
      </w:r>
      <w:r w:rsidR="00606AD9" w:rsidRPr="006126DF">
        <w:rPr>
          <w:rFonts w:ascii="Calibri" w:hAnsi="Calibri" w:cs="Calibri"/>
        </w:rPr>
        <w:t xml:space="preserve"> attraktiver</w:t>
      </w:r>
      <w:r w:rsidR="003D6E9F">
        <w:rPr>
          <w:rFonts w:ascii="Calibri" w:hAnsi="Calibri" w:cs="Calibri"/>
        </w:rPr>
        <w:t xml:space="preserve"> wird</w:t>
      </w:r>
      <w:r w:rsidR="007E2618" w:rsidRPr="006126DF">
        <w:rPr>
          <w:rFonts w:ascii="Calibri" w:hAnsi="Calibri" w:cs="Calibri"/>
        </w:rPr>
        <w:t xml:space="preserve">. </w:t>
      </w:r>
      <w:r w:rsidR="00446C84" w:rsidRPr="006126DF">
        <w:rPr>
          <w:rFonts w:ascii="Calibri" w:hAnsi="Calibri" w:cs="Calibri"/>
        </w:rPr>
        <w:t>Auf der anderen Seite profitieren Anleger von niedrigen Zinsen, da die meisten Bewertungsmodelle von Anlageobjekte</w:t>
      </w:r>
      <w:r w:rsidR="003D6E9F">
        <w:rPr>
          <w:rFonts w:ascii="Calibri" w:hAnsi="Calibri" w:cs="Calibri"/>
        </w:rPr>
        <w:t>n</w:t>
      </w:r>
      <w:r w:rsidR="00446C84" w:rsidRPr="006126DF">
        <w:rPr>
          <w:rFonts w:ascii="Calibri" w:hAnsi="Calibri" w:cs="Calibri"/>
        </w:rPr>
        <w:t xml:space="preserve"> zukünftige Gewinne mit dem risikofreien Zinssatz abzinsen. </w:t>
      </w:r>
      <w:r w:rsidR="00527404" w:rsidRPr="006126DF">
        <w:rPr>
          <w:rFonts w:ascii="Calibri" w:hAnsi="Calibri" w:cs="Calibri"/>
        </w:rPr>
        <w:t>Im Folgenden ein kurzes Beispiel zur Veranschaulichung:</w:t>
      </w:r>
    </w:p>
    <w:p w:rsidR="00527404" w:rsidRPr="006126DF" w:rsidRDefault="00527404" w:rsidP="007F489E">
      <w:pPr>
        <w:spacing w:line="360" w:lineRule="auto"/>
        <w:jc w:val="both"/>
        <w:rPr>
          <w:rFonts w:ascii="Calibri" w:hAnsi="Calibri" w:cs="Calibri"/>
        </w:rPr>
      </w:pPr>
    </w:p>
    <w:p w:rsidR="00527404" w:rsidRPr="006126DF" w:rsidRDefault="00527404" w:rsidP="007F489E">
      <w:pPr>
        <w:spacing w:line="360" w:lineRule="auto"/>
        <w:jc w:val="both"/>
        <w:rPr>
          <w:rFonts w:ascii="Calibri" w:hAnsi="Calibri" w:cs="Calibri"/>
          <w:i/>
        </w:rPr>
      </w:pPr>
      <w:r w:rsidRPr="006126DF">
        <w:rPr>
          <w:rFonts w:ascii="Calibri" w:hAnsi="Calibri" w:cs="Calibri"/>
          <w:i/>
        </w:rPr>
        <w:t>Ein Investor erwartet für eine Investition zukünftige, sichere Einzahlungen i.H.v. 1.000€/Jahr Szenario 1: risikoloser Zinssatz 8%</w:t>
      </w:r>
    </w:p>
    <w:p w:rsidR="00527404" w:rsidRPr="006126DF" w:rsidRDefault="00527404" w:rsidP="007F489E">
      <w:pPr>
        <w:spacing w:line="360" w:lineRule="auto"/>
        <w:jc w:val="both"/>
        <w:rPr>
          <w:rFonts w:ascii="Calibri" w:hAnsi="Calibri" w:cs="Calibri"/>
          <w:i/>
        </w:rPr>
      </w:pPr>
      <w:r w:rsidRPr="006126DF">
        <w:rPr>
          <w:rFonts w:ascii="Calibri" w:hAnsi="Calibri" w:cs="Calibri"/>
          <w:i/>
        </w:rPr>
        <w:t>Szenario 2: risikoloser Zinssatz 1%</w:t>
      </w:r>
    </w:p>
    <w:p w:rsidR="00527404" w:rsidRPr="006126DF" w:rsidRDefault="00527404" w:rsidP="007F489E">
      <w:pPr>
        <w:spacing w:line="360" w:lineRule="auto"/>
        <w:jc w:val="both"/>
        <w:rPr>
          <w:rFonts w:ascii="Calibri" w:hAnsi="Calibri" w:cs="Calibri"/>
          <w:i/>
        </w:rPr>
      </w:pPr>
      <w:r w:rsidRPr="006126DF">
        <w:rPr>
          <w:rFonts w:ascii="Calibri" w:hAnsi="Calibri" w:cs="Calibri"/>
          <w:i/>
        </w:rPr>
        <w:t>Wert der Investition Szenario 1: 1000/0,08 = 12.500€</w:t>
      </w:r>
    </w:p>
    <w:p w:rsidR="00527404" w:rsidRPr="006126DF" w:rsidRDefault="00527404" w:rsidP="007F489E">
      <w:pPr>
        <w:spacing w:line="360" w:lineRule="auto"/>
        <w:jc w:val="both"/>
        <w:rPr>
          <w:rFonts w:ascii="Calibri" w:hAnsi="Calibri" w:cs="Calibri"/>
          <w:i/>
        </w:rPr>
      </w:pPr>
      <w:r w:rsidRPr="006126DF">
        <w:rPr>
          <w:rFonts w:ascii="Calibri" w:hAnsi="Calibri" w:cs="Calibri"/>
          <w:i/>
        </w:rPr>
        <w:t>Wert der Investition Szenario 2: 1000/0,01 = 100.000€</w:t>
      </w:r>
    </w:p>
    <w:p w:rsidR="00527404" w:rsidRPr="006126DF" w:rsidRDefault="00527404" w:rsidP="007F489E">
      <w:pPr>
        <w:spacing w:line="360" w:lineRule="auto"/>
        <w:jc w:val="both"/>
        <w:rPr>
          <w:rFonts w:ascii="Calibri" w:hAnsi="Calibri" w:cs="Calibri"/>
          <w:i/>
        </w:rPr>
      </w:pPr>
    </w:p>
    <w:p w:rsidR="00527404" w:rsidRPr="006126DF" w:rsidRDefault="00527404" w:rsidP="007F489E">
      <w:pPr>
        <w:spacing w:line="360" w:lineRule="auto"/>
        <w:ind w:firstLine="360"/>
        <w:jc w:val="both"/>
        <w:rPr>
          <w:rFonts w:ascii="Calibri" w:hAnsi="Calibri" w:cs="Calibri"/>
        </w:rPr>
      </w:pPr>
      <w:r w:rsidRPr="006126DF">
        <w:rPr>
          <w:rFonts w:ascii="Calibri" w:hAnsi="Calibri" w:cs="Calibri"/>
        </w:rPr>
        <w:t xml:space="preserve">Die unterschiedlichen Outcomes </w:t>
      </w:r>
      <w:r w:rsidR="00797B19" w:rsidRPr="006126DF">
        <w:rPr>
          <w:rFonts w:ascii="Calibri" w:hAnsi="Calibri" w:cs="Calibri"/>
        </w:rPr>
        <w:t xml:space="preserve">der Bewertungen der gleichen Investition aufgrund unterschiedlicher Zinssätze </w:t>
      </w:r>
      <w:r w:rsidR="005E46DC">
        <w:rPr>
          <w:rFonts w:ascii="Calibri" w:hAnsi="Calibri" w:cs="Calibri"/>
        </w:rPr>
        <w:t>sind</w:t>
      </w:r>
      <w:r w:rsidR="00797B19" w:rsidRPr="006126DF">
        <w:rPr>
          <w:rFonts w:ascii="Calibri" w:hAnsi="Calibri" w:cs="Calibri"/>
        </w:rPr>
        <w:t xml:space="preserve"> beachtlich. </w:t>
      </w:r>
      <w:r w:rsidR="00DE0BF1" w:rsidRPr="006126DF">
        <w:rPr>
          <w:rFonts w:ascii="Calibri" w:hAnsi="Calibri" w:cs="Calibri"/>
        </w:rPr>
        <w:t xml:space="preserve">Diese Veränderungen der Bewertungen haben auch </w:t>
      </w:r>
      <w:r w:rsidR="00FA5C4D" w:rsidRPr="006126DF">
        <w:rPr>
          <w:rFonts w:ascii="Calibri" w:hAnsi="Calibri" w:cs="Calibri"/>
        </w:rPr>
        <w:t>in den vergangenen Jahren</w:t>
      </w:r>
      <w:r w:rsidR="00DE0BF1" w:rsidRPr="006126DF">
        <w:rPr>
          <w:rFonts w:ascii="Calibri" w:hAnsi="Calibri" w:cs="Calibri"/>
        </w:rPr>
        <w:t xml:space="preserve"> geholfen</w:t>
      </w:r>
      <w:r w:rsidR="00A14045" w:rsidRPr="006126DF">
        <w:rPr>
          <w:rFonts w:ascii="Calibri" w:hAnsi="Calibri" w:cs="Calibri"/>
        </w:rPr>
        <w:t>,</w:t>
      </w:r>
      <w:r w:rsidR="00DE0BF1" w:rsidRPr="006126DF">
        <w:rPr>
          <w:rFonts w:ascii="Calibri" w:hAnsi="Calibri" w:cs="Calibri"/>
        </w:rPr>
        <w:t xml:space="preserve"> die Aktienmärkte in der Europäischen Union steigen zu lassen. Einen noch stärkeren Wertzuwachs haben Anleihen durchlaufen. </w:t>
      </w:r>
      <w:r w:rsidR="00FA5C4D" w:rsidRPr="006126DF">
        <w:rPr>
          <w:rFonts w:ascii="Calibri" w:hAnsi="Calibri" w:cs="Calibri"/>
        </w:rPr>
        <w:t xml:space="preserve">Kleinanleger können an der Rallye nicht teilnehmen und Anlageobjekte, wie Immobilien und folglich Mieten, werden noch teurer. </w:t>
      </w:r>
      <w:r w:rsidR="00771824" w:rsidRPr="006126DF">
        <w:rPr>
          <w:rFonts w:ascii="Calibri" w:hAnsi="Calibri" w:cs="Calibri"/>
        </w:rPr>
        <w:t>Sie können nicht nur nicht am Asset-Preis</w:t>
      </w:r>
      <w:r w:rsidR="00A14045" w:rsidRPr="006126DF">
        <w:rPr>
          <w:rFonts w:ascii="Calibri" w:hAnsi="Calibri" w:cs="Calibri"/>
        </w:rPr>
        <w:t>-</w:t>
      </w:r>
      <w:r w:rsidR="00771824" w:rsidRPr="006126DF">
        <w:rPr>
          <w:rFonts w:ascii="Calibri" w:hAnsi="Calibri" w:cs="Calibri"/>
        </w:rPr>
        <w:t>Boom teilnehmen, sondern werden „kalt“ enteignet. Die Realzinsen, also Zinssatz minus Inflation, sind seit 2011 negativ und lassen – wenn auch nicht absolut – das Vermögen schrumpfen</w:t>
      </w:r>
      <w:r w:rsidR="00B266BD">
        <w:rPr>
          <w:rFonts w:ascii="Calibri" w:hAnsi="Calibri" w:cs="Calibri"/>
        </w:rPr>
        <w:t xml:space="preserve"> (Abbildung 5)</w:t>
      </w:r>
      <w:r w:rsidR="00771824" w:rsidRPr="006126DF">
        <w:rPr>
          <w:rFonts w:ascii="Calibri" w:hAnsi="Calibri" w:cs="Calibri"/>
        </w:rPr>
        <w:t xml:space="preserve">. </w:t>
      </w:r>
    </w:p>
    <w:p w:rsidR="00771824" w:rsidRPr="006126DF" w:rsidRDefault="00771824" w:rsidP="007F489E">
      <w:pPr>
        <w:spacing w:line="360" w:lineRule="auto"/>
        <w:ind w:firstLine="360"/>
        <w:jc w:val="both"/>
        <w:rPr>
          <w:rFonts w:ascii="Calibri" w:hAnsi="Calibri" w:cs="Calibri"/>
        </w:rPr>
      </w:pPr>
    </w:p>
    <w:p w:rsidR="00C176B5" w:rsidRPr="006126DF" w:rsidRDefault="00771824" w:rsidP="006E1E8D">
      <w:pPr>
        <w:spacing w:line="360" w:lineRule="auto"/>
        <w:jc w:val="center"/>
      </w:pPr>
      <w:r w:rsidRPr="006126DF">
        <w:fldChar w:fldCharType="begin"/>
      </w:r>
      <w:r w:rsidRPr="006126DF">
        <w:instrText xml:space="preserve"> INCLUDEPICTURE "https://img.nzz.ch/S=W560/O=75/http:/nzz-img.s3.amazonaws.com/2016/5/27/21d76c04-837c-44fc-8d8f-9ef532ea7e6b.jpeg" \* MERGEFORMATINET </w:instrText>
      </w:r>
      <w:r w:rsidRPr="006126DF">
        <w:fldChar w:fldCharType="separate"/>
      </w:r>
      <w:r w:rsidRPr="006126DF">
        <w:rPr>
          <w:noProof/>
        </w:rPr>
        <w:drawing>
          <wp:inline distT="0" distB="0" distL="0" distR="0" wp14:anchorId="507453A2" wp14:editId="19B94957">
            <wp:extent cx="5756910" cy="3176270"/>
            <wp:effectExtent l="0" t="0" r="0" b="0"/>
            <wp:docPr id="3" name="Grafik 3" descr="Bildergebnis fÃ¼r realzi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Ã¼r realzinsen"/>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756910" cy="3176270"/>
                    </a:xfrm>
                    <a:prstGeom prst="rect">
                      <a:avLst/>
                    </a:prstGeom>
                    <a:noFill/>
                    <a:ln>
                      <a:noFill/>
                    </a:ln>
                  </pic:spPr>
                </pic:pic>
              </a:graphicData>
            </a:graphic>
          </wp:inline>
        </w:drawing>
      </w:r>
      <w:r w:rsidRPr="006126DF">
        <w:fldChar w:fldCharType="end"/>
      </w:r>
    </w:p>
    <w:p w:rsidR="00771824" w:rsidRPr="00B266BD" w:rsidRDefault="00B266BD" w:rsidP="006E1E8D">
      <w:pPr>
        <w:spacing w:line="360" w:lineRule="auto"/>
        <w:jc w:val="center"/>
        <w:rPr>
          <w:rFonts w:ascii="Calibri" w:hAnsi="Calibri"/>
        </w:rPr>
      </w:pPr>
      <w:r w:rsidRPr="00B266BD">
        <w:rPr>
          <w:rFonts w:ascii="Calibri" w:hAnsi="Calibri"/>
        </w:rPr>
        <w:lastRenderedPageBreak/>
        <w:t>(Abbildung 5, Quelle: Bloomberg, NZZ)</w:t>
      </w:r>
    </w:p>
    <w:p w:rsidR="00B266BD" w:rsidRDefault="00771824" w:rsidP="007F489E">
      <w:pPr>
        <w:spacing w:line="360" w:lineRule="auto"/>
        <w:jc w:val="both"/>
      </w:pPr>
      <w:r w:rsidRPr="006126DF">
        <w:tab/>
      </w:r>
    </w:p>
    <w:p w:rsidR="00771824" w:rsidRPr="006126DF" w:rsidRDefault="00771824" w:rsidP="00B266BD">
      <w:pPr>
        <w:spacing w:line="360" w:lineRule="auto"/>
        <w:ind w:firstLine="708"/>
        <w:jc w:val="both"/>
        <w:rPr>
          <w:rFonts w:ascii="Calibri" w:hAnsi="Calibri" w:cs="Calibri"/>
        </w:rPr>
      </w:pPr>
      <w:r w:rsidRPr="006126DF">
        <w:rPr>
          <w:rFonts w:ascii="Calibri" w:hAnsi="Calibri" w:cs="Calibri"/>
        </w:rPr>
        <w:t xml:space="preserve">Aber hat </w:t>
      </w:r>
      <w:r w:rsidR="00A14045" w:rsidRPr="006126DF">
        <w:rPr>
          <w:rFonts w:ascii="Calibri" w:hAnsi="Calibri" w:cs="Calibri"/>
        </w:rPr>
        <w:t>jeder Anspruch</w:t>
      </w:r>
      <w:r w:rsidRPr="006126DF">
        <w:rPr>
          <w:rFonts w:ascii="Calibri" w:hAnsi="Calibri" w:cs="Calibri"/>
        </w:rPr>
        <w:t xml:space="preserve"> auf „gerechte“ Zinsen</w:t>
      </w:r>
      <w:r w:rsidR="009175EB" w:rsidRPr="006126DF">
        <w:rPr>
          <w:rFonts w:ascii="Calibri" w:hAnsi="Calibri" w:cs="Calibri"/>
        </w:rPr>
        <w:t>, beziehungsweise gibt es gerechte Zinsen überhaupt</w:t>
      </w:r>
      <w:r w:rsidRPr="006126DF">
        <w:rPr>
          <w:rFonts w:ascii="Calibri" w:hAnsi="Calibri" w:cs="Calibri"/>
        </w:rPr>
        <w:t>? Zinsen sind ein abstraktes Konzept und in keinem Gesetz</w:t>
      </w:r>
      <w:r w:rsidR="003F24E5" w:rsidRPr="006126DF">
        <w:rPr>
          <w:rFonts w:ascii="Calibri" w:hAnsi="Calibri" w:cs="Calibri"/>
        </w:rPr>
        <w:t xml:space="preserve"> findet es Regelungen dazu</w:t>
      </w:r>
      <w:r w:rsidR="00A14045" w:rsidRPr="006126DF">
        <w:rPr>
          <w:rFonts w:ascii="Calibri" w:hAnsi="Calibri" w:cs="Calibri"/>
        </w:rPr>
        <w:t>, beziehungsweise ein Recht darauf</w:t>
      </w:r>
      <w:r w:rsidR="003F24E5" w:rsidRPr="006126DF">
        <w:rPr>
          <w:rFonts w:ascii="Calibri" w:hAnsi="Calibri" w:cs="Calibri"/>
        </w:rPr>
        <w:t xml:space="preserve">. </w:t>
      </w:r>
      <w:r w:rsidR="00BB2BF8" w:rsidRPr="006126DF">
        <w:rPr>
          <w:rFonts w:ascii="Calibri" w:hAnsi="Calibri" w:cs="Calibri"/>
        </w:rPr>
        <w:t>Die Europäische Zentralbank versucht über Zinsen die Wirtschaft zu lenken. In Boomzeiten werden sie angehoben, um Opportunitätskosten zu erhöhen und folglich die überhitzte Wirtschaft abzukühlen. In einer Rezession werden sie gesenkt, damit – wie oben beschrieben – Investitionen wieder attraktiver werden und die Wirtschaft wieder angekurbelt wird.</w:t>
      </w:r>
      <w:r w:rsidR="009175EB" w:rsidRPr="006126DF">
        <w:rPr>
          <w:rFonts w:ascii="Calibri" w:hAnsi="Calibri" w:cs="Calibri"/>
        </w:rPr>
        <w:t xml:space="preserve"> </w:t>
      </w:r>
    </w:p>
    <w:p w:rsidR="009A3172" w:rsidRPr="006126DF" w:rsidRDefault="009A3172" w:rsidP="007F489E">
      <w:pPr>
        <w:spacing w:line="360" w:lineRule="auto"/>
        <w:jc w:val="both"/>
        <w:rPr>
          <w:rFonts w:ascii="Calibri" w:hAnsi="Calibri" w:cs="Calibri"/>
        </w:rPr>
      </w:pPr>
    </w:p>
    <w:p w:rsidR="009A3172" w:rsidRPr="006126DF" w:rsidRDefault="009A3172" w:rsidP="007F489E">
      <w:pPr>
        <w:spacing w:line="360" w:lineRule="auto"/>
        <w:jc w:val="both"/>
        <w:rPr>
          <w:rFonts w:ascii="Calibri" w:hAnsi="Calibri" w:cs="Calibri"/>
        </w:rPr>
      </w:pPr>
      <w:r w:rsidRPr="006126DF">
        <w:rPr>
          <w:rFonts w:ascii="Calibri" w:hAnsi="Calibri" w:cs="Calibri"/>
        </w:rPr>
        <w:tab/>
        <w:t>Was ist aber, wenn man nicht schaut ob jeder Anspruch auf Zinsen hat, sondern wer von niedrigen Zinsen profitiert</w:t>
      </w:r>
      <w:r w:rsidR="001469E0" w:rsidRPr="006126DF">
        <w:rPr>
          <w:rFonts w:ascii="Calibri" w:hAnsi="Calibri" w:cs="Calibri"/>
        </w:rPr>
        <w:t xml:space="preserve"> und wer nicht</w:t>
      </w:r>
      <w:r w:rsidRPr="006126DF">
        <w:rPr>
          <w:rFonts w:ascii="Calibri" w:hAnsi="Calibri" w:cs="Calibri"/>
        </w:rPr>
        <w:t xml:space="preserve"> und</w:t>
      </w:r>
      <w:r w:rsidR="00A14045" w:rsidRPr="006126DF">
        <w:rPr>
          <w:rFonts w:ascii="Calibri" w:hAnsi="Calibri" w:cs="Calibri"/>
        </w:rPr>
        <w:t>,</w:t>
      </w:r>
      <w:r w:rsidRPr="006126DF">
        <w:rPr>
          <w:rFonts w:ascii="Calibri" w:hAnsi="Calibri" w:cs="Calibri"/>
        </w:rPr>
        <w:t xml:space="preserve"> wer das Niedrigzinsniveau verursacht hat. Eine Gegenüberstellung könnte einen Hinweis darauf geben</w:t>
      </w:r>
      <w:r w:rsidR="001C748B" w:rsidRPr="006126DF">
        <w:rPr>
          <w:rFonts w:ascii="Calibri" w:hAnsi="Calibri" w:cs="Calibri"/>
        </w:rPr>
        <w:t xml:space="preserve">, </w:t>
      </w:r>
      <w:r w:rsidRPr="006126DF">
        <w:rPr>
          <w:rFonts w:ascii="Calibri" w:hAnsi="Calibri" w:cs="Calibri"/>
        </w:rPr>
        <w:t xml:space="preserve">ob der derzeitige </w:t>
      </w:r>
      <w:r w:rsidR="00A14045" w:rsidRPr="006126DF">
        <w:rPr>
          <w:rFonts w:ascii="Calibri" w:hAnsi="Calibri" w:cs="Calibri"/>
        </w:rPr>
        <w:t xml:space="preserve">(Zins-) </w:t>
      </w:r>
      <w:r w:rsidRPr="006126DF">
        <w:rPr>
          <w:rFonts w:ascii="Calibri" w:hAnsi="Calibri" w:cs="Calibri"/>
        </w:rPr>
        <w:t xml:space="preserve">Zustand gerecht ist. </w:t>
      </w:r>
    </w:p>
    <w:p w:rsidR="007171E9" w:rsidRPr="006126DF" w:rsidRDefault="007171E9" w:rsidP="007F489E">
      <w:pPr>
        <w:spacing w:line="360" w:lineRule="auto"/>
        <w:jc w:val="both"/>
        <w:rPr>
          <w:rFonts w:ascii="Calibri" w:hAnsi="Calibri" w:cs="Calibri"/>
        </w:rPr>
      </w:pPr>
    </w:p>
    <w:p w:rsidR="007171E9" w:rsidRPr="006126DF" w:rsidRDefault="00AF4BB0" w:rsidP="007F489E">
      <w:pPr>
        <w:pStyle w:val="berschrift2"/>
        <w:spacing w:line="360" w:lineRule="auto"/>
        <w:rPr>
          <w:rFonts w:eastAsia="Times New Roman"/>
        </w:rPr>
      </w:pPr>
      <w:bookmarkStart w:id="14" w:name="_Toc11850911"/>
      <w:r>
        <w:rPr>
          <w:rFonts w:eastAsia="Times New Roman"/>
        </w:rPr>
        <w:t>4</w:t>
      </w:r>
      <w:r w:rsidR="00B26BEE">
        <w:rPr>
          <w:rFonts w:eastAsia="Times New Roman"/>
        </w:rPr>
        <w:t xml:space="preserve">.2 </w:t>
      </w:r>
      <w:r w:rsidR="007171E9" w:rsidRPr="006126DF">
        <w:rPr>
          <w:rFonts w:eastAsia="Times New Roman"/>
        </w:rPr>
        <w:t>Finanzkrise 2008</w:t>
      </w:r>
      <w:bookmarkEnd w:id="14"/>
    </w:p>
    <w:p w:rsidR="00771824" w:rsidRPr="006126DF" w:rsidRDefault="007171E9" w:rsidP="007F489E">
      <w:pPr>
        <w:spacing w:line="360" w:lineRule="auto"/>
        <w:jc w:val="both"/>
        <w:rPr>
          <w:rFonts w:ascii="Calibri" w:hAnsi="Calibri" w:cs="Calibri"/>
        </w:rPr>
      </w:pPr>
      <w:r w:rsidRPr="006126DF">
        <w:rPr>
          <w:rFonts w:ascii="Calibri" w:hAnsi="Calibri" w:cs="Calibri"/>
        </w:rPr>
        <w:tab/>
        <w:t xml:space="preserve">Die größte Finanzkrise seit 1928 hat 2008 zunächst die Finanzmärkte und anschließend die Realwirtschaft hart getroffen. </w:t>
      </w:r>
      <w:r w:rsidR="00D63F65" w:rsidRPr="006126DF">
        <w:rPr>
          <w:rFonts w:ascii="Calibri" w:hAnsi="Calibri" w:cs="Calibri"/>
        </w:rPr>
        <w:t xml:space="preserve">Nachdem die Lehman Brothers </w:t>
      </w:r>
      <w:r w:rsidR="00A14045" w:rsidRPr="006126DF">
        <w:rPr>
          <w:rFonts w:ascii="Calibri" w:hAnsi="Calibri" w:cs="Calibri"/>
        </w:rPr>
        <w:t>insolvent</w:t>
      </w:r>
      <w:r w:rsidR="00D63F65" w:rsidRPr="006126DF">
        <w:rPr>
          <w:rFonts w:ascii="Calibri" w:hAnsi="Calibri" w:cs="Calibri"/>
        </w:rPr>
        <w:t xml:space="preserve"> gegangen sind, war die Unsicherheit an den Finanzmärkten</w:t>
      </w:r>
      <w:r w:rsidR="00B77062">
        <w:rPr>
          <w:rFonts w:ascii="Calibri" w:hAnsi="Calibri" w:cs="Calibri"/>
        </w:rPr>
        <w:t xml:space="preserve"> so groß</w:t>
      </w:r>
      <w:r w:rsidR="00D63F65" w:rsidRPr="006126DF">
        <w:rPr>
          <w:rFonts w:ascii="Calibri" w:hAnsi="Calibri" w:cs="Calibri"/>
        </w:rPr>
        <w:t xml:space="preserve">, dass Banken sich untereinander kein Geld mehr liehen. Die Liquidität drohte komplett zu verschwinden. </w:t>
      </w:r>
      <w:r w:rsidR="0020489C" w:rsidRPr="006126DF">
        <w:rPr>
          <w:rFonts w:ascii="Calibri" w:hAnsi="Calibri" w:cs="Calibri"/>
        </w:rPr>
        <w:t xml:space="preserve">Nur durch große Eingriffe seitens der Regierungen, wurde der Unsicherheit entgegengewirkt und eine noch schlimmere Krise </w:t>
      </w:r>
      <w:r w:rsidR="00A14045" w:rsidRPr="006126DF">
        <w:rPr>
          <w:rFonts w:ascii="Calibri" w:hAnsi="Calibri" w:cs="Calibri"/>
        </w:rPr>
        <w:t xml:space="preserve">konnte </w:t>
      </w:r>
      <w:r w:rsidR="0020489C" w:rsidRPr="006126DF">
        <w:rPr>
          <w:rFonts w:ascii="Calibri" w:hAnsi="Calibri" w:cs="Calibri"/>
        </w:rPr>
        <w:t xml:space="preserve">verhindert werden. </w:t>
      </w:r>
      <w:r w:rsidR="006D516F" w:rsidRPr="006126DF">
        <w:rPr>
          <w:rFonts w:ascii="Calibri" w:hAnsi="Calibri" w:cs="Calibri"/>
        </w:rPr>
        <w:t>Doch obwohl</w:t>
      </w:r>
      <w:r w:rsidR="00A14045" w:rsidRPr="006126DF">
        <w:rPr>
          <w:rFonts w:ascii="Calibri" w:hAnsi="Calibri" w:cs="Calibri"/>
        </w:rPr>
        <w:t xml:space="preserve"> sich</w:t>
      </w:r>
      <w:r w:rsidR="006D516F" w:rsidRPr="006126DF">
        <w:rPr>
          <w:rFonts w:ascii="Calibri" w:hAnsi="Calibri" w:cs="Calibri"/>
        </w:rPr>
        <w:t xml:space="preserve"> die Finanzmärkte nach über eine Dekade </w:t>
      </w:r>
      <w:r w:rsidR="00B77062">
        <w:rPr>
          <w:rFonts w:ascii="Calibri" w:hAnsi="Calibri" w:cs="Calibri"/>
        </w:rPr>
        <w:t>von</w:t>
      </w:r>
      <w:r w:rsidR="006D516F" w:rsidRPr="006126DF">
        <w:rPr>
          <w:rFonts w:ascii="Calibri" w:hAnsi="Calibri" w:cs="Calibri"/>
        </w:rPr>
        <w:t xml:space="preserve"> der Krise erholt haben, lassen andere Wirtschaftsindikatoren eine weniger erfolgreiche Erholung vermuten. </w:t>
      </w:r>
      <w:r w:rsidR="003F26C9" w:rsidRPr="006126DF">
        <w:rPr>
          <w:rFonts w:ascii="Calibri" w:hAnsi="Calibri" w:cs="Calibri"/>
        </w:rPr>
        <w:t xml:space="preserve">Die immensen Rettungspakete wurden durch Staatsverschuldungen finanziert. Während der Eurokrise 2011 hat die große Verschuldung fast </w:t>
      </w:r>
      <w:r w:rsidR="00415AAE" w:rsidRPr="006126DF">
        <w:rPr>
          <w:rFonts w:ascii="Calibri" w:hAnsi="Calibri" w:cs="Calibri"/>
        </w:rPr>
        <w:t>zu einem Kollaps</w:t>
      </w:r>
      <w:r w:rsidR="003F26C9" w:rsidRPr="006126DF">
        <w:rPr>
          <w:rFonts w:ascii="Calibri" w:hAnsi="Calibri" w:cs="Calibri"/>
        </w:rPr>
        <w:t xml:space="preserve"> der Währungsunion geführt. </w:t>
      </w:r>
      <w:r w:rsidR="00A72796" w:rsidRPr="006126DF">
        <w:rPr>
          <w:rFonts w:ascii="Calibri" w:hAnsi="Calibri" w:cs="Calibri"/>
        </w:rPr>
        <w:t>Löhne sind real niedriger als vor der Krise und aufgeblasene Asset-Preise haben Mieten in die Höhe schießen lassen</w:t>
      </w:r>
      <w:r w:rsidR="000813A1">
        <w:rPr>
          <w:rFonts w:ascii="Calibri" w:hAnsi="Calibri" w:cs="Calibri"/>
        </w:rPr>
        <w:t xml:space="preserve"> (McKinsey, 2018)</w:t>
      </w:r>
      <w:r w:rsidR="00A72796" w:rsidRPr="006126DF">
        <w:rPr>
          <w:rFonts w:ascii="Calibri" w:hAnsi="Calibri" w:cs="Calibri"/>
        </w:rPr>
        <w:t xml:space="preserve">. </w:t>
      </w:r>
    </w:p>
    <w:p w:rsidR="0089654D" w:rsidRPr="006126DF" w:rsidRDefault="0089654D" w:rsidP="007F489E">
      <w:pPr>
        <w:spacing w:line="360" w:lineRule="auto"/>
        <w:jc w:val="both"/>
        <w:rPr>
          <w:rFonts w:ascii="Calibri" w:hAnsi="Calibri" w:cs="Calibri"/>
        </w:rPr>
      </w:pPr>
    </w:p>
    <w:p w:rsidR="0089654D" w:rsidRPr="006126DF" w:rsidRDefault="0089654D" w:rsidP="007F489E">
      <w:pPr>
        <w:spacing w:line="360" w:lineRule="auto"/>
        <w:jc w:val="both"/>
        <w:rPr>
          <w:rFonts w:ascii="Calibri" w:hAnsi="Calibri" w:cs="Calibri"/>
        </w:rPr>
      </w:pPr>
      <w:r w:rsidRPr="006126DF">
        <w:rPr>
          <w:rFonts w:ascii="Calibri" w:hAnsi="Calibri" w:cs="Calibri"/>
        </w:rPr>
        <w:tab/>
        <w:t xml:space="preserve">Die Krise hat vor allem deshalb so große Ausmaße eingenommen, weil die sogenannten Mortgage-Backed-Securities (MBS) so weit verteilt waren auf der ganzen Welt. Die MBS waren Finanzprodukte, bestehend aus vielen Immobilienkrediten in den Vereinigten Staaten von Amerika. </w:t>
      </w:r>
      <w:r w:rsidR="000E0B4E" w:rsidRPr="006126DF">
        <w:rPr>
          <w:rFonts w:ascii="Calibri" w:hAnsi="Calibri" w:cs="Calibri"/>
        </w:rPr>
        <w:t xml:space="preserve">Die Kredite wurden </w:t>
      </w:r>
      <w:r w:rsidR="00B67ADF" w:rsidRPr="006126DF">
        <w:rPr>
          <w:rFonts w:ascii="Calibri" w:hAnsi="Calibri" w:cs="Calibri"/>
        </w:rPr>
        <w:t xml:space="preserve">von Banken </w:t>
      </w:r>
      <w:r w:rsidR="000E0B4E" w:rsidRPr="006126DF">
        <w:rPr>
          <w:rFonts w:ascii="Calibri" w:hAnsi="Calibri" w:cs="Calibri"/>
        </w:rPr>
        <w:t xml:space="preserve">rücksichtslos an Privathaushalte </w:t>
      </w:r>
      <w:r w:rsidR="000E0B4E" w:rsidRPr="006126DF">
        <w:rPr>
          <w:rFonts w:ascii="Calibri" w:hAnsi="Calibri" w:cs="Calibri"/>
        </w:rPr>
        <w:lastRenderedPageBreak/>
        <w:t xml:space="preserve">vergeben ohne, dass Vorweise über Einkommen oder Vermögensgegenstände nötig waren. </w:t>
      </w:r>
      <w:r w:rsidR="00ED2E7F" w:rsidRPr="006126DF">
        <w:rPr>
          <w:rFonts w:ascii="Calibri" w:hAnsi="Calibri" w:cs="Calibri"/>
        </w:rPr>
        <w:t xml:space="preserve">Die Idee der </w:t>
      </w:r>
      <w:r w:rsidR="00B67ADF" w:rsidRPr="006126DF">
        <w:rPr>
          <w:rFonts w:ascii="Calibri" w:hAnsi="Calibri" w:cs="Calibri"/>
        </w:rPr>
        <w:t>Banken (als Kreditgeber)</w:t>
      </w:r>
      <w:r w:rsidR="00ED2E7F" w:rsidRPr="006126DF">
        <w:rPr>
          <w:rFonts w:ascii="Calibri" w:hAnsi="Calibri" w:cs="Calibri"/>
        </w:rPr>
        <w:t xml:space="preserve"> war, dass Immobilienpreise nur steigen würden und</w:t>
      </w:r>
      <w:r w:rsidR="00A14045" w:rsidRPr="006126DF">
        <w:rPr>
          <w:rFonts w:ascii="Calibri" w:hAnsi="Calibri" w:cs="Calibri"/>
        </w:rPr>
        <w:t>,</w:t>
      </w:r>
      <w:r w:rsidR="00ED2E7F" w:rsidRPr="006126DF">
        <w:rPr>
          <w:rFonts w:ascii="Calibri" w:hAnsi="Calibri" w:cs="Calibri"/>
        </w:rPr>
        <w:t xml:space="preserve"> die Immobilie als Kollateral den Verlust abdecken würde. </w:t>
      </w:r>
      <w:r w:rsidR="00DA18C9" w:rsidRPr="006126DF">
        <w:rPr>
          <w:rFonts w:ascii="Calibri" w:hAnsi="Calibri" w:cs="Calibri"/>
        </w:rPr>
        <w:t xml:space="preserve">Doch 2007 begann die Wirtschaft zu überhitzen und die Federal Reserve hob die Zinsen Stück für Stück an. </w:t>
      </w:r>
      <w:r w:rsidR="00B67ADF" w:rsidRPr="006126DF">
        <w:rPr>
          <w:rFonts w:ascii="Calibri" w:hAnsi="Calibri" w:cs="Calibri"/>
        </w:rPr>
        <w:t>Die Zinssätze der Haushalte waren variabel an das Zinsniveau gekoppelt und</w:t>
      </w:r>
      <w:r w:rsidR="00A14045" w:rsidRPr="006126DF">
        <w:rPr>
          <w:rFonts w:ascii="Calibri" w:hAnsi="Calibri" w:cs="Calibri"/>
        </w:rPr>
        <w:t>,</w:t>
      </w:r>
      <w:r w:rsidR="00B67ADF" w:rsidRPr="006126DF">
        <w:rPr>
          <w:rFonts w:ascii="Calibri" w:hAnsi="Calibri" w:cs="Calibri"/>
        </w:rPr>
        <w:t xml:space="preserve"> als die ursprünglich niedrigen Zinsen zu steigen begannen</w:t>
      </w:r>
      <w:r w:rsidR="00A14045" w:rsidRPr="006126DF">
        <w:rPr>
          <w:rFonts w:ascii="Calibri" w:hAnsi="Calibri" w:cs="Calibri"/>
        </w:rPr>
        <w:t>,</w:t>
      </w:r>
      <w:r w:rsidR="00B67ADF" w:rsidRPr="006126DF">
        <w:rPr>
          <w:rFonts w:ascii="Calibri" w:hAnsi="Calibri" w:cs="Calibri"/>
        </w:rPr>
        <w:t xml:space="preserve"> wurden die Rückzahlungskosten höher. </w:t>
      </w:r>
      <w:r w:rsidR="002A4953" w:rsidRPr="006126DF">
        <w:rPr>
          <w:rFonts w:ascii="Calibri" w:hAnsi="Calibri" w:cs="Calibri"/>
        </w:rPr>
        <w:t xml:space="preserve">Die ersten Kreditnehmer wurden zahlungsunfähig und deren Häuser beschlagnahmt und zwangsversteigert. </w:t>
      </w:r>
      <w:r w:rsidR="00FF7204" w:rsidRPr="006126DF">
        <w:rPr>
          <w:rFonts w:ascii="Calibri" w:hAnsi="Calibri" w:cs="Calibri"/>
        </w:rPr>
        <w:t>Die Immobilienpreise begannen einzubrechen und damit auch das Kollateral der Kredite</w:t>
      </w:r>
      <w:r w:rsidR="00B41E5E">
        <w:rPr>
          <w:rFonts w:ascii="Calibri" w:hAnsi="Calibri" w:cs="Calibri"/>
        </w:rPr>
        <w:t xml:space="preserve"> (McKinsey, 2018)</w:t>
      </w:r>
      <w:r w:rsidR="00FF7204" w:rsidRPr="006126DF">
        <w:rPr>
          <w:rFonts w:ascii="Calibri" w:hAnsi="Calibri" w:cs="Calibri"/>
        </w:rPr>
        <w:t>.</w:t>
      </w:r>
    </w:p>
    <w:p w:rsidR="009D0560" w:rsidRPr="006126DF" w:rsidRDefault="009D0560" w:rsidP="007F489E">
      <w:pPr>
        <w:spacing w:line="360" w:lineRule="auto"/>
        <w:jc w:val="both"/>
        <w:rPr>
          <w:rFonts w:ascii="Calibri" w:hAnsi="Calibri" w:cs="Calibri"/>
        </w:rPr>
      </w:pPr>
    </w:p>
    <w:p w:rsidR="009D0560" w:rsidRPr="006126DF" w:rsidRDefault="009D0560" w:rsidP="007F489E">
      <w:pPr>
        <w:spacing w:line="360" w:lineRule="auto"/>
        <w:jc w:val="both"/>
        <w:rPr>
          <w:rFonts w:ascii="Calibri" w:hAnsi="Calibri" w:cs="Calibri"/>
        </w:rPr>
      </w:pPr>
      <w:r w:rsidRPr="006126DF">
        <w:rPr>
          <w:rFonts w:ascii="Calibri" w:hAnsi="Calibri" w:cs="Calibri"/>
        </w:rPr>
        <w:tab/>
        <w:t xml:space="preserve">In der Zwischenzeit haben Banken die einzelnen Hypotheken bereits in Pakete vermischt und an die ganze Welt weiterverkauft. </w:t>
      </w:r>
      <w:r w:rsidR="00605CA6" w:rsidRPr="006126DF">
        <w:rPr>
          <w:rFonts w:ascii="Calibri" w:hAnsi="Calibri" w:cs="Calibri"/>
        </w:rPr>
        <w:t>Die weitverteilten, wertverlierenden MBS haben somit viele Regionen der Welt geschadet.</w:t>
      </w:r>
    </w:p>
    <w:p w:rsidR="0054747E" w:rsidRDefault="0054747E" w:rsidP="007F489E">
      <w:pPr>
        <w:spacing w:line="360" w:lineRule="auto"/>
        <w:jc w:val="both"/>
        <w:rPr>
          <w:rFonts w:ascii="Calibri" w:hAnsi="Calibri" w:cs="Calibri"/>
        </w:rPr>
      </w:pPr>
    </w:p>
    <w:p w:rsidR="00EB4016" w:rsidRPr="006126DF" w:rsidRDefault="00EB4016" w:rsidP="00EB4016">
      <w:pPr>
        <w:spacing w:line="360" w:lineRule="auto"/>
        <w:jc w:val="center"/>
        <w:rPr>
          <w:rFonts w:ascii="Calibri" w:hAnsi="Calibri" w:cs="Calibri"/>
        </w:rPr>
      </w:pPr>
      <w:bookmarkStart w:id="15" w:name="_GoBack"/>
      <w:r>
        <w:rPr>
          <w:rFonts w:ascii="Calibri" w:hAnsi="Calibri" w:cs="Calibri"/>
          <w:noProof/>
        </w:rPr>
        <w:drawing>
          <wp:inline distT="0" distB="0" distL="0" distR="0">
            <wp:extent cx="3479800" cy="3246814"/>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19-06-19 um 23.03.27.png"/>
                    <pic:cNvPicPr/>
                  </pic:nvPicPr>
                  <pic:blipFill>
                    <a:blip r:embed="rId14">
                      <a:extLst>
                        <a:ext uri="{28A0092B-C50C-407E-A947-70E740481C1C}">
                          <a14:useLocalDpi xmlns:a14="http://schemas.microsoft.com/office/drawing/2010/main" val="0"/>
                        </a:ext>
                      </a:extLst>
                    </a:blip>
                    <a:stretch>
                      <a:fillRect/>
                    </a:stretch>
                  </pic:blipFill>
                  <pic:spPr>
                    <a:xfrm>
                      <a:off x="0" y="0"/>
                      <a:ext cx="3495822" cy="3261763"/>
                    </a:xfrm>
                    <a:prstGeom prst="rect">
                      <a:avLst/>
                    </a:prstGeom>
                  </pic:spPr>
                </pic:pic>
              </a:graphicData>
            </a:graphic>
          </wp:inline>
        </w:drawing>
      </w:r>
      <w:bookmarkEnd w:id="15"/>
    </w:p>
    <w:p w:rsidR="007A0EE6" w:rsidRDefault="007A0EE6" w:rsidP="006E1E8D">
      <w:pPr>
        <w:spacing w:line="360" w:lineRule="auto"/>
        <w:jc w:val="center"/>
        <w:rPr>
          <w:rFonts w:ascii="Calibri" w:hAnsi="Calibri" w:cs="Calibri"/>
        </w:rPr>
      </w:pPr>
      <w:r>
        <w:rPr>
          <w:rFonts w:ascii="Calibri" w:hAnsi="Calibri" w:cs="Calibri"/>
        </w:rPr>
        <w:t xml:space="preserve">(Abbildung 6, </w:t>
      </w:r>
      <w:r w:rsidR="003E4A04">
        <w:rPr>
          <w:rFonts w:ascii="Calibri" w:hAnsi="Calibri" w:cs="Calibri"/>
        </w:rPr>
        <w:t xml:space="preserve">Quelle: </w:t>
      </w:r>
      <w:r>
        <w:rPr>
          <w:rFonts w:ascii="Calibri" w:hAnsi="Calibri" w:cs="Calibri"/>
        </w:rPr>
        <w:t>McKinsey)</w:t>
      </w:r>
    </w:p>
    <w:p w:rsidR="007A0EE6" w:rsidRDefault="007A0EE6" w:rsidP="007F489E">
      <w:pPr>
        <w:spacing w:line="360" w:lineRule="auto"/>
        <w:jc w:val="both"/>
        <w:rPr>
          <w:rFonts w:ascii="Calibri" w:hAnsi="Calibri" w:cs="Calibri"/>
        </w:rPr>
      </w:pPr>
    </w:p>
    <w:p w:rsidR="005B185C" w:rsidRPr="006126DF" w:rsidRDefault="0054747E" w:rsidP="007A0EE6">
      <w:pPr>
        <w:spacing w:line="360" w:lineRule="auto"/>
        <w:ind w:firstLine="708"/>
        <w:jc w:val="both"/>
        <w:rPr>
          <w:rFonts w:ascii="Calibri" w:hAnsi="Calibri" w:cs="Calibri"/>
        </w:rPr>
      </w:pPr>
      <w:r w:rsidRPr="006126DF">
        <w:rPr>
          <w:rFonts w:ascii="Calibri" w:hAnsi="Calibri" w:cs="Calibri"/>
        </w:rPr>
        <w:t xml:space="preserve">Den Banken wird vorgeworfen rücksichtslos Kredite vergeben zu haben und durch die MBS intransparente, riskante Finanzprodukte geschaffen zu haben. </w:t>
      </w:r>
      <w:r w:rsidR="00C13728" w:rsidRPr="006126DF">
        <w:rPr>
          <w:rFonts w:ascii="Calibri" w:hAnsi="Calibri" w:cs="Calibri"/>
        </w:rPr>
        <w:t>Außerdem haben die meisten von ihnen währen der Krise staatliche Hilfe bekommen, obwohl sie die Krise mit verursacht haben.</w:t>
      </w:r>
      <w:r w:rsidR="005C63FC" w:rsidRPr="006126DF">
        <w:rPr>
          <w:rFonts w:ascii="Calibri" w:hAnsi="Calibri" w:cs="Calibri"/>
        </w:rPr>
        <w:t xml:space="preserve"> Abbildung </w:t>
      </w:r>
      <w:r w:rsidR="007A0EE6">
        <w:rPr>
          <w:rFonts w:ascii="Calibri" w:hAnsi="Calibri" w:cs="Calibri"/>
        </w:rPr>
        <w:t>6</w:t>
      </w:r>
      <w:r w:rsidR="005C63FC" w:rsidRPr="006126DF">
        <w:rPr>
          <w:rFonts w:ascii="Calibri" w:hAnsi="Calibri" w:cs="Calibri"/>
        </w:rPr>
        <w:t xml:space="preserve"> zeigt außerdem die Folgen für Länder nach der Krise. </w:t>
      </w:r>
      <w:r w:rsidR="005F5E21">
        <w:rPr>
          <w:rFonts w:ascii="Calibri" w:hAnsi="Calibri" w:cs="Calibri"/>
        </w:rPr>
        <w:t xml:space="preserve"> </w:t>
      </w:r>
      <w:r w:rsidR="007341D0" w:rsidRPr="006126DF">
        <w:rPr>
          <w:rFonts w:ascii="Calibri" w:hAnsi="Calibri" w:cs="Calibri"/>
        </w:rPr>
        <w:lastRenderedPageBreak/>
        <w:t xml:space="preserve">Staatsverschuldungen haben in entwickelten Ländern auch nach den Krisenjahren stark zugenommen, </w:t>
      </w:r>
      <w:r w:rsidR="005F5E21" w:rsidRPr="006126DF">
        <w:rPr>
          <w:rFonts w:ascii="Calibri" w:hAnsi="Calibri" w:cs="Calibri"/>
        </w:rPr>
        <w:t>allen voran</w:t>
      </w:r>
      <w:r w:rsidR="007341D0" w:rsidRPr="006126DF">
        <w:rPr>
          <w:rFonts w:ascii="Calibri" w:hAnsi="Calibri" w:cs="Calibri"/>
        </w:rPr>
        <w:t xml:space="preserve"> in Europa.</w:t>
      </w:r>
    </w:p>
    <w:p w:rsidR="005C63FC" w:rsidRPr="006126DF" w:rsidRDefault="005C63FC" w:rsidP="007F489E">
      <w:pPr>
        <w:spacing w:line="360" w:lineRule="auto"/>
        <w:jc w:val="both"/>
        <w:rPr>
          <w:rFonts w:ascii="Calibri" w:hAnsi="Calibri" w:cs="Calibri"/>
        </w:rPr>
      </w:pPr>
    </w:p>
    <w:p w:rsidR="00A81CAE" w:rsidRPr="006126DF" w:rsidRDefault="00032691" w:rsidP="007F489E">
      <w:pPr>
        <w:spacing w:line="360" w:lineRule="auto"/>
        <w:jc w:val="both"/>
        <w:rPr>
          <w:rFonts w:ascii="Calibri" w:hAnsi="Calibri" w:cs="Calibri"/>
        </w:rPr>
      </w:pPr>
      <w:r w:rsidRPr="006126DF">
        <w:rPr>
          <w:rFonts w:ascii="Calibri" w:hAnsi="Calibri" w:cs="Calibri"/>
        </w:rPr>
        <w:tab/>
        <w:t xml:space="preserve">Es wäre sicherlich spannend zu sehen, wie Aristoteles, Thomas Aquinas und Adam Smith die Krise und die daraus resultierenden Schäden für Kleinanleger bewerten würden. </w:t>
      </w:r>
      <w:r w:rsidR="008B08B8" w:rsidRPr="006126DF">
        <w:rPr>
          <w:rFonts w:ascii="Calibri" w:hAnsi="Calibri" w:cs="Calibri"/>
        </w:rPr>
        <w:t>Obwohl es sich bei den negativen Realzinsen der letzten Jahren nicht um ein klassisches Tauschgeschäft handelt,</w:t>
      </w:r>
      <w:r w:rsidR="00ED7D76" w:rsidRPr="006126DF">
        <w:rPr>
          <w:rFonts w:ascii="Calibri" w:hAnsi="Calibri" w:cs="Calibri"/>
        </w:rPr>
        <w:t xml:space="preserve"> wo ein Käufer einem Verkäufer gegenübersteht,</w:t>
      </w:r>
      <w:r w:rsidR="008B08B8" w:rsidRPr="006126DF">
        <w:rPr>
          <w:rFonts w:ascii="Calibri" w:hAnsi="Calibri" w:cs="Calibri"/>
        </w:rPr>
        <w:t xml:space="preserve"> kann es meiner Meinung nach trotzdem auf Gerechtigkeit geprüft werden. </w:t>
      </w:r>
      <w:r w:rsidR="00ED7D76" w:rsidRPr="006126DF">
        <w:rPr>
          <w:rFonts w:ascii="Calibri" w:hAnsi="Calibri" w:cs="Calibri"/>
        </w:rPr>
        <w:t xml:space="preserve">Für mich ist es ungerecht, dass die Banken, als Mitverursacher der großen Finanzkrise vergleichsweise glimpflich die Krise </w:t>
      </w:r>
      <w:r w:rsidR="00A14045" w:rsidRPr="006126DF">
        <w:rPr>
          <w:rFonts w:ascii="Calibri" w:hAnsi="Calibri" w:cs="Calibri"/>
        </w:rPr>
        <w:t>überstanden</w:t>
      </w:r>
      <w:r w:rsidR="00ED7D76" w:rsidRPr="006126DF">
        <w:rPr>
          <w:rFonts w:ascii="Calibri" w:hAnsi="Calibri" w:cs="Calibri"/>
        </w:rPr>
        <w:t xml:space="preserve"> haben, während viele Menschen die Konsequenzen bis heute spüren. </w:t>
      </w:r>
      <w:r w:rsidR="00F80CA4" w:rsidRPr="006126DF">
        <w:rPr>
          <w:rFonts w:ascii="Calibri" w:hAnsi="Calibri" w:cs="Calibri"/>
        </w:rPr>
        <w:t>Trotzdem muss man sich fragen, was die Alternative wäre. Hätte man Banken nicht helfen dürfen oder härter bestrafen sollen? Ein weniger unterstützendes Szenario hätte der Realwirtschaft wahrscheinlich noch mehr geschadet, da Banken Unternehmen, Märkte und Individuen mit Liquidität versorgen. Gäbe es in der Liquidität über längere Strecken Einschränkungen</w:t>
      </w:r>
      <w:r w:rsidR="00A14045" w:rsidRPr="006126DF">
        <w:rPr>
          <w:rFonts w:ascii="Calibri" w:hAnsi="Calibri" w:cs="Calibri"/>
        </w:rPr>
        <w:t>,</w:t>
      </w:r>
      <w:r w:rsidR="00F80CA4" w:rsidRPr="006126DF">
        <w:rPr>
          <w:rFonts w:ascii="Calibri" w:hAnsi="Calibri" w:cs="Calibri"/>
        </w:rPr>
        <w:t xml:space="preserve"> so hätte sich die Wirtschaft wahrscheinlich noch schwächer entwickelt.</w:t>
      </w:r>
      <w:r w:rsidR="006562F8" w:rsidRPr="006126DF">
        <w:rPr>
          <w:rFonts w:ascii="Calibri" w:hAnsi="Calibri" w:cs="Calibri"/>
        </w:rPr>
        <w:t xml:space="preserve"> Nichtsdestotrotz wünsche ich mir, dass ein Zusammenhang zwischen „kalter“ Enteignung und der Finanzkrise klar wird und die Erkenntnis, dass der Preis für die Krise ungerecht verteilt ist.</w:t>
      </w:r>
    </w:p>
    <w:p w:rsidR="00A14045" w:rsidRPr="006126DF" w:rsidRDefault="00A14045" w:rsidP="007F489E">
      <w:pPr>
        <w:spacing w:line="360" w:lineRule="auto"/>
        <w:jc w:val="both"/>
        <w:rPr>
          <w:rFonts w:ascii="Calibri" w:hAnsi="Calibri" w:cs="Calibri"/>
        </w:rPr>
      </w:pPr>
    </w:p>
    <w:p w:rsidR="00A81CAE" w:rsidRPr="00AF4BB0" w:rsidRDefault="00AF4BB0" w:rsidP="007F489E">
      <w:pPr>
        <w:pStyle w:val="berschrift1"/>
        <w:spacing w:line="360" w:lineRule="auto"/>
        <w:rPr>
          <w:rFonts w:eastAsia="Times New Roman"/>
        </w:rPr>
      </w:pPr>
      <w:bookmarkStart w:id="16" w:name="_Toc11850912"/>
      <w:r>
        <w:rPr>
          <w:rFonts w:eastAsia="Times New Roman"/>
        </w:rPr>
        <w:t xml:space="preserve">5. </w:t>
      </w:r>
      <w:r w:rsidR="00A81CAE" w:rsidRPr="00AF4BB0">
        <w:rPr>
          <w:rFonts w:eastAsia="Times New Roman"/>
        </w:rPr>
        <w:t xml:space="preserve">Neue </w:t>
      </w:r>
      <w:r w:rsidR="00B152EC" w:rsidRPr="00AF4BB0">
        <w:rPr>
          <w:rFonts w:eastAsia="Times New Roman"/>
        </w:rPr>
        <w:t>(</w:t>
      </w:r>
      <w:r w:rsidR="00B26BEE" w:rsidRPr="00AF4BB0">
        <w:rPr>
          <w:rFonts w:eastAsia="Times New Roman"/>
        </w:rPr>
        <w:t>technologische</w:t>
      </w:r>
      <w:r w:rsidR="00B152EC" w:rsidRPr="00AF4BB0">
        <w:rPr>
          <w:rFonts w:eastAsia="Times New Roman"/>
        </w:rPr>
        <w:t>)</w:t>
      </w:r>
      <w:r w:rsidR="00B26BEE" w:rsidRPr="00AF4BB0">
        <w:rPr>
          <w:rFonts w:eastAsia="Times New Roman"/>
        </w:rPr>
        <w:t xml:space="preserve"> </w:t>
      </w:r>
      <w:r w:rsidR="00A81CAE" w:rsidRPr="00AF4BB0">
        <w:rPr>
          <w:rFonts w:eastAsia="Times New Roman"/>
        </w:rPr>
        <w:t>Entwicklungen in der Bankenbranche</w:t>
      </w:r>
      <w:bookmarkEnd w:id="16"/>
    </w:p>
    <w:p w:rsidR="00032691" w:rsidRPr="006126DF" w:rsidRDefault="00A81CAE" w:rsidP="007F489E">
      <w:pPr>
        <w:spacing w:line="360" w:lineRule="auto"/>
        <w:ind w:firstLine="708"/>
        <w:jc w:val="both"/>
        <w:rPr>
          <w:rFonts w:ascii="Calibri" w:hAnsi="Calibri" w:cs="Calibri"/>
        </w:rPr>
      </w:pPr>
      <w:r w:rsidRPr="006126DF">
        <w:rPr>
          <w:rFonts w:ascii="Calibri" w:hAnsi="Calibri" w:cs="Calibri"/>
        </w:rPr>
        <w:t xml:space="preserve">Stand Jänner 2019 betrug die Bewertung von der Smartphone Bank </w:t>
      </w:r>
      <w:r w:rsidR="000C740A" w:rsidRPr="006126DF">
        <w:rPr>
          <w:rFonts w:ascii="Calibri" w:hAnsi="Calibri" w:cs="Calibri"/>
        </w:rPr>
        <w:t>„</w:t>
      </w:r>
      <w:r w:rsidRPr="006126DF">
        <w:rPr>
          <w:rFonts w:ascii="Calibri" w:hAnsi="Calibri" w:cs="Calibri"/>
        </w:rPr>
        <w:t>N26</w:t>
      </w:r>
      <w:r w:rsidR="000C740A" w:rsidRPr="006126DF">
        <w:rPr>
          <w:rFonts w:ascii="Calibri" w:hAnsi="Calibri" w:cs="Calibri"/>
        </w:rPr>
        <w:t>“</w:t>
      </w:r>
      <w:r w:rsidRPr="006126DF">
        <w:rPr>
          <w:rFonts w:ascii="Calibri" w:hAnsi="Calibri" w:cs="Calibri"/>
        </w:rPr>
        <w:t xml:space="preserve"> 2,6 Milliarden Euro. </w:t>
      </w:r>
      <w:r w:rsidR="000C740A" w:rsidRPr="006126DF">
        <w:rPr>
          <w:rFonts w:ascii="Calibri" w:hAnsi="Calibri" w:cs="Calibri"/>
        </w:rPr>
        <w:t>Damit ist es eines der wertvollsten Startups in Europa. Eine weitere Bank</w:t>
      </w:r>
      <w:r w:rsidR="007643E7" w:rsidRPr="006126DF">
        <w:rPr>
          <w:rFonts w:ascii="Calibri" w:hAnsi="Calibri" w:cs="Calibri"/>
        </w:rPr>
        <w:t xml:space="preserve"> aus dem Vereinigten Königreich</w:t>
      </w:r>
      <w:r w:rsidR="000C740A" w:rsidRPr="006126DF">
        <w:rPr>
          <w:rFonts w:ascii="Calibri" w:hAnsi="Calibri" w:cs="Calibri"/>
        </w:rPr>
        <w:t xml:space="preserve">, die </w:t>
      </w:r>
      <w:r w:rsidR="007643E7" w:rsidRPr="006126DF">
        <w:rPr>
          <w:rFonts w:ascii="Calibri" w:hAnsi="Calibri" w:cs="Calibri"/>
        </w:rPr>
        <w:t>ebenfalls</w:t>
      </w:r>
      <w:r w:rsidR="000C740A" w:rsidRPr="006126DF">
        <w:rPr>
          <w:rFonts w:ascii="Calibri" w:hAnsi="Calibri" w:cs="Calibri"/>
        </w:rPr>
        <w:t xml:space="preserve"> nur über das Smartphone läuft, „Monzo“, wird ähnlich hoch bewertet.</w:t>
      </w:r>
      <w:r w:rsidR="007643E7" w:rsidRPr="006126DF">
        <w:rPr>
          <w:rFonts w:ascii="Calibri" w:hAnsi="Calibri" w:cs="Calibri"/>
        </w:rPr>
        <w:t xml:space="preserve"> </w:t>
      </w:r>
      <w:r w:rsidR="008C02EA" w:rsidRPr="006126DF">
        <w:rPr>
          <w:rFonts w:ascii="Calibri" w:hAnsi="Calibri" w:cs="Calibri"/>
        </w:rPr>
        <w:t xml:space="preserve">Paypal ist mit einer Marktkapitalisierung von $136 Mrd mehr Wert, als jede europäische Bank. </w:t>
      </w:r>
      <w:r w:rsidR="007643E7" w:rsidRPr="006126DF">
        <w:rPr>
          <w:rFonts w:ascii="Calibri" w:hAnsi="Calibri" w:cs="Calibri"/>
        </w:rPr>
        <w:t xml:space="preserve">Die Bankenbranche ist im Wandel, sogenannte „Fintechs“ </w:t>
      </w:r>
      <w:r w:rsidR="00B77062">
        <w:rPr>
          <w:rFonts w:ascii="Calibri" w:hAnsi="Calibri" w:cs="Calibri"/>
        </w:rPr>
        <w:t>kämpfen gegen</w:t>
      </w:r>
      <w:r w:rsidR="007643E7" w:rsidRPr="006126DF">
        <w:rPr>
          <w:rFonts w:ascii="Calibri" w:hAnsi="Calibri" w:cs="Calibri"/>
        </w:rPr>
        <w:t xml:space="preserve"> die große Vormachtstellung der traditionellen großen Player</w:t>
      </w:r>
      <w:r w:rsidR="00B77062">
        <w:rPr>
          <w:rFonts w:ascii="Calibri" w:hAnsi="Calibri" w:cs="Calibri"/>
        </w:rPr>
        <w:t xml:space="preserve"> an</w:t>
      </w:r>
      <w:r w:rsidR="00D203E0">
        <w:rPr>
          <w:rFonts w:ascii="Calibri" w:hAnsi="Calibri" w:cs="Calibri"/>
        </w:rPr>
        <w:t xml:space="preserve"> (</w:t>
      </w:r>
      <w:r w:rsidR="00D203E0" w:rsidRPr="00874AC9">
        <w:rPr>
          <w:rFonts w:ascii="Calibri" w:hAnsi="Calibri"/>
          <w:color w:val="000000" w:themeColor="text1"/>
        </w:rPr>
        <w:t>Romanova</w:t>
      </w:r>
      <w:r w:rsidR="00D203E0">
        <w:rPr>
          <w:rFonts w:ascii="Calibri" w:hAnsi="Calibri"/>
          <w:color w:val="000000" w:themeColor="text1"/>
        </w:rPr>
        <w:t xml:space="preserve"> </w:t>
      </w:r>
      <w:r w:rsidR="00D203E0" w:rsidRPr="00874AC9">
        <w:rPr>
          <w:rFonts w:ascii="Calibri" w:hAnsi="Calibri"/>
          <w:color w:val="000000" w:themeColor="text1"/>
        </w:rPr>
        <w:t>&amp; Kudinska</w:t>
      </w:r>
      <w:r w:rsidR="00D203E0">
        <w:rPr>
          <w:rFonts w:ascii="Calibri" w:hAnsi="Calibri" w:cs="Calibri"/>
        </w:rPr>
        <w:t>, 2016)</w:t>
      </w:r>
      <w:r w:rsidR="007643E7" w:rsidRPr="006126DF">
        <w:rPr>
          <w:rFonts w:ascii="Calibri" w:hAnsi="Calibri" w:cs="Calibri"/>
        </w:rPr>
        <w:t xml:space="preserve"> </w:t>
      </w:r>
    </w:p>
    <w:p w:rsidR="00130FCA" w:rsidRPr="006126DF" w:rsidRDefault="00130FCA" w:rsidP="007F489E">
      <w:pPr>
        <w:spacing w:line="360" w:lineRule="auto"/>
        <w:ind w:firstLine="708"/>
        <w:jc w:val="both"/>
        <w:rPr>
          <w:rFonts w:ascii="Calibri" w:hAnsi="Calibri" w:cs="Calibri"/>
        </w:rPr>
      </w:pPr>
    </w:p>
    <w:p w:rsidR="00130FCA" w:rsidRPr="006126DF" w:rsidRDefault="00130FCA" w:rsidP="007F489E">
      <w:pPr>
        <w:spacing w:line="360" w:lineRule="auto"/>
        <w:ind w:firstLine="708"/>
        <w:jc w:val="both"/>
        <w:rPr>
          <w:rFonts w:ascii="Calibri" w:hAnsi="Calibri" w:cs="Calibri"/>
        </w:rPr>
      </w:pPr>
      <w:r w:rsidRPr="006126DF">
        <w:rPr>
          <w:rFonts w:ascii="Calibri" w:hAnsi="Calibri" w:cs="Calibri"/>
        </w:rPr>
        <w:t xml:space="preserve">Im Folgenden werde ich neue Entwicklungen in der Bankenbranche aufzeigen. Dazu gehört die Analyse von Startup-Banken, wie N26, alternative </w:t>
      </w:r>
      <w:r w:rsidR="008C02EA" w:rsidRPr="006126DF">
        <w:rPr>
          <w:rFonts w:ascii="Calibri" w:hAnsi="Calibri" w:cs="Calibri"/>
        </w:rPr>
        <w:t>Zahlungsmittelmethoden</w:t>
      </w:r>
      <w:r w:rsidRPr="006126DF">
        <w:rPr>
          <w:rFonts w:ascii="Calibri" w:hAnsi="Calibri" w:cs="Calibri"/>
        </w:rPr>
        <w:t xml:space="preserve"> wie Paypal</w:t>
      </w:r>
      <w:r w:rsidR="008C02EA" w:rsidRPr="006126DF">
        <w:rPr>
          <w:rFonts w:ascii="Calibri" w:hAnsi="Calibri" w:cs="Calibri"/>
        </w:rPr>
        <w:t xml:space="preserve"> oder Bitcoin</w:t>
      </w:r>
      <w:r w:rsidRPr="006126DF">
        <w:rPr>
          <w:rFonts w:ascii="Calibri" w:hAnsi="Calibri" w:cs="Calibri"/>
        </w:rPr>
        <w:t xml:space="preserve"> und die Transition von bestehenden Playern wie ING Diba. </w:t>
      </w:r>
      <w:r w:rsidR="00D65F21" w:rsidRPr="006126DF">
        <w:rPr>
          <w:rFonts w:ascii="Calibri" w:hAnsi="Calibri" w:cs="Calibri"/>
        </w:rPr>
        <w:t xml:space="preserve">Ziel ist es, zu erkennen warum die Branche so dynamisch geworden ist, welche Konsequenzen es für den </w:t>
      </w:r>
      <w:r w:rsidR="00D65F21" w:rsidRPr="006126DF">
        <w:rPr>
          <w:rFonts w:ascii="Calibri" w:hAnsi="Calibri" w:cs="Calibri"/>
        </w:rPr>
        <w:lastRenderedPageBreak/>
        <w:t>Endverbraucher haben wird und ob es am Ende sogar einen „gerechten“ Preis für Bankgebühren geben wird.</w:t>
      </w:r>
    </w:p>
    <w:p w:rsidR="008C02EA" w:rsidRPr="006126DF" w:rsidRDefault="008C02EA" w:rsidP="007F489E">
      <w:pPr>
        <w:spacing w:line="360" w:lineRule="auto"/>
        <w:ind w:firstLine="708"/>
        <w:jc w:val="both"/>
        <w:rPr>
          <w:rFonts w:ascii="Calibri" w:hAnsi="Calibri" w:cs="Calibri"/>
        </w:rPr>
      </w:pPr>
    </w:p>
    <w:p w:rsidR="008C02EA" w:rsidRPr="006126DF" w:rsidRDefault="00AF4BB0" w:rsidP="007F489E">
      <w:pPr>
        <w:pStyle w:val="berschrift2"/>
        <w:spacing w:line="360" w:lineRule="auto"/>
        <w:rPr>
          <w:rFonts w:eastAsia="Times New Roman"/>
        </w:rPr>
      </w:pPr>
      <w:bookmarkStart w:id="17" w:name="_Toc11850913"/>
      <w:r>
        <w:rPr>
          <w:rFonts w:eastAsia="Times New Roman"/>
        </w:rPr>
        <w:t>5</w:t>
      </w:r>
      <w:r w:rsidR="00B26BEE">
        <w:rPr>
          <w:rFonts w:eastAsia="Times New Roman"/>
        </w:rPr>
        <w:t xml:space="preserve">.1 </w:t>
      </w:r>
      <w:r w:rsidR="008C02EA" w:rsidRPr="006126DF">
        <w:rPr>
          <w:rFonts w:eastAsia="Times New Roman"/>
        </w:rPr>
        <w:t>Startup-Banken</w:t>
      </w:r>
      <w:r w:rsidR="00A05566">
        <w:rPr>
          <w:rFonts w:eastAsia="Times New Roman"/>
        </w:rPr>
        <w:t xml:space="preserve">: </w:t>
      </w:r>
      <w:r w:rsidR="008C02EA" w:rsidRPr="006126DF">
        <w:rPr>
          <w:rFonts w:eastAsia="Times New Roman"/>
        </w:rPr>
        <w:t>N26</w:t>
      </w:r>
      <w:bookmarkEnd w:id="17"/>
      <w:r w:rsidR="008C02EA" w:rsidRPr="006126DF">
        <w:rPr>
          <w:rFonts w:eastAsia="Times New Roman"/>
        </w:rPr>
        <w:t xml:space="preserve"> </w:t>
      </w:r>
    </w:p>
    <w:p w:rsidR="008C02EA" w:rsidRPr="006126DF" w:rsidRDefault="00C71A32" w:rsidP="00E04618">
      <w:pPr>
        <w:spacing w:line="360" w:lineRule="auto"/>
        <w:ind w:firstLine="708"/>
        <w:jc w:val="both"/>
        <w:rPr>
          <w:rFonts w:ascii="Calibri" w:hAnsi="Calibri" w:cs="Calibri"/>
        </w:rPr>
      </w:pPr>
      <w:r w:rsidRPr="006126DF">
        <w:rPr>
          <w:rFonts w:ascii="Calibri" w:hAnsi="Calibri" w:cs="Calibri"/>
        </w:rPr>
        <w:t>N26</w:t>
      </w:r>
      <w:r w:rsidR="008956B4" w:rsidRPr="006126DF">
        <w:rPr>
          <w:rFonts w:ascii="Calibri" w:hAnsi="Calibri" w:cs="Calibri"/>
        </w:rPr>
        <w:t xml:space="preserve">, </w:t>
      </w:r>
      <w:r w:rsidR="00A14045" w:rsidRPr="006126DF">
        <w:rPr>
          <w:rFonts w:ascii="Calibri" w:hAnsi="Calibri" w:cs="Calibri"/>
        </w:rPr>
        <w:t xml:space="preserve">2013 </w:t>
      </w:r>
      <w:r w:rsidR="008956B4" w:rsidRPr="006126DF">
        <w:rPr>
          <w:rFonts w:ascii="Calibri" w:hAnsi="Calibri" w:cs="Calibri"/>
        </w:rPr>
        <w:t>in Wien gegründet,</w:t>
      </w:r>
      <w:r w:rsidRPr="006126DF">
        <w:rPr>
          <w:rFonts w:ascii="Calibri" w:hAnsi="Calibri" w:cs="Calibri"/>
        </w:rPr>
        <w:t xml:space="preserve"> ist eine Direktbank, welche ihre Angebote ausschließlich über ihre Smartphone App anbietet. </w:t>
      </w:r>
      <w:r w:rsidR="008956B4" w:rsidRPr="006126DF">
        <w:rPr>
          <w:rFonts w:ascii="Calibri" w:hAnsi="Calibri" w:cs="Calibri"/>
        </w:rPr>
        <w:t xml:space="preserve">Die Angebote enthalten ein kostenloses Girokonto, inklusive kostenloser Kreditkarte und verbraucherfreundlichen Preisen. </w:t>
      </w:r>
      <w:r w:rsidR="00CE003F" w:rsidRPr="006126DF">
        <w:rPr>
          <w:rFonts w:ascii="Calibri" w:hAnsi="Calibri" w:cs="Calibri"/>
        </w:rPr>
        <w:t xml:space="preserve">N26 kooperiert dabei auch mit anderen Finanzdienstleistern, um ein breiteres Produktpaket anbieten zu können. Durch Kooperationen bietet N26 außerdem Versicherungen, Auslandswährungen und Investments an. Das ganze über die App. </w:t>
      </w:r>
      <w:r w:rsidR="006D6B9C" w:rsidRPr="006126DF">
        <w:rPr>
          <w:rFonts w:ascii="Calibri" w:hAnsi="Calibri" w:cs="Calibri"/>
        </w:rPr>
        <w:t>Durch die mobile Strategie fallen physische Zweigstellen bewusst weg und</w:t>
      </w:r>
      <w:r w:rsidR="00A05566">
        <w:rPr>
          <w:rFonts w:ascii="Calibri" w:hAnsi="Calibri" w:cs="Calibri"/>
        </w:rPr>
        <w:t xml:space="preserve"> die Bank</w:t>
      </w:r>
      <w:r w:rsidR="006D6B9C" w:rsidRPr="006126DF">
        <w:rPr>
          <w:rFonts w:ascii="Calibri" w:hAnsi="Calibri" w:cs="Calibri"/>
        </w:rPr>
        <w:t xml:space="preserve"> </w:t>
      </w:r>
      <w:r w:rsidR="00974DDC" w:rsidRPr="006126DF">
        <w:rPr>
          <w:rFonts w:ascii="Calibri" w:hAnsi="Calibri" w:cs="Calibri"/>
        </w:rPr>
        <w:t>kann</w:t>
      </w:r>
      <w:r w:rsidR="006D6B9C" w:rsidRPr="006126DF">
        <w:rPr>
          <w:rFonts w:ascii="Calibri" w:hAnsi="Calibri" w:cs="Calibri"/>
        </w:rPr>
        <w:t xml:space="preserve"> dadurch relativ günstig</w:t>
      </w:r>
      <w:r w:rsidR="00974DDC" w:rsidRPr="006126DF">
        <w:rPr>
          <w:rFonts w:ascii="Calibri" w:hAnsi="Calibri" w:cs="Calibri"/>
        </w:rPr>
        <w:t xml:space="preserve"> operieren</w:t>
      </w:r>
      <w:r w:rsidR="006D6B9C" w:rsidRPr="006126DF">
        <w:rPr>
          <w:rFonts w:ascii="Calibri" w:hAnsi="Calibri" w:cs="Calibri"/>
        </w:rPr>
        <w:t>.</w:t>
      </w:r>
      <w:r w:rsidR="00974DDC" w:rsidRPr="006126DF">
        <w:rPr>
          <w:rFonts w:ascii="Calibri" w:hAnsi="Calibri" w:cs="Calibri"/>
        </w:rPr>
        <w:t xml:space="preserve"> </w:t>
      </w:r>
      <w:r w:rsidR="00930CCB" w:rsidRPr="006126DF">
        <w:rPr>
          <w:rFonts w:ascii="Calibri" w:hAnsi="Calibri" w:cs="Calibri"/>
        </w:rPr>
        <w:t>Kunden können an ausgewählten Supermärkten kostenlos Geld ein- und auszahlen. Kundenservice wird ausschließlich online angeboten</w:t>
      </w:r>
      <w:r w:rsidR="00E04618">
        <w:rPr>
          <w:rFonts w:ascii="Calibri" w:hAnsi="Calibri" w:cs="Calibri"/>
        </w:rPr>
        <w:t xml:space="preserve"> (</w:t>
      </w:r>
      <w:r w:rsidR="00E04618" w:rsidRPr="00874AC9">
        <w:rPr>
          <w:rFonts w:ascii="Calibri" w:hAnsi="Calibri"/>
          <w:color w:val="000000" w:themeColor="text1"/>
        </w:rPr>
        <w:t>Romanova</w:t>
      </w:r>
      <w:r w:rsidR="00E04618">
        <w:rPr>
          <w:rFonts w:ascii="Calibri" w:hAnsi="Calibri"/>
          <w:color w:val="000000" w:themeColor="text1"/>
        </w:rPr>
        <w:t xml:space="preserve"> </w:t>
      </w:r>
      <w:r w:rsidR="00E04618" w:rsidRPr="00874AC9">
        <w:rPr>
          <w:rFonts w:ascii="Calibri" w:hAnsi="Calibri"/>
          <w:color w:val="000000" w:themeColor="text1"/>
        </w:rPr>
        <w:t>&amp; Kudinska</w:t>
      </w:r>
      <w:r w:rsidR="00E04618">
        <w:rPr>
          <w:rFonts w:ascii="Calibri" w:hAnsi="Calibri" w:cs="Calibri"/>
        </w:rPr>
        <w:t>, 2016)</w:t>
      </w:r>
      <w:r w:rsidR="00930CCB" w:rsidRPr="006126DF">
        <w:rPr>
          <w:rFonts w:ascii="Calibri" w:hAnsi="Calibri" w:cs="Calibri"/>
        </w:rPr>
        <w:t xml:space="preserve">. </w:t>
      </w:r>
    </w:p>
    <w:p w:rsidR="0039573C" w:rsidRPr="006126DF" w:rsidRDefault="0039573C" w:rsidP="007F489E">
      <w:pPr>
        <w:spacing w:line="360" w:lineRule="auto"/>
        <w:ind w:firstLine="360"/>
        <w:jc w:val="both"/>
        <w:rPr>
          <w:rFonts w:ascii="Calibri" w:hAnsi="Calibri" w:cs="Calibri"/>
        </w:rPr>
      </w:pPr>
    </w:p>
    <w:p w:rsidR="0039573C" w:rsidRPr="006126DF" w:rsidRDefault="0039573C" w:rsidP="007F489E">
      <w:pPr>
        <w:spacing w:line="360" w:lineRule="auto"/>
        <w:ind w:firstLine="360"/>
        <w:jc w:val="both"/>
        <w:rPr>
          <w:rFonts w:ascii="Calibri" w:hAnsi="Calibri" w:cs="Calibri"/>
        </w:rPr>
      </w:pPr>
      <w:r w:rsidRPr="006126DF">
        <w:rPr>
          <w:rFonts w:ascii="Calibri" w:hAnsi="Calibri" w:cs="Calibri"/>
        </w:rPr>
        <w:t xml:space="preserve">Die Smartphone-Bank wurde gegründet, um </w:t>
      </w:r>
      <w:r w:rsidR="00206A89" w:rsidRPr="006126DF">
        <w:rPr>
          <w:rFonts w:ascii="Calibri" w:hAnsi="Calibri" w:cs="Calibri"/>
        </w:rPr>
        <w:t xml:space="preserve">zunächst </w:t>
      </w:r>
      <w:r w:rsidRPr="006126DF">
        <w:rPr>
          <w:rFonts w:ascii="Calibri" w:hAnsi="Calibri" w:cs="Calibri"/>
        </w:rPr>
        <w:t xml:space="preserve">vor allem Teenager anzusprechen, durch ein kostenloses, mobiles Bankkonto, welches intuitiv designt ist. </w:t>
      </w:r>
      <w:r w:rsidR="00206A89" w:rsidRPr="006126DF">
        <w:rPr>
          <w:rFonts w:ascii="Calibri" w:hAnsi="Calibri" w:cs="Calibri"/>
        </w:rPr>
        <w:t xml:space="preserve">Sie boten auch die Möglichkeit an, für Eltern die finanziellen Transaktionen ihrer Kinder zu verfolgen. </w:t>
      </w:r>
      <w:r w:rsidR="00A00925" w:rsidRPr="006126DF">
        <w:rPr>
          <w:rFonts w:ascii="Calibri" w:hAnsi="Calibri" w:cs="Calibri"/>
        </w:rPr>
        <w:t xml:space="preserve">Höhere Nachfrage außerhalb der Teenager Zielgruppe führte zu einem Strategiewechsel in 2015. </w:t>
      </w:r>
      <w:r w:rsidR="00DF2753" w:rsidRPr="006126DF">
        <w:rPr>
          <w:rFonts w:ascii="Calibri" w:hAnsi="Calibri" w:cs="Calibri"/>
        </w:rPr>
        <w:t xml:space="preserve">Das neue Ziel ist seitdem, das Privatkundengeschäft generell zu vereinfachen und es dem heutigen, </w:t>
      </w:r>
      <w:r w:rsidR="00A05566">
        <w:rPr>
          <w:rFonts w:ascii="Calibri" w:hAnsi="Calibri" w:cs="Calibri"/>
        </w:rPr>
        <w:t>S</w:t>
      </w:r>
      <w:r w:rsidR="00DF2753" w:rsidRPr="006126DF">
        <w:rPr>
          <w:rFonts w:ascii="Calibri" w:hAnsi="Calibri" w:cs="Calibri"/>
        </w:rPr>
        <w:t>martphone</w:t>
      </w:r>
      <w:r w:rsidR="00A05566">
        <w:rPr>
          <w:rFonts w:ascii="Calibri" w:hAnsi="Calibri" w:cs="Calibri"/>
        </w:rPr>
        <w:t>-</w:t>
      </w:r>
      <w:r w:rsidR="00DF2753" w:rsidRPr="006126DF">
        <w:rPr>
          <w:rFonts w:ascii="Calibri" w:hAnsi="Calibri" w:cs="Calibri"/>
        </w:rPr>
        <w:t xml:space="preserve">basierten Leben anzupassen. </w:t>
      </w:r>
    </w:p>
    <w:p w:rsidR="00143EDB" w:rsidRPr="006126DF" w:rsidRDefault="00143EDB" w:rsidP="007F489E">
      <w:pPr>
        <w:spacing w:line="360" w:lineRule="auto"/>
        <w:ind w:firstLine="360"/>
        <w:jc w:val="both"/>
        <w:rPr>
          <w:rFonts w:ascii="Calibri" w:hAnsi="Calibri" w:cs="Calibri"/>
        </w:rPr>
      </w:pPr>
    </w:p>
    <w:p w:rsidR="00143EDB" w:rsidRPr="006126DF" w:rsidRDefault="00143EDB" w:rsidP="007F489E">
      <w:pPr>
        <w:spacing w:line="360" w:lineRule="auto"/>
        <w:ind w:firstLine="360"/>
        <w:jc w:val="both"/>
        <w:rPr>
          <w:rFonts w:ascii="Calibri" w:hAnsi="Calibri" w:cs="Calibri"/>
        </w:rPr>
      </w:pPr>
      <w:r w:rsidRPr="006126DF">
        <w:rPr>
          <w:rFonts w:ascii="Calibri" w:hAnsi="Calibri" w:cs="Calibri"/>
        </w:rPr>
        <w:t>Ein großer Meilenstein war das Erlangen einer Banklizen</w:t>
      </w:r>
      <w:r w:rsidR="00A05566">
        <w:rPr>
          <w:rFonts w:ascii="Calibri" w:hAnsi="Calibri" w:cs="Calibri"/>
        </w:rPr>
        <w:t>z</w:t>
      </w:r>
      <w:r w:rsidRPr="006126DF">
        <w:rPr>
          <w:rFonts w:ascii="Calibri" w:hAnsi="Calibri" w:cs="Calibri"/>
        </w:rPr>
        <w:t xml:space="preserve"> in 2016. Bis dahin war N26 auf eine Kooperation mit der Wirecard Bank angewiesen. </w:t>
      </w:r>
      <w:r w:rsidR="000A7993" w:rsidRPr="006126DF">
        <w:rPr>
          <w:rFonts w:ascii="Calibri" w:hAnsi="Calibri" w:cs="Calibri"/>
        </w:rPr>
        <w:t>N26 ist ein</w:t>
      </w:r>
      <w:r w:rsidR="00FC32E0" w:rsidRPr="006126DF">
        <w:rPr>
          <w:rFonts w:ascii="Calibri" w:hAnsi="Calibri" w:cs="Calibri"/>
        </w:rPr>
        <w:t>es</w:t>
      </w:r>
      <w:r w:rsidR="000A7993" w:rsidRPr="006126DF">
        <w:rPr>
          <w:rFonts w:ascii="Calibri" w:hAnsi="Calibri" w:cs="Calibri"/>
        </w:rPr>
        <w:t xml:space="preserve"> der ersten Startups, welches eine volle eruopäische Banklizens besitzt. </w:t>
      </w:r>
      <w:r w:rsidR="006B15F0" w:rsidRPr="006126DF">
        <w:rPr>
          <w:rFonts w:ascii="Calibri" w:hAnsi="Calibri" w:cs="Calibri"/>
        </w:rPr>
        <w:t xml:space="preserve">N26 hat in der Folge ihre Angebote ausgeweitet, bestehend aus Krediten, Sparkonten, Investmentplänen und mehr. </w:t>
      </w:r>
    </w:p>
    <w:p w:rsidR="0026706B" w:rsidRPr="006126DF" w:rsidRDefault="0026706B" w:rsidP="007F489E">
      <w:pPr>
        <w:spacing w:line="360" w:lineRule="auto"/>
        <w:jc w:val="both"/>
        <w:rPr>
          <w:rFonts w:ascii="Calibri" w:hAnsi="Calibri" w:cs="Calibri"/>
        </w:rPr>
      </w:pPr>
    </w:p>
    <w:p w:rsidR="00FC32E0" w:rsidRPr="006126DF" w:rsidRDefault="00FC32E0" w:rsidP="007F489E">
      <w:pPr>
        <w:spacing w:line="360" w:lineRule="auto"/>
        <w:ind w:firstLine="360"/>
        <w:jc w:val="both"/>
        <w:rPr>
          <w:rFonts w:ascii="Calibri" w:hAnsi="Calibri" w:cs="Calibri"/>
        </w:rPr>
      </w:pPr>
      <w:r w:rsidRPr="006126DF">
        <w:rPr>
          <w:rFonts w:ascii="Calibri" w:hAnsi="Calibri" w:cs="Calibri"/>
        </w:rPr>
        <w:t xml:space="preserve">Das Business Modell von N26 unterscheidet sich von traditionellen und Direktbanken durch den Fokus auf Mobile. </w:t>
      </w:r>
      <w:r w:rsidR="001C3553" w:rsidRPr="006126DF">
        <w:rPr>
          <w:rFonts w:ascii="Calibri" w:hAnsi="Calibri" w:cs="Calibri"/>
        </w:rPr>
        <w:t xml:space="preserve">Kostenlose Bankkonton bieten insbesondere </w:t>
      </w:r>
      <w:r w:rsidR="00A05566">
        <w:rPr>
          <w:rFonts w:ascii="Calibri" w:hAnsi="Calibri" w:cs="Calibri"/>
        </w:rPr>
        <w:t xml:space="preserve">auch </w:t>
      </w:r>
      <w:r w:rsidR="001C3553" w:rsidRPr="006126DF">
        <w:rPr>
          <w:rFonts w:ascii="Calibri" w:hAnsi="Calibri" w:cs="Calibri"/>
        </w:rPr>
        <w:t xml:space="preserve">einige Direktbanken im deutschsprachigem Raum an und ist daher nicht einzigartig für N26. </w:t>
      </w:r>
      <w:r w:rsidR="0026706B" w:rsidRPr="006126DF">
        <w:rPr>
          <w:rFonts w:ascii="Calibri" w:hAnsi="Calibri" w:cs="Calibri"/>
        </w:rPr>
        <w:t xml:space="preserve">Gegenüber Direktbanken versucht sich N26 durch mehr Angebote abzuheben. Eines der wichtigsten Alleinstellungsmerkmale von N26 liegt aber in ihrer App. </w:t>
      </w:r>
      <w:r w:rsidR="009D05E0" w:rsidRPr="006126DF">
        <w:rPr>
          <w:rFonts w:ascii="Calibri" w:hAnsi="Calibri" w:cs="Calibri"/>
        </w:rPr>
        <w:t>Das moderne und intuitive Layout wird von Kunden besonders geschätzt</w:t>
      </w:r>
      <w:r w:rsidR="00E04618">
        <w:rPr>
          <w:rFonts w:ascii="Calibri" w:hAnsi="Calibri" w:cs="Calibri"/>
        </w:rPr>
        <w:t xml:space="preserve"> (</w:t>
      </w:r>
      <w:r w:rsidR="00E04618" w:rsidRPr="00874AC9">
        <w:rPr>
          <w:rFonts w:ascii="Calibri" w:hAnsi="Calibri"/>
          <w:color w:val="000000" w:themeColor="text1"/>
        </w:rPr>
        <w:t>Romanova</w:t>
      </w:r>
      <w:r w:rsidR="00E04618">
        <w:rPr>
          <w:rFonts w:ascii="Calibri" w:hAnsi="Calibri"/>
          <w:color w:val="000000" w:themeColor="text1"/>
        </w:rPr>
        <w:t xml:space="preserve"> </w:t>
      </w:r>
      <w:r w:rsidR="00E04618" w:rsidRPr="00874AC9">
        <w:rPr>
          <w:rFonts w:ascii="Calibri" w:hAnsi="Calibri"/>
          <w:color w:val="000000" w:themeColor="text1"/>
        </w:rPr>
        <w:t>&amp; Kudinska</w:t>
      </w:r>
      <w:r w:rsidR="00E04618">
        <w:rPr>
          <w:rFonts w:ascii="Calibri" w:hAnsi="Calibri" w:cs="Calibri"/>
        </w:rPr>
        <w:t>, 2016)</w:t>
      </w:r>
      <w:r w:rsidR="009D05E0" w:rsidRPr="006126DF">
        <w:rPr>
          <w:rFonts w:ascii="Calibri" w:hAnsi="Calibri" w:cs="Calibri"/>
        </w:rPr>
        <w:t xml:space="preserve">. </w:t>
      </w:r>
    </w:p>
    <w:p w:rsidR="00504B59" w:rsidRPr="006126DF" w:rsidRDefault="00504B59" w:rsidP="007F489E">
      <w:pPr>
        <w:spacing w:line="360" w:lineRule="auto"/>
        <w:jc w:val="both"/>
        <w:rPr>
          <w:rFonts w:ascii="Calibri" w:hAnsi="Calibri" w:cs="Calibri"/>
        </w:rPr>
      </w:pPr>
    </w:p>
    <w:p w:rsidR="008C02EA" w:rsidRPr="006126DF" w:rsidRDefault="00AF4BB0" w:rsidP="007F489E">
      <w:pPr>
        <w:pStyle w:val="berschrift2"/>
        <w:spacing w:line="360" w:lineRule="auto"/>
        <w:rPr>
          <w:rFonts w:eastAsia="Times New Roman"/>
        </w:rPr>
      </w:pPr>
      <w:bookmarkStart w:id="18" w:name="_Toc11850914"/>
      <w:r>
        <w:rPr>
          <w:rFonts w:eastAsia="Times New Roman"/>
        </w:rPr>
        <w:t>5</w:t>
      </w:r>
      <w:r w:rsidR="00B26BEE">
        <w:rPr>
          <w:rFonts w:eastAsia="Times New Roman"/>
        </w:rPr>
        <w:t xml:space="preserve">.2 </w:t>
      </w:r>
      <w:r w:rsidR="008C02EA" w:rsidRPr="006126DF">
        <w:rPr>
          <w:rFonts w:eastAsia="Times New Roman"/>
        </w:rPr>
        <w:t>Direktbanken</w:t>
      </w:r>
      <w:r w:rsidR="00A05566">
        <w:rPr>
          <w:rFonts w:eastAsia="Times New Roman"/>
        </w:rPr>
        <w:t>: I</w:t>
      </w:r>
      <w:r w:rsidR="00407E7D" w:rsidRPr="006126DF">
        <w:rPr>
          <w:rFonts w:eastAsia="Times New Roman"/>
        </w:rPr>
        <w:t>NG-Diba</w:t>
      </w:r>
      <w:bookmarkEnd w:id="18"/>
      <w:r w:rsidR="00407E7D" w:rsidRPr="006126DF">
        <w:rPr>
          <w:rFonts w:eastAsia="Times New Roman"/>
        </w:rPr>
        <w:t xml:space="preserve"> </w:t>
      </w:r>
    </w:p>
    <w:p w:rsidR="00407E7D" w:rsidRPr="006126DF" w:rsidRDefault="00407E7D" w:rsidP="007F489E">
      <w:pPr>
        <w:spacing w:line="360" w:lineRule="auto"/>
        <w:jc w:val="both"/>
        <w:rPr>
          <w:rFonts w:ascii="Calibri" w:hAnsi="Calibri" w:cs="Calibri"/>
        </w:rPr>
      </w:pPr>
      <w:r w:rsidRPr="006126DF">
        <w:rPr>
          <w:rFonts w:ascii="Calibri" w:hAnsi="Calibri" w:cs="Calibri"/>
          <w:b/>
        </w:rPr>
        <w:tab/>
      </w:r>
      <w:r w:rsidRPr="006126DF">
        <w:rPr>
          <w:rFonts w:ascii="Calibri" w:hAnsi="Calibri" w:cs="Calibri"/>
        </w:rPr>
        <w:t xml:space="preserve">ING-Diba ist derzeitiger Marktführer der Direktbanken in Deutschland. Die Bank bietet das volle Spektrum von Privatkundendienstleistungen an. Dazu gehören traditionelle Girokonten, Kredite, bis hin zu Investment Depots. </w:t>
      </w:r>
      <w:r w:rsidR="005B389E" w:rsidRPr="006126DF">
        <w:rPr>
          <w:rFonts w:ascii="Calibri" w:hAnsi="Calibri" w:cs="Calibri"/>
        </w:rPr>
        <w:t xml:space="preserve">ING-Diba hat 8,5 Millionen Kunden in Deutschland und 500.000 in Österreich. </w:t>
      </w:r>
    </w:p>
    <w:p w:rsidR="004B5E12" w:rsidRPr="006126DF" w:rsidRDefault="004B5E12" w:rsidP="007F489E">
      <w:pPr>
        <w:spacing w:line="360" w:lineRule="auto"/>
        <w:jc w:val="both"/>
        <w:rPr>
          <w:rFonts w:ascii="Calibri" w:hAnsi="Calibri" w:cs="Calibri"/>
        </w:rPr>
      </w:pPr>
    </w:p>
    <w:p w:rsidR="004B5E12" w:rsidRPr="006126DF" w:rsidRDefault="004B5E12" w:rsidP="007F489E">
      <w:pPr>
        <w:spacing w:line="360" w:lineRule="auto"/>
        <w:jc w:val="both"/>
        <w:rPr>
          <w:rFonts w:ascii="Calibri" w:hAnsi="Calibri" w:cs="Calibri"/>
        </w:rPr>
      </w:pPr>
      <w:r w:rsidRPr="006126DF">
        <w:rPr>
          <w:rFonts w:ascii="Calibri" w:hAnsi="Calibri" w:cs="Calibri"/>
        </w:rPr>
        <w:tab/>
        <w:t>Die ING-Diba sticht hervor durch eine Direktbank</w:t>
      </w:r>
      <w:r w:rsidR="00A05566">
        <w:rPr>
          <w:rFonts w:ascii="Calibri" w:hAnsi="Calibri" w:cs="Calibri"/>
        </w:rPr>
        <w:t>-</w:t>
      </w:r>
      <w:r w:rsidRPr="006126DF">
        <w:rPr>
          <w:rFonts w:ascii="Calibri" w:hAnsi="Calibri" w:cs="Calibri"/>
        </w:rPr>
        <w:t>Strategie und hat Prozesse zur Effizienzsteigerung innovativ erneuert</w:t>
      </w:r>
      <w:r w:rsidR="006B11F4">
        <w:rPr>
          <w:rFonts w:ascii="Calibri" w:hAnsi="Calibri" w:cs="Calibri"/>
        </w:rPr>
        <w:t xml:space="preserve"> (Knauseder, 2019)</w:t>
      </w:r>
      <w:r w:rsidRPr="006126DF">
        <w:rPr>
          <w:rFonts w:ascii="Calibri" w:hAnsi="Calibri" w:cs="Calibri"/>
        </w:rPr>
        <w:t xml:space="preserve">. </w:t>
      </w:r>
      <w:r w:rsidR="00804982" w:rsidRPr="006126DF">
        <w:rPr>
          <w:rFonts w:ascii="Calibri" w:hAnsi="Calibri" w:cs="Calibri"/>
        </w:rPr>
        <w:t xml:space="preserve">In 2014 hat die Bank Video Legitimation für Bankeröffnungen eingeführt. </w:t>
      </w:r>
      <w:r w:rsidR="009169A0" w:rsidRPr="006126DF">
        <w:rPr>
          <w:rFonts w:ascii="Calibri" w:hAnsi="Calibri" w:cs="Calibri"/>
        </w:rPr>
        <w:t xml:space="preserve">Somit mussten Neukunden nicht mehr das Haus verlassen, um sich ein neues Konto zu eröffnen. </w:t>
      </w:r>
      <w:r w:rsidR="00CC0F83" w:rsidRPr="006126DF">
        <w:rPr>
          <w:rFonts w:ascii="Calibri" w:hAnsi="Calibri" w:cs="Calibri"/>
        </w:rPr>
        <w:t>Darüber hinaus hat ING-Diba</w:t>
      </w:r>
      <w:r w:rsidR="009616BB" w:rsidRPr="006126DF">
        <w:rPr>
          <w:rFonts w:ascii="Calibri" w:hAnsi="Calibri" w:cs="Calibri"/>
        </w:rPr>
        <w:t xml:space="preserve"> 2015</w:t>
      </w:r>
      <w:r w:rsidR="00CC0F83" w:rsidRPr="006126DF">
        <w:rPr>
          <w:rFonts w:ascii="Calibri" w:hAnsi="Calibri" w:cs="Calibri"/>
        </w:rPr>
        <w:t xml:space="preserve"> „SmartSecure“ </w:t>
      </w:r>
      <w:r w:rsidR="009616BB" w:rsidRPr="006126DF">
        <w:rPr>
          <w:rFonts w:ascii="Calibri" w:hAnsi="Calibri" w:cs="Calibri"/>
        </w:rPr>
        <w:t>eingeführt</w:t>
      </w:r>
      <w:r w:rsidR="00CC0F83" w:rsidRPr="006126DF">
        <w:rPr>
          <w:rFonts w:ascii="Calibri" w:hAnsi="Calibri" w:cs="Calibri"/>
        </w:rPr>
        <w:t xml:space="preserve">. </w:t>
      </w:r>
      <w:r w:rsidR="009616BB" w:rsidRPr="006126DF">
        <w:rPr>
          <w:rFonts w:ascii="Calibri" w:hAnsi="Calibri" w:cs="Calibri"/>
        </w:rPr>
        <w:t>Bei Nutzung der App für Überweisungen, müssen Kunden nicht mehr eine TAN eingeben, sondern ein Passwort eingeben.</w:t>
      </w:r>
      <w:r w:rsidR="00B338D2" w:rsidRPr="006126DF">
        <w:rPr>
          <w:rFonts w:ascii="Calibri" w:hAnsi="Calibri" w:cs="Calibri"/>
        </w:rPr>
        <w:t xml:space="preserve"> Ebenfalls im Jahr 2015 hat ING-Diba einen mobilen Kreditwürdigkeits-Check implementiert. Durch diesen, kann jeder Kunde direkt erfahren, ob er/sie berechtigt ist, einen Kredit zu beantragen. </w:t>
      </w:r>
      <w:r w:rsidR="00591F47" w:rsidRPr="006126DF">
        <w:rPr>
          <w:rFonts w:ascii="Calibri" w:hAnsi="Calibri" w:cs="Calibri"/>
        </w:rPr>
        <w:t xml:space="preserve">Eine weitere, nennenswerte Neuerung bestand in der Schaffung einer Technologie, die es ermöglicht alle Daten von anderen Bankkonten (anderer Banken) auf der ING-Diba App darzustellen und so für einen besseren Überblick für Endkunden zu sorgen. </w:t>
      </w:r>
    </w:p>
    <w:p w:rsidR="00201176" w:rsidRPr="006126DF" w:rsidRDefault="00201176" w:rsidP="007F489E">
      <w:pPr>
        <w:spacing w:line="360" w:lineRule="auto"/>
        <w:jc w:val="both"/>
        <w:rPr>
          <w:rFonts w:ascii="Calibri" w:hAnsi="Calibri" w:cs="Calibri"/>
        </w:rPr>
      </w:pPr>
    </w:p>
    <w:p w:rsidR="00201176" w:rsidRPr="006126DF" w:rsidRDefault="00201176" w:rsidP="007F489E">
      <w:pPr>
        <w:spacing w:line="360" w:lineRule="auto"/>
        <w:jc w:val="both"/>
        <w:rPr>
          <w:rFonts w:ascii="Calibri" w:hAnsi="Calibri" w:cs="Calibri"/>
        </w:rPr>
      </w:pPr>
      <w:r w:rsidRPr="006126DF">
        <w:rPr>
          <w:rFonts w:ascii="Calibri" w:hAnsi="Calibri" w:cs="Calibri"/>
        </w:rPr>
        <w:tab/>
        <w:t xml:space="preserve">Durch konstante Innovation und Fokus auf eine angenehme, einfache User Experience für den Kunden, hat ING-Diba es geschafft Kunden zu gewinnen und dabei auch selbst profitabler zu werden. Die untenstehende </w:t>
      </w:r>
      <w:r w:rsidR="00745003">
        <w:rPr>
          <w:rFonts w:ascii="Calibri" w:hAnsi="Calibri" w:cs="Calibri"/>
        </w:rPr>
        <w:t>Abbildung 7</w:t>
      </w:r>
      <w:r w:rsidRPr="006126DF">
        <w:rPr>
          <w:rFonts w:ascii="Calibri" w:hAnsi="Calibri" w:cs="Calibri"/>
        </w:rPr>
        <w:t xml:space="preserve"> vergleicht die Performanceentwicklung von den wichtigsten Key Performance Indikatoren (KPIs). Beachtlich ist das Wachstum bei Kunden in Deutschland und Österreich trotz bereits hohen Zahlen in 2013. Außerdem ist es ING-Diba gelungen, den Gewinn fast zu verdoppeln. </w:t>
      </w:r>
    </w:p>
    <w:p w:rsidR="00F128BE" w:rsidRPr="006126DF" w:rsidRDefault="00F128BE" w:rsidP="007F489E">
      <w:pPr>
        <w:spacing w:line="360" w:lineRule="auto"/>
        <w:jc w:val="both"/>
        <w:rPr>
          <w:rFonts w:ascii="Calibri" w:hAnsi="Calibri" w:cs="Calibri"/>
        </w:rPr>
      </w:pPr>
    </w:p>
    <w:p w:rsidR="00F128BE" w:rsidRDefault="00F128BE" w:rsidP="006E1E8D">
      <w:pPr>
        <w:spacing w:line="360" w:lineRule="auto"/>
        <w:jc w:val="center"/>
        <w:rPr>
          <w:rFonts w:ascii="Calibri" w:hAnsi="Calibri" w:cs="Calibri"/>
        </w:rPr>
      </w:pPr>
      <w:r w:rsidRPr="006126DF">
        <w:rPr>
          <w:rFonts w:ascii="Calibri" w:hAnsi="Calibri" w:cs="Calibri"/>
          <w:noProof/>
        </w:rPr>
        <w:drawing>
          <wp:inline distT="0" distB="0" distL="0" distR="0">
            <wp:extent cx="5756910" cy="124714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schirmfoto 2019-06-16 um 17.36.57.png"/>
                    <pic:cNvPicPr/>
                  </pic:nvPicPr>
                  <pic:blipFill>
                    <a:blip r:embed="rId15" cstate="email">
                      <a:extLst>
                        <a:ext uri="{28A0092B-C50C-407E-A947-70E740481C1C}">
                          <a14:useLocalDpi xmlns:a14="http://schemas.microsoft.com/office/drawing/2010/main"/>
                        </a:ext>
                      </a:extLst>
                    </a:blip>
                    <a:stretch>
                      <a:fillRect/>
                    </a:stretch>
                  </pic:blipFill>
                  <pic:spPr>
                    <a:xfrm>
                      <a:off x="0" y="0"/>
                      <a:ext cx="5756910" cy="1247140"/>
                    </a:xfrm>
                    <a:prstGeom prst="rect">
                      <a:avLst/>
                    </a:prstGeom>
                  </pic:spPr>
                </pic:pic>
              </a:graphicData>
            </a:graphic>
          </wp:inline>
        </w:drawing>
      </w:r>
    </w:p>
    <w:p w:rsidR="00B06326" w:rsidRPr="006126DF" w:rsidRDefault="00B06326" w:rsidP="006E1E8D">
      <w:pPr>
        <w:spacing w:line="360" w:lineRule="auto"/>
        <w:jc w:val="center"/>
        <w:rPr>
          <w:rFonts w:ascii="Calibri" w:hAnsi="Calibri" w:cs="Calibri"/>
        </w:rPr>
      </w:pPr>
      <w:r>
        <w:rPr>
          <w:rFonts w:ascii="Calibri" w:hAnsi="Calibri" w:cs="Calibri"/>
        </w:rPr>
        <w:t>(Abbildung 7, Quelle: ING-Diba, Knauseder)</w:t>
      </w:r>
    </w:p>
    <w:p w:rsidR="00407E7D" w:rsidRPr="006126DF" w:rsidRDefault="00407E7D" w:rsidP="007F489E">
      <w:pPr>
        <w:spacing w:line="360" w:lineRule="auto"/>
        <w:jc w:val="both"/>
        <w:rPr>
          <w:rFonts w:ascii="Calibri" w:hAnsi="Calibri" w:cs="Calibri"/>
          <w:b/>
        </w:rPr>
      </w:pPr>
    </w:p>
    <w:p w:rsidR="008C02EA" w:rsidRPr="00B152EC" w:rsidRDefault="00AF4BB0" w:rsidP="007F489E">
      <w:pPr>
        <w:pStyle w:val="berschrift2"/>
        <w:spacing w:line="360" w:lineRule="auto"/>
        <w:rPr>
          <w:rFonts w:eastAsia="Times New Roman"/>
        </w:rPr>
      </w:pPr>
      <w:bookmarkStart w:id="19" w:name="_Toc11850915"/>
      <w:r>
        <w:rPr>
          <w:rFonts w:eastAsia="Times New Roman"/>
        </w:rPr>
        <w:t>5</w:t>
      </w:r>
      <w:r w:rsidR="00B152EC" w:rsidRPr="00B152EC">
        <w:rPr>
          <w:rFonts w:eastAsia="Times New Roman"/>
        </w:rPr>
        <w:t xml:space="preserve">.3 </w:t>
      </w:r>
      <w:r w:rsidR="00A05566">
        <w:rPr>
          <w:rFonts w:eastAsia="Times New Roman"/>
        </w:rPr>
        <w:t>Alternative Finanzdienstleister: PayPal</w:t>
      </w:r>
      <w:bookmarkEnd w:id="19"/>
    </w:p>
    <w:p w:rsidR="0091150A" w:rsidRDefault="005B59C7" w:rsidP="007F489E">
      <w:pPr>
        <w:spacing w:line="360" w:lineRule="auto"/>
        <w:ind w:firstLine="360"/>
        <w:jc w:val="both"/>
        <w:rPr>
          <w:rFonts w:ascii="Calibri" w:hAnsi="Calibri" w:cs="Calibri"/>
        </w:rPr>
      </w:pPr>
      <w:r w:rsidRPr="006126DF">
        <w:rPr>
          <w:rFonts w:ascii="Calibri" w:hAnsi="Calibri" w:cs="Calibri"/>
        </w:rPr>
        <w:t>Pay</w:t>
      </w:r>
      <w:r w:rsidR="001C12CA" w:rsidRPr="006126DF">
        <w:rPr>
          <w:rFonts w:ascii="Calibri" w:hAnsi="Calibri" w:cs="Calibri"/>
        </w:rPr>
        <w:t>P</w:t>
      </w:r>
      <w:r w:rsidRPr="006126DF">
        <w:rPr>
          <w:rFonts w:ascii="Calibri" w:hAnsi="Calibri" w:cs="Calibri"/>
        </w:rPr>
        <w:t xml:space="preserve">al ist zwar keine Bank und doch fürchten sich viele traditionelle Banken vor dem Unternehmen. </w:t>
      </w:r>
      <w:r w:rsidR="00C6108C" w:rsidRPr="006126DF">
        <w:rPr>
          <w:rFonts w:ascii="Calibri" w:hAnsi="Calibri" w:cs="Calibri"/>
        </w:rPr>
        <w:t xml:space="preserve">Denn </w:t>
      </w:r>
      <w:r w:rsidR="001C12CA" w:rsidRPr="006126DF">
        <w:rPr>
          <w:rFonts w:ascii="Calibri" w:hAnsi="Calibri" w:cs="Calibri"/>
        </w:rPr>
        <w:t>PayPals</w:t>
      </w:r>
      <w:r w:rsidR="00C6108C" w:rsidRPr="006126DF">
        <w:rPr>
          <w:rFonts w:ascii="Calibri" w:hAnsi="Calibri" w:cs="Calibri"/>
        </w:rPr>
        <w:t xml:space="preserve"> Kundeneinlagen gehören zu den höchsten weltweit und das, obwohl sich nur durchschnittlich $70 auf einem Konto befinden</w:t>
      </w:r>
      <w:r w:rsidR="00496219">
        <w:rPr>
          <w:rFonts w:ascii="Calibri" w:hAnsi="Calibri" w:cs="Calibri"/>
        </w:rPr>
        <w:t xml:space="preserve"> (Meola, 2016)</w:t>
      </w:r>
      <w:r w:rsidR="00C6108C" w:rsidRPr="006126DF">
        <w:rPr>
          <w:rFonts w:ascii="Calibri" w:hAnsi="Calibri" w:cs="Calibri"/>
        </w:rPr>
        <w:t xml:space="preserve">. </w:t>
      </w:r>
      <w:r w:rsidR="00BA04BC" w:rsidRPr="006126DF">
        <w:rPr>
          <w:rFonts w:ascii="Calibri" w:hAnsi="Calibri" w:cs="Calibri"/>
        </w:rPr>
        <w:t xml:space="preserve">Auf </w:t>
      </w:r>
      <w:r w:rsidR="001C12CA" w:rsidRPr="006126DF">
        <w:rPr>
          <w:rFonts w:ascii="Calibri" w:hAnsi="Calibri" w:cs="Calibri"/>
        </w:rPr>
        <w:t>PayPals</w:t>
      </w:r>
      <w:r w:rsidR="00BA04BC" w:rsidRPr="006126DF">
        <w:rPr>
          <w:rFonts w:ascii="Calibri" w:hAnsi="Calibri" w:cs="Calibri"/>
        </w:rPr>
        <w:t xml:space="preserve"> Konten liegt zwar relativ wenig Geld, doch hat </w:t>
      </w:r>
      <w:r w:rsidR="001C12CA" w:rsidRPr="006126DF">
        <w:rPr>
          <w:rFonts w:ascii="Calibri" w:hAnsi="Calibri" w:cs="Calibri"/>
        </w:rPr>
        <w:t>PayPal</w:t>
      </w:r>
      <w:r w:rsidR="00BA04BC" w:rsidRPr="006126DF">
        <w:rPr>
          <w:rFonts w:ascii="Calibri" w:hAnsi="Calibri" w:cs="Calibri"/>
        </w:rPr>
        <w:t xml:space="preserve"> eine deutlich höheres Transaktionsvolumen als traditionelle Banken. </w:t>
      </w:r>
      <w:r w:rsidR="001C12CA" w:rsidRPr="006126DF">
        <w:rPr>
          <w:rFonts w:ascii="Calibri" w:hAnsi="Calibri" w:cs="Calibri"/>
        </w:rPr>
        <w:t xml:space="preserve">Denn für die Nutzung von PayPal ist kein Guthaben nötig, stattdessen wird der entsprechende Betrag von einem Referenzkonto abgebucht. </w:t>
      </w:r>
      <w:r w:rsidR="0087592E" w:rsidRPr="006126DF">
        <w:rPr>
          <w:rFonts w:ascii="Calibri" w:hAnsi="Calibri" w:cs="Calibri"/>
        </w:rPr>
        <w:t xml:space="preserve">Nichtsdestotrotz können Nutzer auch Geld auf ihrem PayPal Konto halten und damit offline und online bezahlen. </w:t>
      </w:r>
      <w:r w:rsidR="001B4FF0" w:rsidRPr="006126DF">
        <w:rPr>
          <w:rFonts w:ascii="Calibri" w:hAnsi="Calibri" w:cs="Calibri"/>
        </w:rPr>
        <w:t>In den USA bietet Pay</w:t>
      </w:r>
      <w:r w:rsidR="00A05566">
        <w:rPr>
          <w:rFonts w:ascii="Calibri" w:hAnsi="Calibri" w:cs="Calibri"/>
        </w:rPr>
        <w:t>P</w:t>
      </w:r>
      <w:r w:rsidR="001B4FF0" w:rsidRPr="006126DF">
        <w:rPr>
          <w:rFonts w:ascii="Calibri" w:hAnsi="Calibri" w:cs="Calibri"/>
        </w:rPr>
        <w:t xml:space="preserve">al auch </w:t>
      </w:r>
      <w:r w:rsidR="00A05566">
        <w:rPr>
          <w:rFonts w:ascii="Calibri" w:hAnsi="Calibri" w:cs="Calibri"/>
        </w:rPr>
        <w:t>durch</w:t>
      </w:r>
      <w:r w:rsidR="001B4FF0" w:rsidRPr="006126DF">
        <w:rPr>
          <w:rFonts w:ascii="Calibri" w:hAnsi="Calibri" w:cs="Calibri"/>
        </w:rPr>
        <w:t xml:space="preserve"> Kooperationen Kredite und Kreditkarten an.</w:t>
      </w:r>
      <w:r w:rsidR="005E1610" w:rsidRPr="006126DF">
        <w:rPr>
          <w:rFonts w:ascii="Calibri" w:hAnsi="Calibri" w:cs="Calibri"/>
        </w:rPr>
        <w:t xml:space="preserve"> </w:t>
      </w:r>
      <w:r w:rsidR="006D24F6" w:rsidRPr="006126DF">
        <w:rPr>
          <w:rFonts w:ascii="Calibri" w:hAnsi="Calibri" w:cs="Calibri"/>
        </w:rPr>
        <w:t>PayPals Stärken liegen in der Technologie, die sichere und sekundenschnelle Geldtransfers erlaubt</w:t>
      </w:r>
      <w:r w:rsidR="00E04B91">
        <w:rPr>
          <w:rFonts w:ascii="Calibri" w:hAnsi="Calibri" w:cs="Calibri"/>
        </w:rPr>
        <w:t xml:space="preserve"> (Meola, 2016)</w:t>
      </w:r>
      <w:r w:rsidR="006D24F6" w:rsidRPr="006126DF">
        <w:rPr>
          <w:rFonts w:ascii="Calibri" w:hAnsi="Calibri" w:cs="Calibri"/>
        </w:rPr>
        <w:t xml:space="preserve">. </w:t>
      </w:r>
    </w:p>
    <w:p w:rsidR="00AF4BB0" w:rsidRPr="005F5E21" w:rsidRDefault="00AF4BB0" w:rsidP="007F489E">
      <w:pPr>
        <w:spacing w:line="360" w:lineRule="auto"/>
        <w:ind w:firstLine="360"/>
        <w:jc w:val="both"/>
        <w:rPr>
          <w:rFonts w:ascii="Calibri" w:hAnsi="Calibri" w:cs="Calibri"/>
        </w:rPr>
      </w:pPr>
    </w:p>
    <w:p w:rsidR="008C02EA" w:rsidRPr="006126DF" w:rsidRDefault="00AF4BB0" w:rsidP="007F489E">
      <w:pPr>
        <w:pStyle w:val="berschrift2"/>
        <w:spacing w:line="360" w:lineRule="auto"/>
        <w:rPr>
          <w:rFonts w:eastAsia="Times New Roman"/>
        </w:rPr>
      </w:pPr>
      <w:bookmarkStart w:id="20" w:name="_Toc11850916"/>
      <w:r>
        <w:rPr>
          <w:rFonts w:eastAsia="Times New Roman"/>
        </w:rPr>
        <w:t>5</w:t>
      </w:r>
      <w:r w:rsidR="00B152EC">
        <w:rPr>
          <w:rFonts w:eastAsia="Times New Roman"/>
        </w:rPr>
        <w:t xml:space="preserve">.4 </w:t>
      </w:r>
      <w:r w:rsidR="008C02EA" w:rsidRPr="006126DF">
        <w:rPr>
          <w:rFonts w:eastAsia="Times New Roman"/>
        </w:rPr>
        <w:t>Kryptowährungen</w:t>
      </w:r>
      <w:r w:rsidR="005E0AA0">
        <w:rPr>
          <w:rFonts w:eastAsia="Times New Roman"/>
        </w:rPr>
        <w:t>:</w:t>
      </w:r>
      <w:r w:rsidR="0046022B" w:rsidRPr="006126DF">
        <w:rPr>
          <w:rFonts w:eastAsia="Times New Roman"/>
        </w:rPr>
        <w:t xml:space="preserve"> Bitcoin</w:t>
      </w:r>
      <w:bookmarkEnd w:id="20"/>
    </w:p>
    <w:p w:rsidR="0046022B" w:rsidRPr="006126DF" w:rsidRDefault="003068CB" w:rsidP="007F489E">
      <w:pPr>
        <w:spacing w:line="360" w:lineRule="auto"/>
        <w:ind w:firstLine="360"/>
        <w:jc w:val="both"/>
        <w:rPr>
          <w:rFonts w:ascii="Calibri" w:hAnsi="Calibri" w:cs="Calibri"/>
        </w:rPr>
      </w:pPr>
      <w:r w:rsidRPr="006126DF">
        <w:rPr>
          <w:rFonts w:ascii="Calibri" w:hAnsi="Calibri" w:cs="Calibri"/>
        </w:rPr>
        <w:t xml:space="preserve">Kryptowährungen wie Bitcoin oder Ethereum haben in den letzten Jahren viel Aufmerksamkeit erhalten. Die Preise sind zunächst spektakulär gestiegen, ehe sie – ebenso spektakulär - wieder eingebrochen sind. </w:t>
      </w:r>
      <w:r w:rsidR="001A4C41" w:rsidRPr="006126DF">
        <w:rPr>
          <w:rFonts w:ascii="Calibri" w:hAnsi="Calibri" w:cs="Calibri"/>
        </w:rPr>
        <w:t xml:space="preserve">Obwohl Kryptowährungen „nur“ Währungen sind sehen sich Banken von ihnen bedroht. In einem Szenario, dass Kryptowährungen, wie Bitcoin, die klassischen Währungen ersetzt, spielen Banken eine deutlich unwichtigere Rolle als heute. </w:t>
      </w:r>
      <w:r w:rsidR="004D4A4F" w:rsidRPr="006126DF">
        <w:rPr>
          <w:rFonts w:ascii="Calibri" w:hAnsi="Calibri" w:cs="Calibri"/>
        </w:rPr>
        <w:t xml:space="preserve">Das Auslassen eines Intermediäres bei der Nutzung von Kryptowährungen, macht eine Untersuchung besonders interessant, da Bitcoin und </w:t>
      </w:r>
      <w:r w:rsidR="00965C9D" w:rsidRPr="006126DF">
        <w:rPr>
          <w:rFonts w:ascii="Calibri" w:hAnsi="Calibri" w:cs="Calibri"/>
        </w:rPr>
        <w:t>Konsorten</w:t>
      </w:r>
      <w:r w:rsidR="004D4A4F" w:rsidRPr="006126DF">
        <w:rPr>
          <w:rFonts w:ascii="Calibri" w:hAnsi="Calibri" w:cs="Calibri"/>
        </w:rPr>
        <w:t xml:space="preserve"> ein </w:t>
      </w:r>
      <w:r w:rsidR="00965C9D" w:rsidRPr="006126DF">
        <w:rPr>
          <w:rFonts w:ascii="Calibri" w:hAnsi="Calibri" w:cs="Calibri"/>
        </w:rPr>
        <w:t>klassisches</w:t>
      </w:r>
      <w:r w:rsidR="004D4A4F" w:rsidRPr="006126DF">
        <w:rPr>
          <w:rFonts w:ascii="Calibri" w:hAnsi="Calibri" w:cs="Calibri"/>
        </w:rPr>
        <w:t xml:space="preserve"> Tauschgeschäft ermöglichen könnten und demzufolge eine Evaluierung nach der </w:t>
      </w:r>
      <w:r w:rsidR="00965C9D" w:rsidRPr="006126DF">
        <w:rPr>
          <w:rFonts w:ascii="Calibri" w:hAnsi="Calibri" w:cs="Calibri"/>
        </w:rPr>
        <w:t>Gerechtigkeit</w:t>
      </w:r>
      <w:r w:rsidR="004D4A4F" w:rsidRPr="006126DF">
        <w:rPr>
          <w:rFonts w:ascii="Calibri" w:hAnsi="Calibri" w:cs="Calibri"/>
        </w:rPr>
        <w:t xml:space="preserve"> möglich ist.</w:t>
      </w:r>
      <w:r w:rsidR="00CA7CA5" w:rsidRPr="006126DF">
        <w:rPr>
          <w:rFonts w:ascii="Calibri" w:hAnsi="Calibri" w:cs="Calibri"/>
        </w:rPr>
        <w:t xml:space="preserve"> Im Folgenden möchte ich daher Bitcoin, als größte Kryptowährung untersuchen und Chancen Risiken darstellen, ob Kryptowährungen </w:t>
      </w:r>
      <w:r w:rsidR="0013702D">
        <w:rPr>
          <w:rFonts w:ascii="Calibri" w:hAnsi="Calibri" w:cs="Calibri"/>
        </w:rPr>
        <w:t xml:space="preserve">Transaktionen </w:t>
      </w:r>
      <w:r w:rsidR="00CA7CA5" w:rsidRPr="006126DF">
        <w:rPr>
          <w:rFonts w:ascii="Calibri" w:hAnsi="Calibri" w:cs="Calibri"/>
        </w:rPr>
        <w:t>gerecht</w:t>
      </w:r>
      <w:r w:rsidR="0013702D">
        <w:rPr>
          <w:rFonts w:ascii="Calibri" w:hAnsi="Calibri" w:cs="Calibri"/>
        </w:rPr>
        <w:t xml:space="preserve"> sind oder gerechter machen können</w:t>
      </w:r>
      <w:r w:rsidR="00CA7CA5" w:rsidRPr="006126DF">
        <w:rPr>
          <w:rFonts w:ascii="Calibri" w:hAnsi="Calibri" w:cs="Calibri"/>
        </w:rPr>
        <w:t>.</w:t>
      </w:r>
    </w:p>
    <w:p w:rsidR="00C25567" w:rsidRPr="006126DF" w:rsidRDefault="00C25567" w:rsidP="007F489E">
      <w:pPr>
        <w:spacing w:line="360" w:lineRule="auto"/>
        <w:ind w:firstLine="360"/>
        <w:jc w:val="both"/>
        <w:rPr>
          <w:rFonts w:ascii="Calibri" w:hAnsi="Calibri" w:cs="Calibri"/>
        </w:rPr>
      </w:pPr>
    </w:p>
    <w:p w:rsidR="00C16A95" w:rsidRPr="006126DF" w:rsidRDefault="00C25567" w:rsidP="007F489E">
      <w:pPr>
        <w:spacing w:line="360" w:lineRule="auto"/>
        <w:ind w:firstLine="360"/>
        <w:jc w:val="both"/>
        <w:rPr>
          <w:rFonts w:ascii="Calibri" w:hAnsi="Calibri" w:cs="Calibri"/>
        </w:rPr>
      </w:pPr>
      <w:r w:rsidRPr="006126DF">
        <w:rPr>
          <w:rFonts w:ascii="Calibri" w:hAnsi="Calibri" w:cs="Calibri"/>
        </w:rPr>
        <w:t xml:space="preserve">Die Idee von Bitcoin wurde 2008 von Satoshi Nakamoto auf Papier gebracht. Nakamoto ist ein Pseudonym für ein Individuum (oder Gruppe), die hinter der Erfindung stehen. </w:t>
      </w:r>
      <w:r w:rsidR="00F812FE" w:rsidRPr="006126DF">
        <w:rPr>
          <w:rFonts w:ascii="Calibri" w:hAnsi="Calibri" w:cs="Calibri"/>
        </w:rPr>
        <w:t>Die Idee stammt zum Teil aus der Kryptographie des Beginns des 20. Jahrhunderts.</w:t>
      </w:r>
    </w:p>
    <w:p w:rsidR="00C16A95" w:rsidRPr="006126DF" w:rsidRDefault="00C16A95" w:rsidP="007F489E">
      <w:pPr>
        <w:spacing w:line="360" w:lineRule="auto"/>
        <w:ind w:firstLine="360"/>
        <w:jc w:val="both"/>
        <w:rPr>
          <w:rFonts w:ascii="Calibri" w:hAnsi="Calibri" w:cs="Calibri"/>
        </w:rPr>
      </w:pPr>
    </w:p>
    <w:p w:rsidR="00D108AF" w:rsidRDefault="00C16A95" w:rsidP="007F489E">
      <w:pPr>
        <w:spacing w:line="360" w:lineRule="auto"/>
        <w:ind w:firstLine="360"/>
        <w:jc w:val="both"/>
        <w:rPr>
          <w:rFonts w:ascii="Calibri" w:hAnsi="Calibri" w:cs="Calibri"/>
        </w:rPr>
      </w:pPr>
      <w:r w:rsidRPr="006126DF">
        <w:rPr>
          <w:rFonts w:ascii="Calibri" w:hAnsi="Calibri" w:cs="Calibri"/>
        </w:rPr>
        <w:t xml:space="preserve">Nakamoto </w:t>
      </w:r>
      <w:r w:rsidR="00101450" w:rsidRPr="006126DF">
        <w:rPr>
          <w:rFonts w:ascii="Calibri" w:hAnsi="Calibri" w:cs="Calibri"/>
        </w:rPr>
        <w:t>charakterisiert</w:t>
      </w:r>
      <w:r w:rsidRPr="006126DF">
        <w:rPr>
          <w:rFonts w:ascii="Calibri" w:hAnsi="Calibri" w:cs="Calibri"/>
        </w:rPr>
        <w:t xml:space="preserve"> Bitcoin als System für elektronische Transaktionen, welches </w:t>
      </w:r>
      <w:r w:rsidRPr="00101450">
        <w:rPr>
          <w:rFonts w:ascii="Calibri" w:hAnsi="Calibri" w:cs="Calibri"/>
        </w:rPr>
        <w:t>nicht</w:t>
      </w:r>
      <w:r w:rsidRPr="006126DF">
        <w:rPr>
          <w:rFonts w:ascii="Calibri" w:hAnsi="Calibri" w:cs="Calibri"/>
          <w:i/>
        </w:rPr>
        <w:t xml:space="preserve"> </w:t>
      </w:r>
      <w:r w:rsidRPr="006126DF">
        <w:rPr>
          <w:rFonts w:ascii="Calibri" w:hAnsi="Calibri" w:cs="Calibri"/>
        </w:rPr>
        <w:t xml:space="preserve">auf Vertrauen beruht. </w:t>
      </w:r>
      <w:r w:rsidR="00332FA2" w:rsidRPr="006126DF">
        <w:rPr>
          <w:rFonts w:ascii="Calibri" w:hAnsi="Calibri" w:cs="Calibri"/>
        </w:rPr>
        <w:t xml:space="preserve">Dadurch können „Doppelzahlungen“ eliminiert werden. </w:t>
      </w:r>
      <w:r w:rsidR="00481F86" w:rsidRPr="006126DF">
        <w:rPr>
          <w:rFonts w:ascii="Calibri" w:hAnsi="Calibri" w:cs="Calibri"/>
        </w:rPr>
        <w:lastRenderedPageBreak/>
        <w:t xml:space="preserve">Doppelzahlungen </w:t>
      </w:r>
      <w:r w:rsidR="00101450" w:rsidRPr="006126DF">
        <w:rPr>
          <w:rFonts w:ascii="Calibri" w:hAnsi="Calibri" w:cs="Calibri"/>
        </w:rPr>
        <w:t>existiere</w:t>
      </w:r>
      <w:r w:rsidR="00101450">
        <w:rPr>
          <w:rFonts w:ascii="Calibri" w:hAnsi="Calibri" w:cs="Calibri"/>
        </w:rPr>
        <w:t>n</w:t>
      </w:r>
      <w:r w:rsidR="00481F86" w:rsidRPr="006126DF">
        <w:rPr>
          <w:rFonts w:ascii="Calibri" w:hAnsi="Calibri" w:cs="Calibri"/>
        </w:rPr>
        <w:t xml:space="preserve"> als ein Problem in elektronischen Zahlungen, da jeder Besitzer eine</w:t>
      </w:r>
      <w:r w:rsidR="00101450">
        <w:rPr>
          <w:rFonts w:ascii="Calibri" w:hAnsi="Calibri" w:cs="Calibri"/>
        </w:rPr>
        <w:t>s</w:t>
      </w:r>
      <w:r w:rsidR="00D108AF" w:rsidRPr="006126DF">
        <w:rPr>
          <w:rFonts w:ascii="Calibri" w:hAnsi="Calibri" w:cs="Calibri"/>
        </w:rPr>
        <w:t xml:space="preserve"> „Coins“ </w:t>
      </w:r>
      <w:r w:rsidR="00481F86" w:rsidRPr="006126DF">
        <w:rPr>
          <w:rFonts w:ascii="Calibri" w:hAnsi="Calibri" w:cs="Calibri"/>
        </w:rPr>
        <w:t>nicht wissen kann, ob der vorherige Besitzer, d</w:t>
      </w:r>
      <w:r w:rsidR="00D108AF" w:rsidRPr="006126DF">
        <w:rPr>
          <w:rFonts w:ascii="Calibri" w:hAnsi="Calibri" w:cs="Calibri"/>
        </w:rPr>
        <w:t xml:space="preserve">en Coin </w:t>
      </w:r>
      <w:r w:rsidR="00481F86" w:rsidRPr="006126DF">
        <w:rPr>
          <w:rFonts w:ascii="Calibri" w:hAnsi="Calibri" w:cs="Calibri"/>
        </w:rPr>
        <w:t xml:space="preserve">zweimal benutzt hat. </w:t>
      </w:r>
      <w:r w:rsidR="00981B93" w:rsidRPr="006126DF">
        <w:rPr>
          <w:rFonts w:ascii="Calibri" w:hAnsi="Calibri" w:cs="Calibri"/>
        </w:rPr>
        <w:t xml:space="preserve">Traditionell wird dieses Problem gelöst, indem eine Aufsichtsinstitution jede Transaktion überprüft. </w:t>
      </w:r>
      <w:r w:rsidR="00350321" w:rsidRPr="006126DF">
        <w:rPr>
          <w:rFonts w:ascii="Calibri" w:hAnsi="Calibri" w:cs="Calibri"/>
        </w:rPr>
        <w:t>Nakamotos Vorschlag beabsichtigt, diese zentrale Aufsicht obsolet zu machen, wodurch die Transaktionshistorie jede</w:t>
      </w:r>
      <w:r w:rsidR="00101450">
        <w:rPr>
          <w:rFonts w:ascii="Calibri" w:hAnsi="Calibri" w:cs="Calibri"/>
        </w:rPr>
        <w:t>s</w:t>
      </w:r>
      <w:r w:rsidR="00D108AF" w:rsidRPr="006126DF">
        <w:rPr>
          <w:rFonts w:ascii="Calibri" w:hAnsi="Calibri" w:cs="Calibri"/>
        </w:rPr>
        <w:t xml:space="preserve"> Coins </w:t>
      </w:r>
      <w:r w:rsidR="00350321" w:rsidRPr="006126DF">
        <w:rPr>
          <w:rFonts w:ascii="Calibri" w:hAnsi="Calibri" w:cs="Calibri"/>
        </w:rPr>
        <w:t xml:space="preserve">öffentlich sichtbar werden würde. </w:t>
      </w:r>
      <w:r w:rsidR="00C246C0" w:rsidRPr="006126DF">
        <w:rPr>
          <w:rFonts w:ascii="Calibri" w:hAnsi="Calibri" w:cs="Calibri"/>
        </w:rPr>
        <w:t>Gleichzeitig würde die Privatsphäre gewahrt werden, da die öffentlichen Schlüssel verschlüsselt werden. Somit wäre die Transaktionsgeschichte eines jeden Coin</w:t>
      </w:r>
      <w:r w:rsidR="00101450">
        <w:rPr>
          <w:rFonts w:ascii="Calibri" w:hAnsi="Calibri" w:cs="Calibri"/>
        </w:rPr>
        <w:t>s</w:t>
      </w:r>
      <w:r w:rsidR="00C246C0" w:rsidRPr="006126DF">
        <w:rPr>
          <w:rFonts w:ascii="Calibri" w:hAnsi="Calibri" w:cs="Calibri"/>
        </w:rPr>
        <w:t xml:space="preserve"> anonymisiert</w:t>
      </w:r>
      <w:r w:rsidR="00771E6D">
        <w:rPr>
          <w:rFonts w:ascii="Calibri" w:hAnsi="Calibri" w:cs="Calibri"/>
        </w:rPr>
        <w:t xml:space="preserve"> (Aspers &amp; Dodd, 2015)</w:t>
      </w:r>
      <w:r w:rsidR="00C246C0" w:rsidRPr="006126DF">
        <w:rPr>
          <w:rFonts w:ascii="Calibri" w:hAnsi="Calibri" w:cs="Calibri"/>
        </w:rPr>
        <w:t>.</w:t>
      </w:r>
    </w:p>
    <w:p w:rsidR="00771E6D" w:rsidRPr="006126DF" w:rsidRDefault="00771E6D" w:rsidP="007F489E">
      <w:pPr>
        <w:spacing w:line="360" w:lineRule="auto"/>
        <w:ind w:firstLine="360"/>
        <w:jc w:val="both"/>
        <w:rPr>
          <w:rFonts w:ascii="Calibri" w:hAnsi="Calibri" w:cs="Calibri"/>
        </w:rPr>
      </w:pPr>
    </w:p>
    <w:p w:rsidR="00D108AF" w:rsidRPr="006126DF" w:rsidRDefault="00D108AF" w:rsidP="007F489E">
      <w:pPr>
        <w:spacing w:line="360" w:lineRule="auto"/>
        <w:ind w:firstLine="360"/>
        <w:jc w:val="both"/>
        <w:rPr>
          <w:rFonts w:ascii="Calibri" w:hAnsi="Calibri" w:cs="Calibri"/>
        </w:rPr>
      </w:pPr>
      <w:r w:rsidRPr="006126DF">
        <w:rPr>
          <w:rFonts w:ascii="Calibri" w:hAnsi="Calibri" w:cs="Calibri"/>
        </w:rPr>
        <w:t xml:space="preserve">Bitcoin </w:t>
      </w:r>
      <w:r w:rsidR="00A77A63" w:rsidRPr="006126DF">
        <w:rPr>
          <w:rFonts w:ascii="Calibri" w:hAnsi="Calibri" w:cs="Calibri"/>
        </w:rPr>
        <w:t xml:space="preserve">wurde 2009 gelauncht. Es benutzt Open Source Software für Peer-to-Peer Transaktionen mithilfe der </w:t>
      </w:r>
      <w:r w:rsidR="0026055C">
        <w:rPr>
          <w:rFonts w:ascii="Calibri" w:hAnsi="Calibri" w:cs="Calibri"/>
        </w:rPr>
        <w:t xml:space="preserve">oben beschriebenen </w:t>
      </w:r>
      <w:r w:rsidR="00A77A63" w:rsidRPr="006126DF">
        <w:rPr>
          <w:rFonts w:ascii="Calibri" w:hAnsi="Calibri" w:cs="Calibri"/>
        </w:rPr>
        <w:t xml:space="preserve">Prinzipien. </w:t>
      </w:r>
      <w:r w:rsidR="00444BCE" w:rsidRPr="006126DF">
        <w:rPr>
          <w:rFonts w:ascii="Calibri" w:hAnsi="Calibri" w:cs="Calibri"/>
        </w:rPr>
        <w:t xml:space="preserve">Bitcoins wurden innerhalb ihres Netzwerks geschaffen, ihre Neuschaffung </w:t>
      </w:r>
      <w:r w:rsidR="00856EDB">
        <w:rPr>
          <w:rFonts w:ascii="Calibri" w:hAnsi="Calibri" w:cs="Calibri"/>
        </w:rPr>
        <w:t xml:space="preserve">ist </w:t>
      </w:r>
      <w:r w:rsidR="00444BCE" w:rsidRPr="006126DF">
        <w:rPr>
          <w:rFonts w:ascii="Calibri" w:hAnsi="Calibri" w:cs="Calibri"/>
        </w:rPr>
        <w:t xml:space="preserve">strikt reguliert ohne dabei von einer zentralen Aufsicht reguliert zu werden. </w:t>
      </w:r>
      <w:r w:rsidR="00F16444" w:rsidRPr="006126DF">
        <w:rPr>
          <w:rFonts w:ascii="Calibri" w:hAnsi="Calibri" w:cs="Calibri"/>
        </w:rPr>
        <w:t xml:space="preserve">Das Netzwerk ist so programmiert, dass die Gesamtzahl aller Bitcoins niemals 21 Millionen überschreiten kann. </w:t>
      </w:r>
      <w:r w:rsidR="00FE1C17" w:rsidRPr="006126DF">
        <w:rPr>
          <w:rFonts w:ascii="Calibri" w:hAnsi="Calibri" w:cs="Calibri"/>
        </w:rPr>
        <w:t xml:space="preserve">Bitcoins werden durch sogenannte Rigs erstellt (Computer), welche neue Bitcoins </w:t>
      </w:r>
      <w:r w:rsidR="00872662" w:rsidRPr="006126DF">
        <w:rPr>
          <w:rFonts w:ascii="Calibri" w:hAnsi="Calibri" w:cs="Calibri"/>
        </w:rPr>
        <w:t>„minen“, indem sie komplexe</w:t>
      </w:r>
      <w:r w:rsidR="00FE1C17" w:rsidRPr="006126DF">
        <w:rPr>
          <w:rFonts w:ascii="Calibri" w:hAnsi="Calibri" w:cs="Calibri"/>
        </w:rPr>
        <w:t xml:space="preserve"> mathematische Problemstellungen lösen. </w:t>
      </w:r>
      <w:r w:rsidR="007F6771" w:rsidRPr="006126DF">
        <w:rPr>
          <w:rFonts w:ascii="Calibri" w:hAnsi="Calibri" w:cs="Calibri"/>
        </w:rPr>
        <w:t xml:space="preserve">Das Netzwerk ist so designt, dass eine fixierte Nummer an Bitcoins pro Zeiteinheit gemined </w:t>
      </w:r>
      <w:r w:rsidR="00856EDB">
        <w:rPr>
          <w:rFonts w:ascii="Calibri" w:hAnsi="Calibri" w:cs="Calibri"/>
        </w:rPr>
        <w:t>wird</w:t>
      </w:r>
      <w:r w:rsidR="00BB48B8">
        <w:rPr>
          <w:rFonts w:ascii="Calibri" w:hAnsi="Calibri" w:cs="Calibri"/>
        </w:rPr>
        <w:t xml:space="preserve"> (Aspers &amp; Dodd, 2015)</w:t>
      </w:r>
      <w:r w:rsidR="007F6771" w:rsidRPr="006126DF">
        <w:rPr>
          <w:rFonts w:ascii="Calibri" w:hAnsi="Calibri" w:cs="Calibri"/>
        </w:rPr>
        <w:t xml:space="preserve">. </w:t>
      </w:r>
    </w:p>
    <w:p w:rsidR="008F646B" w:rsidRPr="006126DF" w:rsidRDefault="008F646B" w:rsidP="007F489E">
      <w:pPr>
        <w:spacing w:line="360" w:lineRule="auto"/>
        <w:ind w:firstLine="360"/>
        <w:jc w:val="both"/>
        <w:rPr>
          <w:rFonts w:ascii="Calibri" w:hAnsi="Calibri" w:cs="Calibri"/>
        </w:rPr>
      </w:pPr>
    </w:p>
    <w:p w:rsidR="008F646B" w:rsidRPr="006126DF" w:rsidRDefault="008F646B" w:rsidP="007F489E">
      <w:pPr>
        <w:spacing w:line="360" w:lineRule="auto"/>
        <w:ind w:firstLine="360"/>
        <w:jc w:val="both"/>
        <w:rPr>
          <w:rFonts w:ascii="Calibri" w:hAnsi="Calibri" w:cs="Calibri"/>
        </w:rPr>
      </w:pPr>
      <w:r w:rsidRPr="006126DF">
        <w:rPr>
          <w:rFonts w:ascii="Calibri" w:hAnsi="Calibri" w:cs="Calibri"/>
        </w:rPr>
        <w:t>Seit der Gründung sind Bitcoins zu einem der größten alternativen Zahlungsmittel gewachsen.</w:t>
      </w:r>
      <w:r w:rsidR="002B3E96" w:rsidRPr="006126DF">
        <w:rPr>
          <w:rFonts w:ascii="Calibri" w:hAnsi="Calibri" w:cs="Calibri"/>
        </w:rPr>
        <w:t xml:space="preserve"> „Silk Road“, ein Online Marktplatz um Drogen zu kaufen und verkaufen hat von Bitcoin</w:t>
      </w:r>
      <w:r w:rsidR="00751FEB" w:rsidRPr="006126DF">
        <w:rPr>
          <w:rFonts w:ascii="Calibri" w:hAnsi="Calibri" w:cs="Calibri"/>
        </w:rPr>
        <w:t xml:space="preserve"> Anonymität</w:t>
      </w:r>
      <w:r w:rsidR="00782B40" w:rsidRPr="006126DF">
        <w:rPr>
          <w:rFonts w:ascii="Calibri" w:hAnsi="Calibri" w:cs="Calibri"/>
        </w:rPr>
        <w:t xml:space="preserve"> und Nicht-Nachverfolgungsmöglichkeit</w:t>
      </w:r>
      <w:r w:rsidR="00751FEB" w:rsidRPr="006126DF">
        <w:rPr>
          <w:rFonts w:ascii="Calibri" w:hAnsi="Calibri" w:cs="Calibri"/>
        </w:rPr>
        <w:t xml:space="preserve"> </w:t>
      </w:r>
      <w:r w:rsidR="002B3E96" w:rsidRPr="006126DF">
        <w:rPr>
          <w:rFonts w:ascii="Calibri" w:hAnsi="Calibri" w:cs="Calibri"/>
        </w:rPr>
        <w:t xml:space="preserve">als Zahlungsmittel profitiert. </w:t>
      </w:r>
      <w:r w:rsidR="004A5914" w:rsidRPr="006126DF">
        <w:rPr>
          <w:rFonts w:ascii="Calibri" w:hAnsi="Calibri" w:cs="Calibri"/>
        </w:rPr>
        <w:t xml:space="preserve">Für Kritiker sind Plattformen wie „Silk Road“ der Beweis, dass Kryptowährungen vor allem genutzt werden, um </w:t>
      </w:r>
      <w:r w:rsidR="00ED507C" w:rsidRPr="006126DF">
        <w:rPr>
          <w:rFonts w:ascii="Calibri" w:hAnsi="Calibri" w:cs="Calibri"/>
        </w:rPr>
        <w:t>Staatsregulierung</w:t>
      </w:r>
      <w:r w:rsidR="004A5914" w:rsidRPr="006126DF">
        <w:rPr>
          <w:rFonts w:ascii="Calibri" w:hAnsi="Calibri" w:cs="Calibri"/>
        </w:rPr>
        <w:t xml:space="preserve"> zu umgehen und kriminelle Aktivitäten erlaub</w:t>
      </w:r>
      <w:r w:rsidR="00993FE4">
        <w:rPr>
          <w:rFonts w:ascii="Calibri" w:hAnsi="Calibri" w:cs="Calibri"/>
        </w:rPr>
        <w:t>en</w:t>
      </w:r>
      <w:r w:rsidR="004A5914" w:rsidRPr="006126DF">
        <w:rPr>
          <w:rFonts w:ascii="Calibri" w:hAnsi="Calibri" w:cs="Calibri"/>
        </w:rPr>
        <w:t xml:space="preserve">. </w:t>
      </w:r>
    </w:p>
    <w:p w:rsidR="00B964C6" w:rsidRPr="006126DF" w:rsidRDefault="00B964C6" w:rsidP="007F489E">
      <w:pPr>
        <w:spacing w:line="360" w:lineRule="auto"/>
        <w:ind w:firstLine="360"/>
        <w:jc w:val="both"/>
        <w:rPr>
          <w:rFonts w:ascii="Calibri" w:hAnsi="Calibri" w:cs="Calibri"/>
        </w:rPr>
      </w:pPr>
    </w:p>
    <w:p w:rsidR="00B964C6" w:rsidRPr="006126DF" w:rsidRDefault="00B964C6" w:rsidP="007F489E">
      <w:pPr>
        <w:spacing w:line="360" w:lineRule="auto"/>
        <w:ind w:firstLine="360"/>
        <w:jc w:val="both"/>
        <w:rPr>
          <w:rFonts w:ascii="Calibri" w:hAnsi="Calibri" w:cs="Calibri"/>
        </w:rPr>
      </w:pPr>
      <w:r w:rsidRPr="006126DF">
        <w:rPr>
          <w:rFonts w:ascii="Calibri" w:hAnsi="Calibri" w:cs="Calibri"/>
        </w:rPr>
        <w:t xml:space="preserve">Befürworter von Bitcoin sehen die Chancen vor allem in der zugrunde liegenden Blockchain Technologie. </w:t>
      </w:r>
      <w:r w:rsidR="00A76ED4" w:rsidRPr="006126DF">
        <w:rPr>
          <w:rFonts w:ascii="Calibri" w:hAnsi="Calibri" w:cs="Calibri"/>
        </w:rPr>
        <w:t>Blockchain erlaubt die Einführung eines dezentralen, vertrauenswürdigen Transaktionssystem.</w:t>
      </w:r>
      <w:r w:rsidR="00BE6456" w:rsidRPr="006126DF">
        <w:rPr>
          <w:rFonts w:ascii="Calibri" w:hAnsi="Calibri" w:cs="Calibri"/>
        </w:rPr>
        <w:t xml:space="preserve"> Als eine Form der Währung teilt Bitcoin gleiche Probleme wie Gold. </w:t>
      </w:r>
      <w:r w:rsidR="00E2219F" w:rsidRPr="006126DF">
        <w:rPr>
          <w:rFonts w:ascii="Calibri" w:hAnsi="Calibri" w:cs="Calibri"/>
        </w:rPr>
        <w:t xml:space="preserve">Bitcoin leidet ebenso wie Gold unter Preisspekulation. </w:t>
      </w:r>
      <w:r w:rsidR="00FB1919" w:rsidRPr="006126DF">
        <w:rPr>
          <w:rFonts w:ascii="Calibri" w:hAnsi="Calibri" w:cs="Calibri"/>
        </w:rPr>
        <w:t xml:space="preserve">Nichtsdestotrotz unterscheidet sich Bitcoin von Gold in wichtigen Aspekten. </w:t>
      </w:r>
      <w:r w:rsidR="005C3452" w:rsidRPr="006126DF">
        <w:rPr>
          <w:rFonts w:ascii="Calibri" w:hAnsi="Calibri" w:cs="Calibri"/>
        </w:rPr>
        <w:t xml:space="preserve">Eines der Unterscheidungsmerkmale liegt in der Innovation durch </w:t>
      </w:r>
      <w:r w:rsidR="007C556E" w:rsidRPr="006126DF">
        <w:rPr>
          <w:rFonts w:ascii="Calibri" w:hAnsi="Calibri" w:cs="Calibri"/>
        </w:rPr>
        <w:t xml:space="preserve">seine </w:t>
      </w:r>
      <w:r w:rsidR="005C3452" w:rsidRPr="006126DF">
        <w:rPr>
          <w:rFonts w:ascii="Calibri" w:hAnsi="Calibri" w:cs="Calibri"/>
        </w:rPr>
        <w:t xml:space="preserve">Open Source Software. </w:t>
      </w:r>
      <w:r w:rsidR="007C556E" w:rsidRPr="006126DF">
        <w:rPr>
          <w:rFonts w:ascii="Calibri" w:hAnsi="Calibri" w:cs="Calibri"/>
        </w:rPr>
        <w:t xml:space="preserve">Demzufolge besitzt kein </w:t>
      </w:r>
      <w:r w:rsidR="00260971" w:rsidRPr="006126DF">
        <w:rPr>
          <w:rFonts w:ascii="Calibri" w:hAnsi="Calibri" w:cs="Calibri"/>
        </w:rPr>
        <w:t>Individuum</w:t>
      </w:r>
      <w:r w:rsidR="007C556E" w:rsidRPr="006126DF">
        <w:rPr>
          <w:rFonts w:ascii="Calibri" w:hAnsi="Calibri" w:cs="Calibri"/>
        </w:rPr>
        <w:t xml:space="preserve"> oder Organisation Bitcoin. </w:t>
      </w:r>
      <w:r w:rsidR="00D751F1" w:rsidRPr="006126DF">
        <w:rPr>
          <w:rFonts w:ascii="Calibri" w:hAnsi="Calibri" w:cs="Calibri"/>
        </w:rPr>
        <w:t xml:space="preserve">Es gibt zwar eine Gruppe von Administratoren, die Bitcoin Foundation, die aber ähnlich strukturiert ist wie die Linux Foundation. </w:t>
      </w:r>
    </w:p>
    <w:p w:rsidR="00B94151" w:rsidRPr="006126DF" w:rsidRDefault="00B94151" w:rsidP="007F489E">
      <w:pPr>
        <w:spacing w:line="360" w:lineRule="auto"/>
        <w:ind w:firstLine="360"/>
        <w:jc w:val="both"/>
        <w:rPr>
          <w:rFonts w:ascii="Calibri" w:hAnsi="Calibri" w:cs="Calibri"/>
        </w:rPr>
      </w:pPr>
    </w:p>
    <w:p w:rsidR="00B94151" w:rsidRPr="006126DF" w:rsidRDefault="00B94151" w:rsidP="007F489E">
      <w:pPr>
        <w:spacing w:line="360" w:lineRule="auto"/>
        <w:ind w:firstLine="360"/>
        <w:jc w:val="both"/>
        <w:rPr>
          <w:rFonts w:ascii="Calibri" w:hAnsi="Calibri" w:cs="Calibri"/>
        </w:rPr>
      </w:pPr>
      <w:r w:rsidRPr="006126DF">
        <w:rPr>
          <w:rFonts w:ascii="Calibri" w:hAnsi="Calibri" w:cs="Calibri"/>
        </w:rPr>
        <w:t xml:space="preserve">Der erste große Bitcoin Boom geschah 2013 und brachte zum ersten Mal ernsthafte mediale Aufmerksamkeit. </w:t>
      </w:r>
      <w:r w:rsidR="00314A05" w:rsidRPr="006126DF">
        <w:rPr>
          <w:rFonts w:ascii="Calibri" w:hAnsi="Calibri" w:cs="Calibri"/>
        </w:rPr>
        <w:t>Der Boom passierte zu einer Zeit, wo das klassi</w:t>
      </w:r>
      <w:r w:rsidR="001A0D64" w:rsidRPr="006126DF">
        <w:rPr>
          <w:rFonts w:ascii="Calibri" w:hAnsi="Calibri" w:cs="Calibri"/>
        </w:rPr>
        <w:t>sc</w:t>
      </w:r>
      <w:r w:rsidR="00314A05" w:rsidRPr="006126DF">
        <w:rPr>
          <w:rFonts w:ascii="Calibri" w:hAnsi="Calibri" w:cs="Calibri"/>
        </w:rPr>
        <w:t>he Finanzsystem schwächelte</w:t>
      </w:r>
      <w:r w:rsidR="00AC2C6F" w:rsidRPr="006126DF">
        <w:rPr>
          <w:rFonts w:ascii="Calibri" w:hAnsi="Calibri" w:cs="Calibri"/>
        </w:rPr>
        <w:t xml:space="preserve">: Die Finanzkrise Zyperns, Russlands Forderung der Rückführung der Offshore Vermögen und Japans Währungsentwertung. </w:t>
      </w:r>
      <w:r w:rsidR="00DF4E2D" w:rsidRPr="006126DF">
        <w:rPr>
          <w:rFonts w:ascii="Calibri" w:hAnsi="Calibri" w:cs="Calibri"/>
        </w:rPr>
        <w:t xml:space="preserve">Für eine Weile schien die Vision einer monetären Utopie durch Bitcoin Menschen zu faszinieren. </w:t>
      </w:r>
      <w:r w:rsidR="004E4E13" w:rsidRPr="006126DF">
        <w:rPr>
          <w:rFonts w:ascii="Calibri" w:hAnsi="Calibri" w:cs="Calibri"/>
        </w:rPr>
        <w:t xml:space="preserve">In der zweiten Jahreshälfte 2017 erfolgte </w:t>
      </w:r>
      <w:r w:rsidR="00260971">
        <w:rPr>
          <w:rFonts w:ascii="Calibri" w:hAnsi="Calibri" w:cs="Calibri"/>
        </w:rPr>
        <w:t xml:space="preserve">dann </w:t>
      </w:r>
      <w:r w:rsidR="004E4E13" w:rsidRPr="006126DF">
        <w:rPr>
          <w:rFonts w:ascii="Calibri" w:hAnsi="Calibri" w:cs="Calibri"/>
        </w:rPr>
        <w:t>eine beispiellose Rallye des Bitcoin Preises auf zwischenzeitlich fast USD 20.000. Es folgte ein Absturz auf knapp über USD 3.000 ehe sich der Preis wieder erholt auf den derzeitigen Wert von knapp über USD 9.000 (Stand Juni 2019).</w:t>
      </w:r>
    </w:p>
    <w:p w:rsidR="004E4E13" w:rsidRPr="006126DF" w:rsidRDefault="004E4E13" w:rsidP="007F489E">
      <w:pPr>
        <w:spacing w:line="360" w:lineRule="auto"/>
        <w:jc w:val="both"/>
        <w:rPr>
          <w:rFonts w:ascii="Calibri" w:hAnsi="Calibri" w:cs="Calibri"/>
        </w:rPr>
      </w:pPr>
    </w:p>
    <w:p w:rsidR="004E4E13" w:rsidRPr="006126DF" w:rsidRDefault="004E4E13" w:rsidP="006E1E8D">
      <w:pPr>
        <w:spacing w:line="360" w:lineRule="auto"/>
        <w:jc w:val="center"/>
        <w:rPr>
          <w:rFonts w:ascii="Calibri" w:hAnsi="Calibri" w:cs="Calibri"/>
        </w:rPr>
      </w:pPr>
      <w:r w:rsidRPr="006126DF">
        <w:rPr>
          <w:rFonts w:ascii="Calibri" w:hAnsi="Calibri" w:cs="Calibri"/>
          <w:noProof/>
        </w:rPr>
        <w:drawing>
          <wp:inline distT="0" distB="0" distL="0" distR="0">
            <wp:extent cx="4724400" cy="252895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schirmfoto 2019-06-17 um 16.30.59.png"/>
                    <pic:cNvPicPr/>
                  </pic:nvPicPr>
                  <pic:blipFill>
                    <a:blip r:embed="rId16" cstate="email">
                      <a:extLst>
                        <a:ext uri="{28A0092B-C50C-407E-A947-70E740481C1C}">
                          <a14:useLocalDpi xmlns:a14="http://schemas.microsoft.com/office/drawing/2010/main"/>
                        </a:ext>
                      </a:extLst>
                    </a:blip>
                    <a:stretch>
                      <a:fillRect/>
                    </a:stretch>
                  </pic:blipFill>
                  <pic:spPr>
                    <a:xfrm>
                      <a:off x="0" y="0"/>
                      <a:ext cx="4748609" cy="2541915"/>
                    </a:xfrm>
                    <a:prstGeom prst="rect">
                      <a:avLst/>
                    </a:prstGeom>
                  </pic:spPr>
                </pic:pic>
              </a:graphicData>
            </a:graphic>
          </wp:inline>
        </w:drawing>
      </w:r>
    </w:p>
    <w:p w:rsidR="004E4E13" w:rsidRDefault="004E4E13" w:rsidP="006E1E8D">
      <w:pPr>
        <w:spacing w:line="360" w:lineRule="auto"/>
        <w:ind w:firstLine="360"/>
        <w:jc w:val="center"/>
        <w:rPr>
          <w:rFonts w:ascii="Calibri" w:hAnsi="Calibri" w:cs="Calibri"/>
        </w:rPr>
      </w:pPr>
      <w:r w:rsidRPr="006126DF">
        <w:rPr>
          <w:rFonts w:ascii="Calibri" w:hAnsi="Calibri" w:cs="Calibri"/>
        </w:rPr>
        <w:t>(</w:t>
      </w:r>
      <w:r w:rsidR="00770AC5">
        <w:rPr>
          <w:rFonts w:ascii="Calibri" w:hAnsi="Calibri" w:cs="Calibri"/>
        </w:rPr>
        <w:t xml:space="preserve">Abbildung 8, </w:t>
      </w:r>
      <w:r w:rsidRPr="006126DF">
        <w:rPr>
          <w:rFonts w:ascii="Calibri" w:hAnsi="Calibri" w:cs="Calibri"/>
        </w:rPr>
        <w:t>Bitcoin Preis am 17.06.2019; Quelle: Coinbase)</w:t>
      </w:r>
    </w:p>
    <w:p w:rsidR="00652650" w:rsidRPr="006126DF" w:rsidRDefault="00652650" w:rsidP="007F489E">
      <w:pPr>
        <w:spacing w:line="360" w:lineRule="auto"/>
        <w:ind w:firstLine="360"/>
        <w:jc w:val="both"/>
        <w:rPr>
          <w:rFonts w:ascii="Calibri" w:hAnsi="Calibri" w:cs="Calibri"/>
        </w:rPr>
      </w:pPr>
    </w:p>
    <w:p w:rsidR="00D40471" w:rsidRPr="006126DF" w:rsidRDefault="00D40471" w:rsidP="007F489E">
      <w:pPr>
        <w:spacing w:line="360" w:lineRule="auto"/>
        <w:ind w:firstLine="360"/>
        <w:jc w:val="both"/>
        <w:rPr>
          <w:rFonts w:ascii="Calibri" w:hAnsi="Calibri" w:cs="Calibri"/>
        </w:rPr>
      </w:pPr>
      <w:r w:rsidRPr="006126DF">
        <w:rPr>
          <w:rFonts w:ascii="Calibri" w:hAnsi="Calibri" w:cs="Calibri"/>
        </w:rPr>
        <w:t xml:space="preserve">Trotzdem bleibt das Horden eines der Hauptprobleme von Bitcoin. </w:t>
      </w:r>
      <w:r w:rsidR="00F54A70" w:rsidRPr="006126DF">
        <w:rPr>
          <w:rFonts w:ascii="Calibri" w:hAnsi="Calibri" w:cs="Calibri"/>
        </w:rPr>
        <w:t xml:space="preserve">Gehortetes Geld, egal ob Bitcoin oder </w:t>
      </w:r>
      <w:r w:rsidR="00245CEB" w:rsidRPr="006126DF">
        <w:rPr>
          <w:rFonts w:ascii="Calibri" w:hAnsi="Calibri" w:cs="Calibri"/>
        </w:rPr>
        <w:t>in einer anderen Währung</w:t>
      </w:r>
      <w:r w:rsidR="00F54A70" w:rsidRPr="006126DF">
        <w:rPr>
          <w:rFonts w:ascii="Calibri" w:hAnsi="Calibri" w:cs="Calibri"/>
        </w:rPr>
        <w:t xml:space="preserve">, besitzt limitierten Wert. </w:t>
      </w:r>
      <w:r w:rsidR="00245CEB" w:rsidRPr="006126DF">
        <w:rPr>
          <w:rFonts w:ascii="Calibri" w:hAnsi="Calibri" w:cs="Calibri"/>
        </w:rPr>
        <w:t>Vor allem, da</w:t>
      </w:r>
      <w:r w:rsidR="001A351D" w:rsidRPr="006126DF">
        <w:rPr>
          <w:rFonts w:ascii="Calibri" w:hAnsi="Calibri" w:cs="Calibri"/>
        </w:rPr>
        <w:t xml:space="preserve"> d</w:t>
      </w:r>
      <w:r w:rsidR="00E05368" w:rsidRPr="006126DF">
        <w:rPr>
          <w:rFonts w:ascii="Calibri" w:hAnsi="Calibri" w:cs="Calibri"/>
        </w:rPr>
        <w:t>as Haupt-Alleinstellungs</w:t>
      </w:r>
      <w:r w:rsidR="001A351D" w:rsidRPr="006126DF">
        <w:rPr>
          <w:rFonts w:ascii="Calibri" w:hAnsi="Calibri" w:cs="Calibri"/>
        </w:rPr>
        <w:t>merkmal von Bitcoin darin</w:t>
      </w:r>
      <w:r w:rsidR="00245CEB" w:rsidRPr="006126DF">
        <w:rPr>
          <w:rFonts w:ascii="Calibri" w:hAnsi="Calibri" w:cs="Calibri"/>
        </w:rPr>
        <w:t xml:space="preserve"> besteht</w:t>
      </w:r>
      <w:r w:rsidR="001A351D" w:rsidRPr="006126DF">
        <w:rPr>
          <w:rFonts w:ascii="Calibri" w:hAnsi="Calibri" w:cs="Calibri"/>
        </w:rPr>
        <w:t>, dass es ein offenes und demokratisches monetäres System ist, frei von asymmetrischen Machtstrukturen</w:t>
      </w:r>
      <w:r w:rsidR="00A561B5">
        <w:rPr>
          <w:rFonts w:ascii="Calibri" w:hAnsi="Calibri" w:cs="Calibri"/>
        </w:rPr>
        <w:t xml:space="preserve"> (Aspers &amp; Dodd, 2015)</w:t>
      </w:r>
      <w:r w:rsidR="001A351D" w:rsidRPr="006126DF">
        <w:rPr>
          <w:rFonts w:ascii="Calibri" w:hAnsi="Calibri" w:cs="Calibri"/>
        </w:rPr>
        <w:t>.</w:t>
      </w:r>
    </w:p>
    <w:p w:rsidR="00245CEB" w:rsidRPr="006126DF" w:rsidRDefault="00245CEB" w:rsidP="007F489E">
      <w:pPr>
        <w:spacing w:line="360" w:lineRule="auto"/>
        <w:ind w:firstLine="360"/>
        <w:jc w:val="both"/>
        <w:rPr>
          <w:rFonts w:ascii="Calibri" w:hAnsi="Calibri" w:cs="Calibri"/>
        </w:rPr>
      </w:pPr>
    </w:p>
    <w:p w:rsidR="00245CEB" w:rsidRPr="006126DF" w:rsidRDefault="00734CC6" w:rsidP="007F489E">
      <w:pPr>
        <w:spacing w:line="360" w:lineRule="auto"/>
        <w:ind w:firstLine="360"/>
        <w:jc w:val="both"/>
        <w:rPr>
          <w:rFonts w:ascii="Calibri" w:hAnsi="Calibri" w:cs="Calibri"/>
        </w:rPr>
      </w:pPr>
      <w:r w:rsidRPr="006126DF">
        <w:rPr>
          <w:rFonts w:ascii="Calibri" w:hAnsi="Calibri" w:cs="Calibri"/>
        </w:rPr>
        <w:t xml:space="preserve">Bitcoin kann keine Antwort auf den gerechten Preis sein. Denn am Ende geht es immer noch um die Güter, die ausgetauscht werden und nicht die Währung oder Zahlungsmittel in der es passiert. </w:t>
      </w:r>
      <w:r w:rsidR="003474AB" w:rsidRPr="006126DF">
        <w:rPr>
          <w:rFonts w:ascii="Calibri" w:hAnsi="Calibri" w:cs="Calibri"/>
        </w:rPr>
        <w:t xml:space="preserve">Trotzdem kann eine Blockchain-basierte Währung die idealen Rahmenbedingungen für eine gerechte Transaktion schaffen. Dezentralisierung und die Ermöglichung vollkommenes Vertrauen reduzieren Transaktionskosten auf ein Minimum. </w:t>
      </w:r>
      <w:r w:rsidR="00896759" w:rsidRPr="006126DF">
        <w:rPr>
          <w:rFonts w:ascii="Calibri" w:hAnsi="Calibri" w:cs="Calibri"/>
        </w:rPr>
        <w:t xml:space="preserve">Der Mittelmann, und damit Transaktionskosten zu Lasten der Tauschparteien fallen weg. </w:t>
      </w:r>
      <w:r w:rsidR="00217CE1" w:rsidRPr="006126DF">
        <w:rPr>
          <w:rFonts w:ascii="Calibri" w:hAnsi="Calibri" w:cs="Calibri"/>
        </w:rPr>
        <w:t xml:space="preserve">Darüber </w:t>
      </w:r>
      <w:r w:rsidR="00217CE1" w:rsidRPr="006126DF">
        <w:rPr>
          <w:rFonts w:ascii="Calibri" w:hAnsi="Calibri" w:cs="Calibri"/>
        </w:rPr>
        <w:lastRenderedPageBreak/>
        <w:t xml:space="preserve">hinaus können Kryptowährungen auch ungerechten Bankgebühren entgegenwirken, da Kontoführungsgebühren, Fremdwährungsgebühren und generelle Transaktionsgebühren wegfallen würden. </w:t>
      </w:r>
      <w:r w:rsidR="00A27936" w:rsidRPr="006126DF">
        <w:rPr>
          <w:rFonts w:ascii="Calibri" w:hAnsi="Calibri" w:cs="Calibri"/>
        </w:rPr>
        <w:t>Trotzdem dürfen die derzeitigen negativen Aspekte einer Kryptowährung nicht vernachlässigt werden. Dazu gehören Sicherheitsbedenken, wo Bitcoins gehackt werden oder den Schwarzmarkt florieren lassen.</w:t>
      </w:r>
    </w:p>
    <w:p w:rsidR="0019618B" w:rsidRPr="006126DF" w:rsidRDefault="0019618B" w:rsidP="007F489E">
      <w:pPr>
        <w:spacing w:line="360" w:lineRule="auto"/>
        <w:jc w:val="both"/>
        <w:rPr>
          <w:rFonts w:ascii="Calibri" w:hAnsi="Calibri" w:cs="Calibri"/>
        </w:rPr>
      </w:pPr>
    </w:p>
    <w:p w:rsidR="008C02EA" w:rsidRPr="006126DF" w:rsidRDefault="00BD3B26" w:rsidP="007F489E">
      <w:pPr>
        <w:pStyle w:val="berschrift2"/>
        <w:spacing w:line="360" w:lineRule="auto"/>
        <w:rPr>
          <w:rFonts w:eastAsia="Times New Roman"/>
        </w:rPr>
      </w:pPr>
      <w:bookmarkStart w:id="21" w:name="_Toc11850917"/>
      <w:r>
        <w:rPr>
          <w:rFonts w:eastAsia="Times New Roman"/>
        </w:rPr>
        <w:t>5</w:t>
      </w:r>
      <w:r w:rsidR="00B152EC">
        <w:rPr>
          <w:rFonts w:eastAsia="Times New Roman"/>
        </w:rPr>
        <w:t xml:space="preserve">.5 </w:t>
      </w:r>
      <w:r w:rsidR="00160E2A" w:rsidRPr="006126DF">
        <w:rPr>
          <w:rFonts w:eastAsia="Times New Roman"/>
        </w:rPr>
        <w:t>Neue Bankenlandschaft und Veränderungen der Kundenforderungen</w:t>
      </w:r>
      <w:bookmarkEnd w:id="21"/>
    </w:p>
    <w:p w:rsidR="00160E2A" w:rsidRPr="006126DF" w:rsidRDefault="00160E2A" w:rsidP="007F489E">
      <w:pPr>
        <w:spacing w:line="360" w:lineRule="auto"/>
        <w:ind w:firstLine="708"/>
        <w:jc w:val="both"/>
        <w:rPr>
          <w:rFonts w:ascii="Calibri" w:hAnsi="Calibri" w:cs="Calibri"/>
        </w:rPr>
      </w:pPr>
      <w:r w:rsidRPr="006126DF">
        <w:rPr>
          <w:rFonts w:ascii="Calibri" w:hAnsi="Calibri" w:cs="Calibri"/>
        </w:rPr>
        <w:t>Direktbanken</w:t>
      </w:r>
      <w:r w:rsidR="000B45D4" w:rsidRPr="006126DF">
        <w:rPr>
          <w:rFonts w:ascii="Calibri" w:hAnsi="Calibri" w:cs="Calibri"/>
        </w:rPr>
        <w:t>, wie ING-Diba</w:t>
      </w:r>
      <w:r w:rsidRPr="006126DF">
        <w:rPr>
          <w:rFonts w:ascii="Calibri" w:hAnsi="Calibri" w:cs="Calibri"/>
        </w:rPr>
        <w:t xml:space="preserve"> gewinnen überproportional schnell Kunden und führen Innovationen ein, welche </w:t>
      </w:r>
      <w:r w:rsidR="0001108E">
        <w:rPr>
          <w:rFonts w:ascii="Calibri" w:hAnsi="Calibri" w:cs="Calibri"/>
        </w:rPr>
        <w:t>den K</w:t>
      </w:r>
      <w:r w:rsidRPr="006126DF">
        <w:rPr>
          <w:rFonts w:ascii="Calibri" w:hAnsi="Calibri" w:cs="Calibri"/>
        </w:rPr>
        <w:t xml:space="preserve">unden gefallen und wodurch gleichzeitig Kosten gespart werden können und an die Kunden weitergegeben werden. </w:t>
      </w:r>
      <w:r w:rsidR="000B45D4" w:rsidRPr="006126DF">
        <w:rPr>
          <w:rFonts w:ascii="Calibri" w:hAnsi="Calibri" w:cs="Calibri"/>
        </w:rPr>
        <w:t xml:space="preserve">Ähnliches gilt für Smartphone Banken, wie N26, die es schaffen durch eine mobile Strategie ebenfalls Kostenersparnisse an Kunden weiterzugeben. </w:t>
      </w:r>
      <w:r w:rsidR="00EE129D" w:rsidRPr="006126DF">
        <w:rPr>
          <w:rFonts w:ascii="Calibri" w:hAnsi="Calibri" w:cs="Calibri"/>
        </w:rPr>
        <w:t xml:space="preserve">Apps, wie Paypal erlauben ein bequemeres Bezahlen und rollen Stück für Stück neue Services an, die dem traditionellen Bankendienstleistungen näher kommen. </w:t>
      </w:r>
      <w:r w:rsidR="000A7EAF" w:rsidRPr="006126DF">
        <w:rPr>
          <w:rFonts w:ascii="Calibri" w:hAnsi="Calibri" w:cs="Calibri"/>
        </w:rPr>
        <w:t>Bitcoin stellt eher eine utopische Zukunftsvision da</w:t>
      </w:r>
      <w:r w:rsidR="004963F2">
        <w:rPr>
          <w:rFonts w:ascii="Calibri" w:hAnsi="Calibri" w:cs="Calibri"/>
        </w:rPr>
        <w:t>r</w:t>
      </w:r>
      <w:r w:rsidR="000A7EAF" w:rsidRPr="006126DF">
        <w:rPr>
          <w:rFonts w:ascii="Calibri" w:hAnsi="Calibri" w:cs="Calibri"/>
        </w:rPr>
        <w:t xml:space="preserve">, in der zukünftig komplett vertrauenswürdige, friktionsfreie Geschäfte zustande kommen. </w:t>
      </w:r>
      <w:r w:rsidR="00305E47" w:rsidRPr="006126DF">
        <w:rPr>
          <w:rFonts w:ascii="Calibri" w:hAnsi="Calibri" w:cs="Calibri"/>
        </w:rPr>
        <w:t>Dass</w:t>
      </w:r>
      <w:r w:rsidR="0039560F" w:rsidRPr="006126DF">
        <w:rPr>
          <w:rFonts w:ascii="Calibri" w:hAnsi="Calibri" w:cs="Calibri"/>
        </w:rPr>
        <w:t xml:space="preserve"> traditionelle Banken und ihre Gebühren </w:t>
      </w:r>
      <w:r w:rsidR="00305E47" w:rsidRPr="006126DF">
        <w:rPr>
          <w:rFonts w:ascii="Calibri" w:hAnsi="Calibri" w:cs="Calibri"/>
        </w:rPr>
        <w:t xml:space="preserve">ungerecht </w:t>
      </w:r>
      <w:r w:rsidR="004963F2">
        <w:rPr>
          <w:rFonts w:ascii="Calibri" w:hAnsi="Calibri" w:cs="Calibri"/>
        </w:rPr>
        <w:t>scheinen</w:t>
      </w:r>
      <w:r w:rsidR="00305E47" w:rsidRPr="006126DF">
        <w:rPr>
          <w:rFonts w:ascii="Calibri" w:hAnsi="Calibri" w:cs="Calibri"/>
        </w:rPr>
        <w:t xml:space="preserve">, konnte aufgrund Argumente der bisherigen theoretischen und empirischen Grundlagen dargestellt werden. </w:t>
      </w:r>
      <w:r w:rsidR="00F24AA6" w:rsidRPr="006126DF">
        <w:rPr>
          <w:rFonts w:ascii="Calibri" w:hAnsi="Calibri" w:cs="Calibri"/>
        </w:rPr>
        <w:t>Mit der Untersuchung von Veränderungen in der Bankenbranche stellt sich nun sogar die Frage, ob traditionell</w:t>
      </w:r>
      <w:r w:rsidR="004963F2">
        <w:rPr>
          <w:rFonts w:ascii="Calibri" w:hAnsi="Calibri" w:cs="Calibri"/>
        </w:rPr>
        <w:t>e</w:t>
      </w:r>
      <w:r w:rsidR="00F24AA6" w:rsidRPr="006126DF">
        <w:rPr>
          <w:rFonts w:ascii="Calibri" w:hAnsi="Calibri" w:cs="Calibri"/>
        </w:rPr>
        <w:t xml:space="preserve"> Banken generell noch eine Rechtfertigung haben werden in der Zukunft. </w:t>
      </w:r>
    </w:p>
    <w:p w:rsidR="009C4D35" w:rsidRPr="006126DF" w:rsidRDefault="009C4D35" w:rsidP="007F489E">
      <w:pPr>
        <w:spacing w:line="360" w:lineRule="auto"/>
        <w:ind w:firstLine="708"/>
        <w:jc w:val="both"/>
        <w:rPr>
          <w:rFonts w:ascii="Calibri" w:hAnsi="Calibri" w:cs="Calibri"/>
        </w:rPr>
      </w:pPr>
    </w:p>
    <w:p w:rsidR="008C02EA" w:rsidRPr="006126DF" w:rsidRDefault="004158B0" w:rsidP="007F489E">
      <w:pPr>
        <w:spacing w:line="360" w:lineRule="auto"/>
        <w:ind w:firstLine="708"/>
        <w:jc w:val="both"/>
        <w:rPr>
          <w:rFonts w:ascii="Calibri" w:hAnsi="Calibri" w:cs="Calibri"/>
        </w:rPr>
      </w:pPr>
      <w:r w:rsidRPr="006126DF">
        <w:rPr>
          <w:rFonts w:ascii="Calibri" w:hAnsi="Calibri" w:cs="Calibri"/>
        </w:rPr>
        <w:t>Vor allem junge Menschen, die heute vor der Entscheidung stehen ein Konto zu eröffnen</w:t>
      </w:r>
      <w:r w:rsidR="00487790">
        <w:rPr>
          <w:rFonts w:ascii="Calibri" w:hAnsi="Calibri" w:cs="Calibri"/>
        </w:rPr>
        <w:t>,</w:t>
      </w:r>
      <w:r w:rsidRPr="006126DF">
        <w:rPr>
          <w:rFonts w:ascii="Calibri" w:hAnsi="Calibri" w:cs="Calibri"/>
        </w:rPr>
        <w:t xml:space="preserve"> entscheiden sich für transparente, mobile und günstige Banken. </w:t>
      </w:r>
      <w:r w:rsidR="007F38D3" w:rsidRPr="006126DF">
        <w:rPr>
          <w:rFonts w:ascii="Calibri" w:hAnsi="Calibri" w:cs="Calibri"/>
        </w:rPr>
        <w:t xml:space="preserve">Die jüngeren Demographien tendieren überproportional dazu, sich ein Direktbank Konto bei ING-Diba </w:t>
      </w:r>
      <w:r w:rsidR="00086517">
        <w:rPr>
          <w:rFonts w:ascii="Calibri" w:hAnsi="Calibri" w:cs="Calibri"/>
        </w:rPr>
        <w:t xml:space="preserve">zu erstellen </w:t>
      </w:r>
      <w:r w:rsidR="007F38D3" w:rsidRPr="006126DF">
        <w:rPr>
          <w:rFonts w:ascii="Calibri" w:hAnsi="Calibri" w:cs="Calibri"/>
        </w:rPr>
        <w:t xml:space="preserve">oder sogar </w:t>
      </w:r>
      <w:r w:rsidR="00086517">
        <w:rPr>
          <w:rFonts w:ascii="Calibri" w:hAnsi="Calibri" w:cs="Calibri"/>
        </w:rPr>
        <w:t xml:space="preserve">bei </w:t>
      </w:r>
      <w:r w:rsidR="007F38D3" w:rsidRPr="006126DF">
        <w:rPr>
          <w:rFonts w:ascii="Calibri" w:hAnsi="Calibri" w:cs="Calibri"/>
        </w:rPr>
        <w:t>eine</w:t>
      </w:r>
      <w:r w:rsidR="00086517">
        <w:rPr>
          <w:rFonts w:ascii="Calibri" w:hAnsi="Calibri" w:cs="Calibri"/>
        </w:rPr>
        <w:t>r</w:t>
      </w:r>
      <w:r w:rsidR="007F38D3" w:rsidRPr="006126DF">
        <w:rPr>
          <w:rFonts w:ascii="Calibri" w:hAnsi="Calibri" w:cs="Calibri"/>
        </w:rPr>
        <w:t xml:space="preserve"> Smartphone Bank wie N26</w:t>
      </w:r>
      <w:r w:rsidR="00882773">
        <w:rPr>
          <w:rFonts w:ascii="Calibri" w:hAnsi="Calibri" w:cs="Calibri"/>
        </w:rPr>
        <w:t xml:space="preserve"> (</w:t>
      </w:r>
      <w:r w:rsidR="00882773" w:rsidRPr="00874AC9">
        <w:rPr>
          <w:rFonts w:ascii="Calibri" w:hAnsi="Calibri"/>
          <w:color w:val="000000" w:themeColor="text1"/>
        </w:rPr>
        <w:t>Romanova</w:t>
      </w:r>
      <w:r w:rsidR="00882773">
        <w:rPr>
          <w:rFonts w:ascii="Calibri" w:hAnsi="Calibri"/>
          <w:color w:val="000000" w:themeColor="text1"/>
        </w:rPr>
        <w:t xml:space="preserve"> </w:t>
      </w:r>
      <w:r w:rsidR="00882773" w:rsidRPr="00874AC9">
        <w:rPr>
          <w:rFonts w:ascii="Calibri" w:hAnsi="Calibri"/>
          <w:color w:val="000000" w:themeColor="text1"/>
        </w:rPr>
        <w:t>&amp; Kudinska</w:t>
      </w:r>
      <w:r w:rsidR="00882773">
        <w:rPr>
          <w:rFonts w:ascii="Calibri" w:hAnsi="Calibri" w:cs="Calibri"/>
        </w:rPr>
        <w:t>, 2016)</w:t>
      </w:r>
      <w:r w:rsidR="007F38D3" w:rsidRPr="006126DF">
        <w:rPr>
          <w:rFonts w:ascii="Calibri" w:hAnsi="Calibri" w:cs="Calibri"/>
        </w:rPr>
        <w:t>. Das gleiche gilt für die höhere Nutzun</w:t>
      </w:r>
      <w:r w:rsidR="00FA4E6E" w:rsidRPr="006126DF">
        <w:rPr>
          <w:rFonts w:ascii="Calibri" w:hAnsi="Calibri" w:cs="Calibri"/>
        </w:rPr>
        <w:t>g</w:t>
      </w:r>
      <w:r w:rsidR="007F38D3" w:rsidRPr="006126DF">
        <w:rPr>
          <w:rFonts w:ascii="Calibri" w:hAnsi="Calibri" w:cs="Calibri"/>
        </w:rPr>
        <w:t xml:space="preserve"> von PayPal bei jüngeren Menschen und die Überzeugung in das Potenzial von Kryptowährungen. </w:t>
      </w:r>
      <w:r w:rsidR="00FA4E6E" w:rsidRPr="006126DF">
        <w:rPr>
          <w:rFonts w:ascii="Calibri" w:hAnsi="Calibri" w:cs="Calibri"/>
        </w:rPr>
        <w:t xml:space="preserve">Jüngere Menschen sind außerdem wechselbereiter, da sie mit keinem „klassischen“ Bankensystem aufgewachsen sind und außerdem weniger finanziell gebunden sind an eine </w:t>
      </w:r>
      <w:r w:rsidR="00B75476" w:rsidRPr="006126DF">
        <w:rPr>
          <w:rFonts w:ascii="Calibri" w:hAnsi="Calibri" w:cs="Calibri"/>
        </w:rPr>
        <w:t>klassische</w:t>
      </w:r>
      <w:r w:rsidR="00FA4E6E" w:rsidRPr="006126DF">
        <w:rPr>
          <w:rFonts w:ascii="Calibri" w:hAnsi="Calibri" w:cs="Calibri"/>
        </w:rPr>
        <w:t xml:space="preserve"> Hausbank, worüber bei langjährigen Kunden eher Kredite, Konten und Depots laufen. </w:t>
      </w:r>
      <w:r w:rsidR="00003B28" w:rsidRPr="006126DF">
        <w:rPr>
          <w:rFonts w:ascii="Calibri" w:hAnsi="Calibri" w:cs="Calibri"/>
        </w:rPr>
        <w:t xml:space="preserve">Dadurch gelingt es der jüngeren Generation besser, sich die gerechten Preise unter den Bankgebühren auszusuchen. </w:t>
      </w:r>
      <w:r w:rsidR="00BF6CE1" w:rsidRPr="006126DF">
        <w:rPr>
          <w:rFonts w:ascii="Calibri" w:hAnsi="Calibri" w:cs="Calibri"/>
        </w:rPr>
        <w:t xml:space="preserve">Der Effekt </w:t>
      </w:r>
      <w:r w:rsidR="004D1DB6" w:rsidRPr="006126DF">
        <w:rPr>
          <w:rFonts w:ascii="Calibri" w:hAnsi="Calibri" w:cs="Calibri"/>
        </w:rPr>
        <w:t xml:space="preserve">der </w:t>
      </w:r>
      <w:r w:rsidR="00C54861">
        <w:rPr>
          <w:rFonts w:ascii="Calibri" w:hAnsi="Calibri" w:cs="Calibri"/>
        </w:rPr>
        <w:t>Umstellungskosten</w:t>
      </w:r>
      <w:r w:rsidR="004D1DB6" w:rsidRPr="006126DF">
        <w:rPr>
          <w:rFonts w:ascii="Calibri" w:hAnsi="Calibri" w:cs="Calibri"/>
        </w:rPr>
        <w:t xml:space="preserve"> </w:t>
      </w:r>
      <w:r w:rsidR="00BF6CE1" w:rsidRPr="006126DF">
        <w:rPr>
          <w:rFonts w:ascii="Calibri" w:hAnsi="Calibri" w:cs="Calibri"/>
        </w:rPr>
        <w:t xml:space="preserve">und die Eintrittsbarrieren spielen ebenfalls eine große Rolle in der Beeinflussung des gerechten Preises, beziehungsweise das Ziel von Banken, und generell Unternehmen, den </w:t>
      </w:r>
      <w:r w:rsidR="00BF6CE1" w:rsidRPr="006126DF">
        <w:rPr>
          <w:rFonts w:ascii="Calibri" w:hAnsi="Calibri" w:cs="Calibri"/>
        </w:rPr>
        <w:lastRenderedPageBreak/>
        <w:t xml:space="preserve">Marktpreis über dem natürlichen Preis anzusetzen. </w:t>
      </w:r>
      <w:r w:rsidR="00014166" w:rsidRPr="006126DF">
        <w:rPr>
          <w:rFonts w:ascii="Calibri" w:hAnsi="Calibri" w:cs="Calibri"/>
        </w:rPr>
        <w:t>Im Folgenden möchte ich daher die volkswirtschaftlichen Grundideen zu diesen Konditionen aufzeigen, um sie auf die Bankgebühren anwenden zu können.</w:t>
      </w:r>
    </w:p>
    <w:p w:rsidR="00C54861" w:rsidRPr="006126DF" w:rsidRDefault="00C54861" w:rsidP="007F489E">
      <w:pPr>
        <w:spacing w:line="360" w:lineRule="auto"/>
        <w:jc w:val="both"/>
        <w:rPr>
          <w:rFonts w:ascii="Calibri" w:hAnsi="Calibri" w:cs="Calibri"/>
        </w:rPr>
      </w:pPr>
    </w:p>
    <w:p w:rsidR="008C02EA" w:rsidRPr="006126DF" w:rsidRDefault="00BD3B26" w:rsidP="007F489E">
      <w:pPr>
        <w:pStyle w:val="berschrift2"/>
        <w:spacing w:line="360" w:lineRule="auto"/>
        <w:rPr>
          <w:rFonts w:eastAsia="Times New Roman"/>
        </w:rPr>
      </w:pPr>
      <w:bookmarkStart w:id="22" w:name="_Toc11850918"/>
      <w:r>
        <w:rPr>
          <w:rFonts w:eastAsia="Times New Roman"/>
        </w:rPr>
        <w:t>5</w:t>
      </w:r>
      <w:r w:rsidR="00B152EC">
        <w:rPr>
          <w:rFonts w:eastAsia="Times New Roman"/>
        </w:rPr>
        <w:t xml:space="preserve">.6 </w:t>
      </w:r>
      <w:r w:rsidR="00C54861">
        <w:rPr>
          <w:rFonts w:eastAsia="Times New Roman"/>
        </w:rPr>
        <w:t>Umstellungskosten</w:t>
      </w:r>
      <w:bookmarkEnd w:id="22"/>
    </w:p>
    <w:p w:rsidR="00EA3765" w:rsidRPr="006126DF" w:rsidRDefault="00EA3765" w:rsidP="007F489E">
      <w:pPr>
        <w:spacing w:line="360" w:lineRule="auto"/>
        <w:ind w:firstLine="360"/>
        <w:jc w:val="both"/>
        <w:rPr>
          <w:rFonts w:ascii="Calibri" w:hAnsi="Calibri" w:cs="Calibri"/>
        </w:rPr>
      </w:pPr>
      <w:r w:rsidRPr="006126DF">
        <w:rPr>
          <w:rFonts w:ascii="Calibri" w:hAnsi="Calibri" w:cs="Calibri"/>
        </w:rPr>
        <w:t xml:space="preserve">Umstellungskosten, oder Switching Costs, ist ein branchenübergreifendes Phänomen, welches den Anbieterwechsel aus Sicht des Kunden bewertet. Hohe Umstellungskosten bedeuten, dass Kunden schwer dazu bereit sind, den Anbieter zu wechseln. </w:t>
      </w:r>
      <w:r w:rsidR="00112CF6" w:rsidRPr="006126DF">
        <w:rPr>
          <w:rFonts w:ascii="Calibri" w:hAnsi="Calibri" w:cs="Calibri"/>
        </w:rPr>
        <w:t xml:space="preserve">Der Grund dafür kann freiwilliger Natur sein, da zum Beispiel das jeweilige Ökosystem attraktiv ist, wie zum Beispiel bei Apple. </w:t>
      </w:r>
      <w:r w:rsidR="0049776A" w:rsidRPr="006126DF">
        <w:rPr>
          <w:rFonts w:ascii="Calibri" w:hAnsi="Calibri" w:cs="Calibri"/>
        </w:rPr>
        <w:t>Andererseits können Umstellungskosten auch hoch sein, da es für Kunden zwangsweise schwierig oder unattraktiv ist zu wechseln.</w:t>
      </w:r>
    </w:p>
    <w:p w:rsidR="0015586F" w:rsidRPr="006126DF" w:rsidRDefault="0015586F" w:rsidP="007F489E">
      <w:pPr>
        <w:spacing w:line="360" w:lineRule="auto"/>
        <w:ind w:firstLine="360"/>
        <w:jc w:val="both"/>
        <w:rPr>
          <w:rFonts w:ascii="Calibri" w:hAnsi="Calibri" w:cs="Calibri"/>
        </w:rPr>
      </w:pPr>
    </w:p>
    <w:p w:rsidR="0015586F" w:rsidRPr="006126DF" w:rsidRDefault="0015586F" w:rsidP="007F489E">
      <w:pPr>
        <w:spacing w:line="360" w:lineRule="auto"/>
        <w:ind w:firstLine="360"/>
        <w:jc w:val="both"/>
        <w:rPr>
          <w:rFonts w:ascii="Calibri" w:hAnsi="Calibri" w:cs="Calibri"/>
        </w:rPr>
      </w:pPr>
      <w:r w:rsidRPr="006126DF">
        <w:rPr>
          <w:rFonts w:ascii="Calibri" w:hAnsi="Calibri" w:cs="Calibri"/>
        </w:rPr>
        <w:t>Im Rahmen der Evaluierung der Gerechtigkeit von Bankgebühren ist es dementsprechend spannend zu untersuchen wie hoch die Umstellungskosten im Privatkundengeschäft sind und, ob diese freiwillig sind (</w:t>
      </w:r>
      <w:r w:rsidR="00487790">
        <w:rPr>
          <w:rFonts w:ascii="Calibri" w:hAnsi="Calibri" w:cs="Calibri"/>
        </w:rPr>
        <w:t>siehe Beispiel</w:t>
      </w:r>
      <w:r w:rsidRPr="006126DF">
        <w:rPr>
          <w:rFonts w:ascii="Calibri" w:hAnsi="Calibri" w:cs="Calibri"/>
        </w:rPr>
        <w:t xml:space="preserve"> Apple) oder unfreiwillig.</w:t>
      </w:r>
    </w:p>
    <w:p w:rsidR="00C81D86" w:rsidRPr="006126DF" w:rsidRDefault="00C81D86" w:rsidP="007F489E">
      <w:pPr>
        <w:spacing w:line="360" w:lineRule="auto"/>
        <w:ind w:firstLine="360"/>
        <w:jc w:val="both"/>
        <w:rPr>
          <w:rFonts w:ascii="Calibri" w:hAnsi="Calibri" w:cs="Calibri"/>
        </w:rPr>
      </w:pPr>
    </w:p>
    <w:p w:rsidR="00C81D86" w:rsidRPr="006126DF" w:rsidRDefault="00A97F59" w:rsidP="007F489E">
      <w:pPr>
        <w:spacing w:line="360" w:lineRule="auto"/>
        <w:ind w:firstLine="360"/>
        <w:jc w:val="both"/>
        <w:rPr>
          <w:rFonts w:ascii="Calibri" w:hAnsi="Calibri" w:cs="Calibri"/>
        </w:rPr>
      </w:pPr>
      <w:r w:rsidRPr="006126DF">
        <w:rPr>
          <w:rFonts w:ascii="Calibri" w:hAnsi="Calibri" w:cs="Calibri"/>
        </w:rPr>
        <w:t xml:space="preserve">Umstellungskosten im Bankengeschäft sind in ganz Europa vorhanden, die Kunden davon abbringen können Banken zu wechseln. </w:t>
      </w:r>
      <w:r w:rsidR="00B3762D" w:rsidRPr="006126DF">
        <w:rPr>
          <w:rFonts w:ascii="Calibri" w:hAnsi="Calibri" w:cs="Calibri"/>
        </w:rPr>
        <w:t xml:space="preserve">Zu den Umstellungskosten gehören nicht-finanzielle Faktoren, wie beispielsweise das Finden neuer Anbieter, das Verlieren der existierenden Kundenbetreuung, ebenso wie die finanziellen Kosten des Anbieterwechsels. </w:t>
      </w:r>
      <w:r w:rsidR="00D71906" w:rsidRPr="006126DF">
        <w:rPr>
          <w:rFonts w:ascii="Calibri" w:hAnsi="Calibri" w:cs="Calibri"/>
        </w:rPr>
        <w:t>Die Relevanz der Umstellungskosten liegt in den Effekten auf das Kundenverhalten, da Kunden bei einem Anbieter „gefangen“ sind und ein Anbieterwechsel vermeintlich unattraktiv ist</w:t>
      </w:r>
      <w:r w:rsidR="00A22B2D">
        <w:rPr>
          <w:rFonts w:ascii="Calibri" w:hAnsi="Calibri" w:cs="Calibri"/>
        </w:rPr>
        <w:t xml:space="preserve"> (Matthews, 2010)</w:t>
      </w:r>
      <w:r w:rsidR="00D71906" w:rsidRPr="006126DF">
        <w:rPr>
          <w:rFonts w:ascii="Calibri" w:hAnsi="Calibri" w:cs="Calibri"/>
        </w:rPr>
        <w:t xml:space="preserve">. </w:t>
      </w:r>
    </w:p>
    <w:p w:rsidR="0087062F" w:rsidRPr="006126DF" w:rsidRDefault="0087062F" w:rsidP="007F489E">
      <w:pPr>
        <w:spacing w:line="360" w:lineRule="auto"/>
        <w:ind w:firstLine="360"/>
        <w:jc w:val="both"/>
        <w:rPr>
          <w:rFonts w:ascii="Calibri" w:hAnsi="Calibri" w:cs="Calibri"/>
        </w:rPr>
      </w:pPr>
    </w:p>
    <w:p w:rsidR="0087062F" w:rsidRPr="006126DF" w:rsidRDefault="0087062F" w:rsidP="007F489E">
      <w:pPr>
        <w:spacing w:line="360" w:lineRule="auto"/>
        <w:ind w:firstLine="360"/>
        <w:jc w:val="both"/>
        <w:rPr>
          <w:rFonts w:ascii="Calibri" w:hAnsi="Calibri" w:cs="Calibri"/>
        </w:rPr>
      </w:pPr>
      <w:r w:rsidRPr="006126DF">
        <w:rPr>
          <w:rFonts w:ascii="Calibri" w:hAnsi="Calibri" w:cs="Calibri"/>
        </w:rPr>
        <w:t xml:space="preserve">Interessanterweise liegt </w:t>
      </w:r>
      <w:r w:rsidR="00487790">
        <w:rPr>
          <w:rFonts w:ascii="Calibri" w:hAnsi="Calibri" w:cs="Calibri"/>
        </w:rPr>
        <w:t>die</w:t>
      </w:r>
      <w:r w:rsidRPr="006126DF">
        <w:rPr>
          <w:rFonts w:ascii="Calibri" w:hAnsi="Calibri" w:cs="Calibri"/>
        </w:rPr>
        <w:t xml:space="preserve"> Rate der </w:t>
      </w:r>
      <w:r w:rsidR="00487790">
        <w:rPr>
          <w:rFonts w:ascii="Calibri" w:hAnsi="Calibri" w:cs="Calibri"/>
        </w:rPr>
        <w:t>b</w:t>
      </w:r>
      <w:r w:rsidRPr="006126DF">
        <w:rPr>
          <w:rFonts w:ascii="Calibri" w:hAnsi="Calibri" w:cs="Calibri"/>
        </w:rPr>
        <w:t>efragten Kunden, die ang</w:t>
      </w:r>
      <w:r w:rsidR="00487790">
        <w:rPr>
          <w:rFonts w:ascii="Calibri" w:hAnsi="Calibri" w:cs="Calibri"/>
        </w:rPr>
        <w:t>a</w:t>
      </w:r>
      <w:r w:rsidRPr="006126DF">
        <w:rPr>
          <w:rFonts w:ascii="Calibri" w:hAnsi="Calibri" w:cs="Calibri"/>
        </w:rPr>
        <w:t xml:space="preserve">ben gerne wechseln zu wollen deutlich über dem Anteil, der tatsächlich wechselt. </w:t>
      </w:r>
      <w:r w:rsidR="00CF7651" w:rsidRPr="006126DF">
        <w:rPr>
          <w:rFonts w:ascii="Calibri" w:hAnsi="Calibri" w:cs="Calibri"/>
        </w:rPr>
        <w:t xml:space="preserve">Diese Beobachtung deutet darauf hin, dass die </w:t>
      </w:r>
      <w:r w:rsidR="00FA7FCA" w:rsidRPr="006126DF">
        <w:rPr>
          <w:rFonts w:ascii="Calibri" w:hAnsi="Calibri" w:cs="Calibri"/>
        </w:rPr>
        <w:t>Umstellungskosten</w:t>
      </w:r>
      <w:r w:rsidR="00CF7651" w:rsidRPr="006126DF">
        <w:rPr>
          <w:rFonts w:ascii="Calibri" w:hAnsi="Calibri" w:cs="Calibri"/>
        </w:rPr>
        <w:t xml:space="preserve"> entgegen des Willens des Kunden vorhanden sind.</w:t>
      </w:r>
    </w:p>
    <w:p w:rsidR="00FA7FCA" w:rsidRPr="006126DF" w:rsidRDefault="00FA7FCA" w:rsidP="007F489E">
      <w:pPr>
        <w:spacing w:line="360" w:lineRule="auto"/>
        <w:ind w:firstLine="360"/>
        <w:jc w:val="both"/>
        <w:rPr>
          <w:rFonts w:ascii="Calibri" w:hAnsi="Calibri" w:cs="Calibri"/>
        </w:rPr>
      </w:pPr>
    </w:p>
    <w:p w:rsidR="00FA7FCA" w:rsidRPr="006126DF" w:rsidRDefault="00FA7FCA" w:rsidP="007F489E">
      <w:pPr>
        <w:spacing w:line="360" w:lineRule="auto"/>
        <w:ind w:firstLine="360"/>
        <w:jc w:val="both"/>
        <w:rPr>
          <w:rFonts w:ascii="Calibri" w:hAnsi="Calibri" w:cs="Calibri"/>
        </w:rPr>
      </w:pPr>
      <w:r w:rsidRPr="006126DF">
        <w:rPr>
          <w:rFonts w:ascii="Calibri" w:hAnsi="Calibri" w:cs="Calibri"/>
        </w:rPr>
        <w:t xml:space="preserve">In Märkten, wo Umstellungskosten existieren, können monopolistische Profite erzielt werden. Beweise für die These haben Ergebnisse von Cruickshanks Bericht ergeben, wonach Bankdienstleistungen in England überteuert sind (Cruickshank, 2000). </w:t>
      </w:r>
      <w:r w:rsidR="00391CE5" w:rsidRPr="006126DF">
        <w:rPr>
          <w:rFonts w:ascii="Calibri" w:hAnsi="Calibri" w:cs="Calibri"/>
        </w:rPr>
        <w:t xml:space="preserve">Die Erkenntnis ist erheblich, wenn berücksichtigt wird, dass die UK-Banken im europäischen Vergleich </w:t>
      </w:r>
      <w:r w:rsidR="00391CE5" w:rsidRPr="006126DF">
        <w:rPr>
          <w:rFonts w:ascii="Calibri" w:hAnsi="Calibri" w:cs="Calibri"/>
        </w:rPr>
        <w:lastRenderedPageBreak/>
        <w:t xml:space="preserve">vergleichsweise </w:t>
      </w:r>
      <w:r w:rsidR="00487790">
        <w:rPr>
          <w:rFonts w:ascii="Calibri" w:hAnsi="Calibri" w:cs="Calibri"/>
        </w:rPr>
        <w:t xml:space="preserve">sogar </w:t>
      </w:r>
      <w:r w:rsidR="00391CE5" w:rsidRPr="006126DF">
        <w:rPr>
          <w:rFonts w:ascii="Calibri" w:hAnsi="Calibri" w:cs="Calibri"/>
        </w:rPr>
        <w:t>weniger profitabel sind (</w:t>
      </w:r>
      <w:r w:rsidR="00DB4A39">
        <w:rPr>
          <w:rFonts w:ascii="Calibri" w:hAnsi="Calibri" w:cs="Calibri"/>
        </w:rPr>
        <w:t>Ferber,</w:t>
      </w:r>
      <w:r w:rsidR="004B2D7C">
        <w:rPr>
          <w:rFonts w:ascii="Calibri" w:hAnsi="Calibri" w:cs="Calibri"/>
        </w:rPr>
        <w:t xml:space="preserve"> 2017</w:t>
      </w:r>
      <w:r w:rsidR="00391CE5" w:rsidRPr="006126DF">
        <w:rPr>
          <w:rFonts w:ascii="Calibri" w:hAnsi="Calibri" w:cs="Calibri"/>
        </w:rPr>
        <w:t xml:space="preserve">). </w:t>
      </w:r>
      <w:r w:rsidR="00F95C56" w:rsidRPr="006126DF">
        <w:rPr>
          <w:rFonts w:ascii="Calibri" w:hAnsi="Calibri" w:cs="Calibri"/>
        </w:rPr>
        <w:t xml:space="preserve">Monopolistische Preise </w:t>
      </w:r>
      <w:r w:rsidR="006304DA" w:rsidRPr="006126DF">
        <w:rPr>
          <w:rFonts w:ascii="Calibri" w:hAnsi="Calibri" w:cs="Calibri"/>
        </w:rPr>
        <w:t xml:space="preserve">implizieren, dass ein </w:t>
      </w:r>
      <w:r w:rsidR="00F95C56" w:rsidRPr="006126DF">
        <w:rPr>
          <w:rFonts w:ascii="Calibri" w:hAnsi="Calibri" w:cs="Calibri"/>
        </w:rPr>
        <w:t xml:space="preserve">Anteil </w:t>
      </w:r>
      <w:r w:rsidR="00487790">
        <w:rPr>
          <w:rFonts w:ascii="Calibri" w:hAnsi="Calibri" w:cs="Calibri"/>
        </w:rPr>
        <w:t>des hohen Preises durch</w:t>
      </w:r>
      <w:r w:rsidR="00F95C56" w:rsidRPr="006126DF">
        <w:rPr>
          <w:rFonts w:ascii="Calibri" w:hAnsi="Calibri" w:cs="Calibri"/>
        </w:rPr>
        <w:t xml:space="preserve"> Umstellungskosten </w:t>
      </w:r>
      <w:r w:rsidR="00487790">
        <w:rPr>
          <w:rFonts w:ascii="Calibri" w:hAnsi="Calibri" w:cs="Calibri"/>
        </w:rPr>
        <w:t>erzeugt</w:t>
      </w:r>
      <w:r w:rsidR="00F95C56" w:rsidRPr="006126DF">
        <w:rPr>
          <w:rFonts w:ascii="Calibri" w:hAnsi="Calibri" w:cs="Calibri"/>
        </w:rPr>
        <w:t xml:space="preserve"> </w:t>
      </w:r>
      <w:r w:rsidR="006304DA" w:rsidRPr="006126DF">
        <w:rPr>
          <w:rFonts w:ascii="Calibri" w:hAnsi="Calibri" w:cs="Calibri"/>
        </w:rPr>
        <w:t>wird</w:t>
      </w:r>
      <w:r w:rsidR="00F95C56" w:rsidRPr="006126DF">
        <w:rPr>
          <w:rFonts w:ascii="Calibri" w:hAnsi="Calibri" w:cs="Calibri"/>
        </w:rPr>
        <w:t>.</w:t>
      </w:r>
    </w:p>
    <w:p w:rsidR="009B0DB6" w:rsidRPr="006126DF" w:rsidRDefault="009B0DB6" w:rsidP="007F489E">
      <w:pPr>
        <w:spacing w:line="360" w:lineRule="auto"/>
        <w:jc w:val="both"/>
        <w:rPr>
          <w:rFonts w:ascii="Calibri" w:hAnsi="Calibri" w:cs="Calibri"/>
        </w:rPr>
      </w:pPr>
    </w:p>
    <w:p w:rsidR="000D18F8" w:rsidRPr="006126DF" w:rsidRDefault="00BD3B26" w:rsidP="007F489E">
      <w:pPr>
        <w:pStyle w:val="berschrift2"/>
        <w:spacing w:line="360" w:lineRule="auto"/>
        <w:rPr>
          <w:rFonts w:eastAsia="Times New Roman"/>
        </w:rPr>
      </w:pPr>
      <w:bookmarkStart w:id="23" w:name="_Toc11850919"/>
      <w:r>
        <w:rPr>
          <w:rFonts w:eastAsia="Times New Roman"/>
        </w:rPr>
        <w:t>5</w:t>
      </w:r>
      <w:r w:rsidR="00B152EC">
        <w:rPr>
          <w:rFonts w:eastAsia="Times New Roman"/>
        </w:rPr>
        <w:t xml:space="preserve">.7 </w:t>
      </w:r>
      <w:r w:rsidR="000D18F8" w:rsidRPr="006126DF">
        <w:rPr>
          <w:rFonts w:eastAsia="Times New Roman"/>
        </w:rPr>
        <w:t>Markteintrittsbarrieren der Bankenbranche in Europa</w:t>
      </w:r>
      <w:bookmarkEnd w:id="23"/>
    </w:p>
    <w:p w:rsidR="000D18F8" w:rsidRPr="006126DF" w:rsidRDefault="000D18F8" w:rsidP="007F489E">
      <w:pPr>
        <w:spacing w:line="360" w:lineRule="auto"/>
        <w:ind w:firstLine="708"/>
        <w:jc w:val="both"/>
        <w:rPr>
          <w:rFonts w:ascii="Calibri" w:hAnsi="Calibri" w:cs="Calibri"/>
        </w:rPr>
      </w:pPr>
      <w:r w:rsidRPr="006126DF">
        <w:rPr>
          <w:rFonts w:ascii="Calibri" w:hAnsi="Calibri" w:cs="Calibri"/>
        </w:rPr>
        <w:t>Neben den Umstellungskosten tragen auch Markteintrittsbarrieren dazu bei, dass Bankgebühren auf ein ungerechtes Preisniveau angehoben werden können.</w:t>
      </w:r>
      <w:r w:rsidR="00DA08F1" w:rsidRPr="006126DF">
        <w:rPr>
          <w:rFonts w:ascii="Calibri" w:hAnsi="Calibri" w:cs="Calibri"/>
        </w:rPr>
        <w:t xml:space="preserve"> Startup-Banken, wie N26 oder Monzo berichten von einem müßigen Prozess, um alle Auflagen zu erfüllen und dadurch als Bank operieren zu können. </w:t>
      </w:r>
      <w:r w:rsidR="00FA4F1C" w:rsidRPr="006126DF">
        <w:rPr>
          <w:rFonts w:ascii="Calibri" w:hAnsi="Calibri" w:cs="Calibri"/>
        </w:rPr>
        <w:t xml:space="preserve">Wie vorher beschrieben, war N26 lange auf Kooperationen angewiesen (WireCard), um über eine Stellvertreter Bank Dienstleistungen anbieten zu können. </w:t>
      </w:r>
    </w:p>
    <w:p w:rsidR="005C3FDE" w:rsidRPr="006126DF" w:rsidRDefault="005C3FDE" w:rsidP="007F489E">
      <w:pPr>
        <w:spacing w:line="360" w:lineRule="auto"/>
        <w:ind w:firstLine="708"/>
        <w:jc w:val="both"/>
        <w:rPr>
          <w:rFonts w:ascii="Calibri" w:hAnsi="Calibri" w:cs="Calibri"/>
        </w:rPr>
      </w:pPr>
    </w:p>
    <w:p w:rsidR="005C3FDE" w:rsidRPr="006126DF" w:rsidRDefault="005C3FDE" w:rsidP="007F489E">
      <w:pPr>
        <w:spacing w:line="360" w:lineRule="auto"/>
        <w:ind w:firstLine="708"/>
        <w:jc w:val="both"/>
        <w:rPr>
          <w:rFonts w:ascii="Calibri" w:hAnsi="Calibri" w:cs="Calibri"/>
        </w:rPr>
      </w:pPr>
      <w:r w:rsidRPr="006126DF">
        <w:rPr>
          <w:rFonts w:ascii="Calibri" w:hAnsi="Calibri" w:cs="Calibri"/>
        </w:rPr>
        <w:t>In einem Artikel mit</w:t>
      </w:r>
      <w:r w:rsidR="00E370B1">
        <w:rPr>
          <w:rFonts w:ascii="Calibri" w:hAnsi="Calibri" w:cs="Calibri"/>
        </w:rPr>
        <w:t xml:space="preserve"> der</w:t>
      </w:r>
      <w:r w:rsidRPr="006126DF">
        <w:rPr>
          <w:rFonts w:ascii="Calibri" w:hAnsi="Calibri" w:cs="Calibri"/>
        </w:rPr>
        <w:t xml:space="preserve"> Financial Times</w:t>
      </w:r>
      <w:r w:rsidR="003214FB">
        <w:rPr>
          <w:rFonts w:ascii="Calibri" w:hAnsi="Calibri" w:cs="Calibri"/>
        </w:rPr>
        <w:t xml:space="preserve"> (2019)</w:t>
      </w:r>
      <w:r w:rsidRPr="006126DF">
        <w:rPr>
          <w:rFonts w:ascii="Calibri" w:hAnsi="Calibri" w:cs="Calibri"/>
        </w:rPr>
        <w:t xml:space="preserve"> berichtet ein Mitbegründer von dem langwierigen Prozess, der in Österreich oder Deutschland ähnlich kompliziert ist</w:t>
      </w:r>
      <w:r w:rsidR="00155989" w:rsidRPr="006126DF">
        <w:rPr>
          <w:rFonts w:ascii="Calibri" w:hAnsi="Calibri" w:cs="Calibri"/>
        </w:rPr>
        <w:t>. Die folgende Aussage</w:t>
      </w:r>
      <w:r w:rsidR="006164E4">
        <w:rPr>
          <w:rFonts w:ascii="Calibri" w:hAnsi="Calibri" w:cs="Calibri"/>
        </w:rPr>
        <w:t xml:space="preserve"> des Monzo Mitbegründers</w:t>
      </w:r>
      <w:r w:rsidR="00155989" w:rsidRPr="006126DF">
        <w:rPr>
          <w:rFonts w:ascii="Calibri" w:hAnsi="Calibri" w:cs="Calibri"/>
        </w:rPr>
        <w:t xml:space="preserve"> ist sinnbildlich für den bürokratischen Aufwand in Europa, um eine Banklizenz zu erhalten:</w:t>
      </w:r>
    </w:p>
    <w:p w:rsidR="00155989" w:rsidRPr="00155989" w:rsidRDefault="00155989" w:rsidP="007F489E">
      <w:pPr>
        <w:spacing w:line="360" w:lineRule="auto"/>
        <w:rPr>
          <w:i/>
        </w:rPr>
      </w:pPr>
      <w:r w:rsidRPr="00155989">
        <w:br/>
      </w:r>
      <w:r w:rsidRPr="00155989">
        <w:rPr>
          <w:i/>
        </w:rPr>
        <w:t>“In order to get a licence you had to have a bank account at the Bank of England. But to get a bank account at the Bank of England you had to be a licensed bank — it just showed that it wasn’t a particularly well-rehearsed route.”</w:t>
      </w:r>
    </w:p>
    <w:p w:rsidR="00155989" w:rsidRPr="006126DF" w:rsidRDefault="00155989" w:rsidP="007F489E">
      <w:pPr>
        <w:spacing w:line="360" w:lineRule="auto"/>
        <w:ind w:firstLine="708"/>
        <w:jc w:val="both"/>
        <w:rPr>
          <w:rFonts w:ascii="Calibri" w:hAnsi="Calibri" w:cs="Calibri"/>
          <w:i/>
        </w:rPr>
      </w:pPr>
    </w:p>
    <w:p w:rsidR="000D18F8" w:rsidRDefault="00506067" w:rsidP="007F489E">
      <w:pPr>
        <w:spacing w:line="360" w:lineRule="auto"/>
        <w:ind w:firstLine="708"/>
        <w:jc w:val="both"/>
        <w:rPr>
          <w:rFonts w:ascii="Calibri" w:hAnsi="Calibri" w:cs="Calibri"/>
        </w:rPr>
      </w:pPr>
      <w:r w:rsidRPr="006126DF">
        <w:rPr>
          <w:rFonts w:ascii="Calibri" w:hAnsi="Calibri" w:cs="Calibri"/>
        </w:rPr>
        <w:t xml:space="preserve">Dabei war es ein Ziel der europäischen Regierungen, in Folge der Finanzkrise, neue Markeintritte zuzulassen. Rettungspakete für skandalbehaftete Banken waren Auslöser für die Forderung von größerer Konkurrenz. </w:t>
      </w:r>
      <w:r w:rsidR="00B056F5" w:rsidRPr="006126DF">
        <w:rPr>
          <w:rFonts w:ascii="Calibri" w:hAnsi="Calibri" w:cs="Calibri"/>
        </w:rPr>
        <w:t>Obwohl langsam aber sicher mehr und mehr neue Banken Zulassungen erhalten, gibt es trotzdem eine „gläserne Decke“, die neuen Banken das Leben erschwert</w:t>
      </w:r>
      <w:r w:rsidR="00BB6B08">
        <w:rPr>
          <w:rFonts w:ascii="Calibri" w:hAnsi="Calibri" w:cs="Calibri"/>
        </w:rPr>
        <w:t xml:space="preserve"> </w:t>
      </w:r>
      <w:r w:rsidR="00E57877">
        <w:rPr>
          <w:rFonts w:ascii="Calibri" w:hAnsi="Calibri" w:cs="Calibri"/>
        </w:rPr>
        <w:t>(Megaw, 2019)</w:t>
      </w:r>
      <w:r w:rsidR="00BB6B08">
        <w:rPr>
          <w:rFonts w:ascii="Calibri" w:hAnsi="Calibri" w:cs="Calibri"/>
        </w:rPr>
        <w:t>.</w:t>
      </w:r>
      <w:r w:rsidR="00E57877">
        <w:rPr>
          <w:rFonts w:ascii="Calibri" w:hAnsi="Calibri" w:cs="Calibri"/>
        </w:rPr>
        <w:t xml:space="preserve"> </w:t>
      </w:r>
      <w:r w:rsidR="008038ED" w:rsidRPr="006126DF">
        <w:rPr>
          <w:rFonts w:ascii="Calibri" w:hAnsi="Calibri" w:cs="Calibri"/>
        </w:rPr>
        <w:t xml:space="preserve">Neuen Banken wird es zwar mittlerweile einfacher gemacht eine Bank zu gründen, allerdings verursachen strikte Sicherheitsauflagen überproportional hohe Kosten für kleine Unternehmen, die </w:t>
      </w:r>
      <w:r w:rsidR="00E370B1">
        <w:rPr>
          <w:rFonts w:ascii="Calibri" w:hAnsi="Calibri" w:cs="Calibri"/>
        </w:rPr>
        <w:t xml:space="preserve">von den großen Playern </w:t>
      </w:r>
      <w:r w:rsidR="008038ED" w:rsidRPr="006126DF">
        <w:rPr>
          <w:rFonts w:ascii="Calibri" w:hAnsi="Calibri" w:cs="Calibri"/>
        </w:rPr>
        <w:t xml:space="preserve">deutlich leichter getragen werden können. </w:t>
      </w:r>
      <w:r w:rsidR="00C30CAA" w:rsidRPr="006126DF">
        <w:rPr>
          <w:rFonts w:ascii="Calibri" w:hAnsi="Calibri" w:cs="Calibri"/>
        </w:rPr>
        <w:t xml:space="preserve">Im Vereinigten Königreich sind die Privatkundenbankengeschäfte noch konzentrierter als vor der Krise. Die sechs größten Banken betreuen 87% der Bankkonten, verglichen mit 80% in 2000 (Abbildung </w:t>
      </w:r>
      <w:r w:rsidR="00BB6B08">
        <w:rPr>
          <w:rFonts w:ascii="Calibri" w:hAnsi="Calibri" w:cs="Calibri"/>
        </w:rPr>
        <w:t>8</w:t>
      </w:r>
      <w:r w:rsidR="00C30CAA" w:rsidRPr="006126DF">
        <w:rPr>
          <w:rFonts w:ascii="Calibri" w:hAnsi="Calibri" w:cs="Calibri"/>
        </w:rPr>
        <w:t xml:space="preserve">). </w:t>
      </w:r>
    </w:p>
    <w:p w:rsidR="00F34F60" w:rsidRPr="006126DF" w:rsidRDefault="00F34F60" w:rsidP="007F489E">
      <w:pPr>
        <w:spacing w:line="360" w:lineRule="auto"/>
        <w:ind w:firstLine="708"/>
        <w:jc w:val="both"/>
        <w:rPr>
          <w:rFonts w:ascii="Calibri" w:hAnsi="Calibri" w:cs="Calibri"/>
        </w:rPr>
      </w:pPr>
    </w:p>
    <w:p w:rsidR="009B0DB6" w:rsidRDefault="00F34F60" w:rsidP="006E1E8D">
      <w:pPr>
        <w:spacing w:line="360" w:lineRule="auto"/>
        <w:jc w:val="center"/>
      </w:pPr>
      <w:r w:rsidRPr="000D18F8">
        <w:lastRenderedPageBreak/>
        <w:fldChar w:fldCharType="begin"/>
      </w:r>
      <w:r w:rsidRPr="000D18F8">
        <w:instrText xml:space="preserve"> INCLUDEPICTURE "https://www.ft.com/__origami/service/image/v2/images/raw/http%3A%2F%2Fcom.ft.imagepublish.upp-prod-us.s3.amazonaws.com%2F6a113ea4-15ba-11e9-a581-4ff78404524e?fit=scale-down&amp;quality=highest&amp;source=next&amp;width=700" \* MERGEFORMATINET </w:instrText>
      </w:r>
      <w:r w:rsidRPr="000D18F8">
        <w:fldChar w:fldCharType="separate"/>
      </w:r>
      <w:r w:rsidRPr="006126DF">
        <w:rPr>
          <w:noProof/>
        </w:rPr>
        <w:drawing>
          <wp:inline distT="0" distB="0" distL="0" distR="0" wp14:anchorId="5C8E7D6A" wp14:editId="616E42F1">
            <wp:extent cx="4845050" cy="3022679"/>
            <wp:effectExtent l="0" t="0" r="0" b="0"/>
            <wp:docPr id="10" name="Grafik 10" descr="https://www.ft.com/__origami/service/image/v2/images/raw/http%3A%2F%2Fcom.ft.imagepublish.upp-prod-us.s3.amazonaws.com%2F6a113ea4-15ba-11e9-a581-4ff78404524e?fit=scale-down&amp;quality=highest&amp;source=next&amp;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t.com/__origami/service/image/v2/images/raw/http%3A%2F%2Fcom.ft.imagepublish.upp-prod-us.s3.amazonaws.com%2F6a113ea4-15ba-11e9-a581-4ff78404524e?fit=scale-down&amp;quality=highest&amp;source=next&amp;width=700"/>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4881225" cy="3045248"/>
                    </a:xfrm>
                    <a:prstGeom prst="rect">
                      <a:avLst/>
                    </a:prstGeom>
                    <a:noFill/>
                    <a:ln>
                      <a:noFill/>
                    </a:ln>
                    <a:extLst>
                      <a:ext uri="{53640926-AAD7-44D8-BBD7-CCE9431645EC}">
                        <a14:shadowObscured xmlns:a14="http://schemas.microsoft.com/office/drawing/2010/main"/>
                      </a:ext>
                    </a:extLst>
                  </pic:spPr>
                </pic:pic>
              </a:graphicData>
            </a:graphic>
          </wp:inline>
        </w:drawing>
      </w:r>
      <w:r w:rsidRPr="000D18F8">
        <w:fldChar w:fldCharType="end"/>
      </w:r>
    </w:p>
    <w:p w:rsidR="00424D11" w:rsidRPr="00424D11" w:rsidRDefault="00424D11" w:rsidP="006E1E8D">
      <w:pPr>
        <w:spacing w:line="360" w:lineRule="auto"/>
        <w:jc w:val="center"/>
        <w:rPr>
          <w:rFonts w:ascii="Calibri" w:hAnsi="Calibri"/>
        </w:rPr>
      </w:pPr>
      <w:r w:rsidRPr="00424D11">
        <w:rPr>
          <w:rFonts w:ascii="Calibri" w:hAnsi="Calibri"/>
        </w:rPr>
        <w:t>(Abbildung 8, Quelle: FCA, Financial Times)</w:t>
      </w:r>
    </w:p>
    <w:p w:rsidR="00424D11" w:rsidRPr="00F34F60" w:rsidRDefault="00424D11" w:rsidP="007F489E">
      <w:pPr>
        <w:spacing w:line="360" w:lineRule="auto"/>
      </w:pPr>
    </w:p>
    <w:p w:rsidR="000D18F8" w:rsidRPr="006126DF" w:rsidRDefault="001877C4" w:rsidP="007F489E">
      <w:pPr>
        <w:spacing w:line="360" w:lineRule="auto"/>
        <w:ind w:firstLine="708"/>
        <w:jc w:val="both"/>
        <w:rPr>
          <w:rFonts w:ascii="Calibri" w:hAnsi="Calibri" w:cs="Calibri"/>
        </w:rPr>
      </w:pPr>
      <w:r w:rsidRPr="006126DF">
        <w:rPr>
          <w:rFonts w:ascii="Calibri" w:hAnsi="Calibri" w:cs="Calibri"/>
        </w:rPr>
        <w:t xml:space="preserve">Aufsichtsbehörden, wie die Financial Conduct Authority in UK, oder die BaFin in Deutschland sorgen sich über die Entwicklung. </w:t>
      </w:r>
      <w:r w:rsidR="007855CC" w:rsidRPr="006126DF">
        <w:rPr>
          <w:rFonts w:ascii="Calibri" w:hAnsi="Calibri" w:cs="Calibri"/>
        </w:rPr>
        <w:t>Sie bemerken, dass die Marktdominanz bei großen Banken, verursacht durch geringere Kapitalvoraussetzungen und höhere Renditen auf Kredite, als bei den kleineren Konkurrenten zu einem Konkurrenz-Ungleichgewicht</w:t>
      </w:r>
      <w:r w:rsidR="00192E87" w:rsidRPr="006126DF">
        <w:rPr>
          <w:rFonts w:ascii="Calibri" w:hAnsi="Calibri" w:cs="Calibri"/>
        </w:rPr>
        <w:t xml:space="preserve"> zugunsten der großen Banken</w:t>
      </w:r>
      <w:r w:rsidR="007855CC" w:rsidRPr="006126DF">
        <w:rPr>
          <w:rFonts w:ascii="Calibri" w:hAnsi="Calibri" w:cs="Calibri"/>
        </w:rPr>
        <w:t xml:space="preserve"> führ</w:t>
      </w:r>
      <w:r w:rsidR="00F34F60">
        <w:rPr>
          <w:rFonts w:ascii="Calibri" w:hAnsi="Calibri" w:cs="Calibri"/>
        </w:rPr>
        <w:t>t</w:t>
      </w:r>
      <w:r w:rsidR="007855CC" w:rsidRPr="006126DF">
        <w:rPr>
          <w:rFonts w:ascii="Calibri" w:hAnsi="Calibri" w:cs="Calibri"/>
        </w:rPr>
        <w:t>.</w:t>
      </w:r>
      <w:r w:rsidR="00526AE5" w:rsidRPr="006126DF">
        <w:rPr>
          <w:rFonts w:ascii="Calibri" w:hAnsi="Calibri" w:cs="Calibri"/>
        </w:rPr>
        <w:t xml:space="preserve"> </w:t>
      </w:r>
      <w:r w:rsidR="008F4E8B" w:rsidRPr="006126DF">
        <w:rPr>
          <w:rFonts w:ascii="Calibri" w:hAnsi="Calibri" w:cs="Calibri"/>
        </w:rPr>
        <w:t xml:space="preserve">Allerdings wurden keine konkreten Maßnahmen umgesetzt, um der Entwicklung entgegenzuwirken. </w:t>
      </w:r>
      <w:r w:rsidR="002C1CB6" w:rsidRPr="006126DF">
        <w:rPr>
          <w:rFonts w:ascii="Calibri" w:hAnsi="Calibri" w:cs="Calibri"/>
        </w:rPr>
        <w:t>Stattdessen werden auf neue, große Konkurrenten aus anderen Branchen gehofft, wie zum Beispiel Amazon, um das Privatbankengeschäft aufzumischen</w:t>
      </w:r>
      <w:r w:rsidR="00F92108">
        <w:rPr>
          <w:rFonts w:ascii="Calibri" w:hAnsi="Calibri" w:cs="Calibri"/>
        </w:rPr>
        <w:t xml:space="preserve"> (Megaw, 2019)</w:t>
      </w:r>
      <w:r w:rsidR="002C1CB6" w:rsidRPr="006126DF">
        <w:rPr>
          <w:rFonts w:ascii="Calibri" w:hAnsi="Calibri" w:cs="Calibri"/>
        </w:rPr>
        <w:t xml:space="preserve">. </w:t>
      </w:r>
    </w:p>
    <w:p w:rsidR="00526AE5" w:rsidRPr="006126DF" w:rsidRDefault="00526AE5" w:rsidP="007F489E">
      <w:pPr>
        <w:spacing w:line="360" w:lineRule="auto"/>
        <w:jc w:val="both"/>
        <w:rPr>
          <w:rFonts w:ascii="Calibri" w:hAnsi="Calibri" w:cs="Calibri"/>
        </w:rPr>
      </w:pPr>
    </w:p>
    <w:p w:rsidR="007F215C" w:rsidRPr="006126DF" w:rsidRDefault="002E4450" w:rsidP="007F489E">
      <w:pPr>
        <w:spacing w:line="360" w:lineRule="auto"/>
        <w:jc w:val="both"/>
        <w:rPr>
          <w:rFonts w:ascii="Calibri" w:hAnsi="Calibri" w:cs="Calibri"/>
        </w:rPr>
      </w:pPr>
      <w:r w:rsidRPr="006126DF">
        <w:rPr>
          <w:rFonts w:ascii="Calibri" w:hAnsi="Calibri" w:cs="Calibri"/>
        </w:rPr>
        <w:tab/>
        <w:t xml:space="preserve">Eine Marktkonzentration von großen Banken muss per se nicht schlecht sein. </w:t>
      </w:r>
      <w:r w:rsidR="00604636" w:rsidRPr="006126DF">
        <w:rPr>
          <w:rFonts w:ascii="Calibri" w:hAnsi="Calibri" w:cs="Calibri"/>
        </w:rPr>
        <w:t xml:space="preserve">Wenn große Banken innovativ sind und ihre Liquidität sensibel nutzen, dann können sie auch positiv, anstatt negativ dominieren. </w:t>
      </w:r>
      <w:r w:rsidR="00297EFE" w:rsidRPr="006126DF">
        <w:rPr>
          <w:rFonts w:ascii="Calibri" w:hAnsi="Calibri" w:cs="Calibri"/>
        </w:rPr>
        <w:t>Als</w:t>
      </w:r>
      <w:r w:rsidR="00F34F60">
        <w:rPr>
          <w:rFonts w:ascii="Calibri" w:hAnsi="Calibri" w:cs="Calibri"/>
        </w:rPr>
        <w:t xml:space="preserve">, zum Beispiel, </w:t>
      </w:r>
      <w:r w:rsidR="00297EFE" w:rsidRPr="006126DF">
        <w:rPr>
          <w:rFonts w:ascii="Calibri" w:hAnsi="Calibri" w:cs="Calibri"/>
        </w:rPr>
        <w:t>Post-Krisen Reformen die HSBC dazu zwang, eine Milliardensumme aus dem Investment Banking Geschäft abzuziehen, wurde der Betrag zu einem Ausbau im Hypothekengeschäft verwendet.</w:t>
      </w:r>
    </w:p>
    <w:p w:rsidR="007F215C" w:rsidRPr="006126DF" w:rsidRDefault="007F215C" w:rsidP="007F489E">
      <w:pPr>
        <w:spacing w:line="360" w:lineRule="auto"/>
        <w:jc w:val="both"/>
        <w:rPr>
          <w:rFonts w:ascii="Calibri" w:hAnsi="Calibri" w:cs="Calibri"/>
        </w:rPr>
      </w:pPr>
    </w:p>
    <w:p w:rsidR="002E4450" w:rsidRPr="006126DF" w:rsidRDefault="007F215C" w:rsidP="007F489E">
      <w:pPr>
        <w:spacing w:line="360" w:lineRule="auto"/>
        <w:jc w:val="both"/>
        <w:rPr>
          <w:rFonts w:ascii="Calibri" w:hAnsi="Calibri" w:cs="Calibri"/>
        </w:rPr>
      </w:pPr>
      <w:r w:rsidRPr="006126DF">
        <w:rPr>
          <w:rFonts w:ascii="Calibri" w:hAnsi="Calibri" w:cs="Calibri"/>
        </w:rPr>
        <w:tab/>
        <w:t xml:space="preserve">Nichtsdestotrotz </w:t>
      </w:r>
      <w:r w:rsidR="00B71656" w:rsidRPr="006126DF">
        <w:rPr>
          <w:rFonts w:ascii="Calibri" w:hAnsi="Calibri" w:cs="Calibri"/>
        </w:rPr>
        <w:t>helfen günstigere Finanzierungskosten</w:t>
      </w:r>
      <w:r w:rsidR="00297EFE" w:rsidRPr="006126DF">
        <w:rPr>
          <w:rFonts w:ascii="Calibri" w:hAnsi="Calibri" w:cs="Calibri"/>
        </w:rPr>
        <w:t xml:space="preserve"> </w:t>
      </w:r>
      <w:r w:rsidR="00B71656" w:rsidRPr="006126DF">
        <w:rPr>
          <w:rFonts w:ascii="Calibri" w:hAnsi="Calibri" w:cs="Calibri"/>
        </w:rPr>
        <w:t>den großen Banken ihre Vormachtstellung gegenüber kleine</w:t>
      </w:r>
      <w:r w:rsidR="00F34F60">
        <w:rPr>
          <w:rFonts w:ascii="Calibri" w:hAnsi="Calibri" w:cs="Calibri"/>
        </w:rPr>
        <w:t>re</w:t>
      </w:r>
      <w:r w:rsidR="00B71656" w:rsidRPr="006126DF">
        <w:rPr>
          <w:rFonts w:ascii="Calibri" w:hAnsi="Calibri" w:cs="Calibri"/>
        </w:rPr>
        <w:t>n Konkurrenten zu halten. Hinzu komm</w:t>
      </w:r>
      <w:r w:rsidR="00725A29" w:rsidRPr="006126DF">
        <w:rPr>
          <w:rFonts w:ascii="Calibri" w:hAnsi="Calibri" w:cs="Calibri"/>
        </w:rPr>
        <w:t xml:space="preserve">en Regulationen, die es ihnen aufgrund ihrer Größe erlaubt weniger Sicherheiten gegen bestimmte </w:t>
      </w:r>
      <w:r w:rsidR="00725A29" w:rsidRPr="006126DF">
        <w:rPr>
          <w:rFonts w:ascii="Calibri" w:hAnsi="Calibri" w:cs="Calibri"/>
        </w:rPr>
        <w:lastRenderedPageBreak/>
        <w:t xml:space="preserve">Anlageprodukte zu halten. </w:t>
      </w:r>
      <w:r w:rsidR="005D5A51" w:rsidRPr="006126DF">
        <w:rPr>
          <w:rFonts w:ascii="Calibri" w:hAnsi="Calibri" w:cs="Calibri"/>
        </w:rPr>
        <w:t>Somit ist es schwierig für kleine Banken gegen die großen anzukämpfen</w:t>
      </w:r>
      <w:r w:rsidR="00374042">
        <w:rPr>
          <w:rFonts w:ascii="Calibri" w:hAnsi="Calibri" w:cs="Calibri"/>
        </w:rPr>
        <w:t xml:space="preserve"> (Megaw, 2019)</w:t>
      </w:r>
      <w:r w:rsidR="005D5A51" w:rsidRPr="006126DF">
        <w:rPr>
          <w:rFonts w:ascii="Calibri" w:hAnsi="Calibri" w:cs="Calibri"/>
        </w:rPr>
        <w:t>.</w:t>
      </w:r>
    </w:p>
    <w:p w:rsidR="0094334C" w:rsidRPr="006126DF" w:rsidRDefault="0094334C" w:rsidP="007F489E">
      <w:pPr>
        <w:spacing w:line="360" w:lineRule="auto"/>
        <w:jc w:val="both"/>
        <w:rPr>
          <w:rFonts w:ascii="Calibri" w:hAnsi="Calibri" w:cs="Calibri"/>
        </w:rPr>
      </w:pPr>
    </w:p>
    <w:p w:rsidR="0094334C" w:rsidRPr="006126DF" w:rsidRDefault="0094334C" w:rsidP="007F489E">
      <w:pPr>
        <w:spacing w:line="360" w:lineRule="auto"/>
        <w:jc w:val="both"/>
        <w:rPr>
          <w:rFonts w:ascii="Calibri" w:hAnsi="Calibri" w:cs="Calibri"/>
        </w:rPr>
      </w:pPr>
      <w:r w:rsidRPr="006126DF">
        <w:rPr>
          <w:rFonts w:ascii="Calibri" w:hAnsi="Calibri" w:cs="Calibri"/>
        </w:rPr>
        <w:tab/>
        <w:t>Es ist zu erkennen, dass neue Marktteilnehmer den Markt versuchen aufzumischen</w:t>
      </w:r>
      <w:r w:rsidR="00EE6293" w:rsidRPr="006126DF">
        <w:rPr>
          <w:rFonts w:ascii="Calibri" w:hAnsi="Calibri" w:cs="Calibri"/>
        </w:rPr>
        <w:t xml:space="preserve"> und </w:t>
      </w:r>
      <w:r w:rsidR="00C23E1E" w:rsidRPr="006126DF">
        <w:rPr>
          <w:rFonts w:ascii="Calibri" w:hAnsi="Calibri" w:cs="Calibri"/>
        </w:rPr>
        <w:t xml:space="preserve">den </w:t>
      </w:r>
      <w:r w:rsidR="00EE6293" w:rsidRPr="006126DF">
        <w:rPr>
          <w:rFonts w:ascii="Calibri" w:hAnsi="Calibri" w:cs="Calibri"/>
        </w:rPr>
        <w:t xml:space="preserve">Kunden bessere Dienstleistungen anbieten wollen. </w:t>
      </w:r>
      <w:r w:rsidR="00FE0042" w:rsidRPr="006126DF">
        <w:rPr>
          <w:rFonts w:ascii="Calibri" w:hAnsi="Calibri" w:cs="Calibri"/>
        </w:rPr>
        <w:t xml:space="preserve">Die Marktmacht der großen Banken erlaubt aber die Aufrechterhaltung des finanziellen Vorteils. </w:t>
      </w:r>
      <w:r w:rsidR="00C23E1E" w:rsidRPr="006126DF">
        <w:rPr>
          <w:rFonts w:ascii="Calibri" w:hAnsi="Calibri" w:cs="Calibri"/>
        </w:rPr>
        <w:t xml:space="preserve">Wären die Rahmenbedingungen für groß und klein ausgeglichener, so wäre auch eine Reduzierung der Bankgebühren denkbar, da die Konkurrenz wachsen würde. </w:t>
      </w:r>
      <w:r w:rsidR="007E4A36" w:rsidRPr="006126DF">
        <w:rPr>
          <w:rFonts w:ascii="Calibri" w:hAnsi="Calibri" w:cs="Calibri"/>
        </w:rPr>
        <w:t>Es gibt also auch Anhaltspunkte, dass die Regulatoren mehr Möglichkeiten hätten, um den gerechten Preis von Bankgebühren zu erreichen.</w:t>
      </w:r>
    </w:p>
    <w:p w:rsidR="00F965BE" w:rsidRPr="006126DF" w:rsidRDefault="00526AE5" w:rsidP="007F489E">
      <w:pPr>
        <w:spacing w:line="360" w:lineRule="auto"/>
        <w:jc w:val="both"/>
        <w:rPr>
          <w:rFonts w:ascii="Calibri" w:hAnsi="Calibri" w:cs="Calibri"/>
        </w:rPr>
      </w:pPr>
      <w:r w:rsidRPr="006126DF">
        <w:rPr>
          <w:rFonts w:ascii="Calibri" w:hAnsi="Calibri" w:cs="Calibri"/>
        </w:rPr>
        <w:tab/>
      </w:r>
    </w:p>
    <w:p w:rsidR="0008564B" w:rsidRPr="00D31CA5" w:rsidRDefault="00BD3B26" w:rsidP="007F489E">
      <w:pPr>
        <w:pStyle w:val="berschrift1"/>
        <w:spacing w:line="360" w:lineRule="auto"/>
        <w:rPr>
          <w:rFonts w:eastAsia="Times New Roman"/>
        </w:rPr>
      </w:pPr>
      <w:bookmarkStart w:id="24" w:name="_Toc11850920"/>
      <w:r>
        <w:rPr>
          <w:rFonts w:eastAsia="Times New Roman"/>
        </w:rPr>
        <w:t>6</w:t>
      </w:r>
      <w:r w:rsidR="00D31CA5" w:rsidRPr="00D31CA5">
        <w:rPr>
          <w:rFonts w:eastAsia="Times New Roman"/>
        </w:rPr>
        <w:t>.</w:t>
      </w:r>
      <w:r w:rsidR="00303AC3" w:rsidRPr="00D31CA5">
        <w:rPr>
          <w:rFonts w:eastAsia="Times New Roman"/>
        </w:rPr>
        <w:t xml:space="preserve"> Bankgebühren auf dem Weg zum gerechten Preis?</w:t>
      </w:r>
      <w:bookmarkEnd w:id="24"/>
    </w:p>
    <w:p w:rsidR="002B755F" w:rsidRDefault="00303AC3" w:rsidP="007F489E">
      <w:pPr>
        <w:spacing w:line="360" w:lineRule="auto"/>
        <w:jc w:val="both"/>
        <w:rPr>
          <w:rFonts w:ascii="Calibri" w:hAnsi="Calibri" w:cs="Calibri"/>
        </w:rPr>
      </w:pPr>
      <w:r>
        <w:rPr>
          <w:rFonts w:ascii="Calibri" w:hAnsi="Calibri" w:cs="Calibri"/>
        </w:rPr>
        <w:tab/>
        <w:t xml:space="preserve">Die bisherigen Untersuchungen haben gezeigt, dass für (automatisierte) Bankdienstleistungen Bankgebühren verlangt werden, die den Kosten nicht entsprechen. </w:t>
      </w:r>
      <w:r w:rsidR="00F965BE">
        <w:rPr>
          <w:rFonts w:ascii="Calibri" w:hAnsi="Calibri" w:cs="Calibri"/>
        </w:rPr>
        <w:t xml:space="preserve">Die Gründe sind zum einen das Ausweichen von fehlenden Zinserträgen auf zinsunabhängige Bankgebühren, um die Profitabilität aufrecht zu erhalten. </w:t>
      </w:r>
      <w:r w:rsidR="00853C1C">
        <w:rPr>
          <w:rFonts w:ascii="Calibri" w:hAnsi="Calibri" w:cs="Calibri"/>
        </w:rPr>
        <w:t xml:space="preserve">Des Weiteren erlauben hohe Switching Costs für Kunden und Markteintrittsbarrieren für neue Konkurrenten die hohe Preissetzung. </w:t>
      </w:r>
    </w:p>
    <w:p w:rsidR="00F15452" w:rsidRDefault="00F15452" w:rsidP="007F489E">
      <w:pPr>
        <w:spacing w:line="360" w:lineRule="auto"/>
        <w:jc w:val="both"/>
        <w:rPr>
          <w:rFonts w:ascii="Calibri" w:hAnsi="Calibri" w:cs="Calibri"/>
        </w:rPr>
      </w:pPr>
    </w:p>
    <w:p w:rsidR="00F15452" w:rsidRDefault="00F15452" w:rsidP="007F489E">
      <w:pPr>
        <w:spacing w:line="360" w:lineRule="auto"/>
        <w:jc w:val="both"/>
        <w:rPr>
          <w:rFonts w:ascii="Calibri" w:hAnsi="Calibri" w:cs="Calibri"/>
        </w:rPr>
      </w:pPr>
      <w:r>
        <w:rPr>
          <w:rFonts w:ascii="Calibri" w:hAnsi="Calibri" w:cs="Calibri"/>
        </w:rPr>
        <w:tab/>
        <w:t>Nichtsdestotrotz haben, vor allem seit der Finanzkrise, Änderungen stattgefunden, welche dabei sind</w:t>
      </w:r>
      <w:r w:rsidR="004C6F0E">
        <w:rPr>
          <w:rFonts w:ascii="Calibri" w:hAnsi="Calibri" w:cs="Calibri"/>
        </w:rPr>
        <w:t>,</w:t>
      </w:r>
      <w:r>
        <w:rPr>
          <w:rFonts w:ascii="Calibri" w:hAnsi="Calibri" w:cs="Calibri"/>
        </w:rPr>
        <w:t xml:space="preserve"> die traditionelle Bankenlandschaft zu transformieren. </w:t>
      </w:r>
      <w:r w:rsidR="00196C10">
        <w:rPr>
          <w:rFonts w:ascii="Calibri" w:hAnsi="Calibri" w:cs="Calibri"/>
        </w:rPr>
        <w:t xml:space="preserve">Dazu gehören die Direktbanken, die durch günstige Kosten auch günstige Gebühren an die Kunden weitergeben. </w:t>
      </w:r>
      <w:r w:rsidR="004C6F0E">
        <w:rPr>
          <w:rFonts w:ascii="Calibri" w:hAnsi="Calibri" w:cs="Calibri"/>
        </w:rPr>
        <w:t xml:space="preserve">Banken-Startups, wie N26, haben </w:t>
      </w:r>
      <w:r w:rsidR="00773BD9">
        <w:rPr>
          <w:rFonts w:ascii="Calibri" w:hAnsi="Calibri" w:cs="Calibri"/>
        </w:rPr>
        <w:t xml:space="preserve">sich </w:t>
      </w:r>
      <w:r w:rsidR="004C6F0E">
        <w:rPr>
          <w:rFonts w:ascii="Calibri" w:hAnsi="Calibri" w:cs="Calibri"/>
        </w:rPr>
        <w:t>trotz Markteintrittsbarrieren</w:t>
      </w:r>
      <w:r w:rsidR="00773BD9">
        <w:rPr>
          <w:rFonts w:ascii="Calibri" w:hAnsi="Calibri" w:cs="Calibri"/>
        </w:rPr>
        <w:t xml:space="preserve"> als ernstzunehmenden Player positionieren können und alternativen zu Banken, wie Paypal oder Bitcoin wachsen ebenfalls. </w:t>
      </w:r>
      <w:r w:rsidR="00A26961">
        <w:rPr>
          <w:rFonts w:ascii="Calibri" w:hAnsi="Calibri" w:cs="Calibri"/>
        </w:rPr>
        <w:t xml:space="preserve">Führen die neuen Angebote von innovativen Banken und Fintechs langfristig zu einem Senken der Bankgebühren und hin zu einem gerechten Preis? </w:t>
      </w:r>
      <w:r w:rsidR="00D04191">
        <w:rPr>
          <w:rFonts w:ascii="Calibri" w:hAnsi="Calibri" w:cs="Calibri"/>
        </w:rPr>
        <w:t>Um die Frage beantworten zu können möchte ich die Argumente beleuchten, die sowohl dafür, als auch dagegen sprechen.</w:t>
      </w:r>
    </w:p>
    <w:p w:rsidR="009B0DB6" w:rsidRDefault="009B0DB6" w:rsidP="007F489E">
      <w:pPr>
        <w:spacing w:line="360" w:lineRule="auto"/>
        <w:jc w:val="both"/>
        <w:rPr>
          <w:rFonts w:ascii="Calibri" w:hAnsi="Calibri" w:cs="Calibri"/>
        </w:rPr>
      </w:pPr>
    </w:p>
    <w:p w:rsidR="00D31CA5" w:rsidRDefault="00BD3B26" w:rsidP="007F489E">
      <w:pPr>
        <w:pStyle w:val="berschrift2"/>
        <w:spacing w:line="360" w:lineRule="auto"/>
        <w:rPr>
          <w:rFonts w:eastAsia="Times New Roman"/>
        </w:rPr>
      </w:pPr>
      <w:bookmarkStart w:id="25" w:name="_Toc11850921"/>
      <w:r>
        <w:rPr>
          <w:rFonts w:eastAsia="Times New Roman"/>
        </w:rPr>
        <w:lastRenderedPageBreak/>
        <w:t>6</w:t>
      </w:r>
      <w:r w:rsidR="00D31CA5" w:rsidRPr="00D31CA5">
        <w:rPr>
          <w:rFonts w:eastAsia="Times New Roman"/>
        </w:rPr>
        <w:t xml:space="preserve">.1 Ja, </w:t>
      </w:r>
      <w:r w:rsidR="00D31CA5">
        <w:rPr>
          <w:rFonts w:eastAsia="Times New Roman"/>
        </w:rPr>
        <w:t>d</w:t>
      </w:r>
      <w:r w:rsidR="00D31CA5" w:rsidRPr="00D31CA5">
        <w:rPr>
          <w:rFonts w:eastAsia="Times New Roman"/>
        </w:rPr>
        <w:t>ie Bankgebühren werden gerechter</w:t>
      </w:r>
      <w:bookmarkEnd w:id="25"/>
    </w:p>
    <w:p w:rsidR="00B81A15" w:rsidRDefault="00540F5C" w:rsidP="007F489E">
      <w:pPr>
        <w:spacing w:line="360" w:lineRule="auto"/>
        <w:jc w:val="both"/>
        <w:rPr>
          <w:rFonts w:ascii="Calibri" w:hAnsi="Calibri" w:cs="Calibri"/>
        </w:rPr>
      </w:pPr>
      <w:r>
        <w:rPr>
          <w:rFonts w:ascii="Calibri" w:hAnsi="Calibri" w:cs="Calibri"/>
          <w:b/>
          <w:sz w:val="28"/>
        </w:rPr>
        <w:tab/>
      </w:r>
      <w:r>
        <w:rPr>
          <w:rFonts w:ascii="Calibri" w:hAnsi="Calibri" w:cs="Calibri"/>
        </w:rPr>
        <w:t xml:space="preserve">Für eine positive, fallende Entwicklung der Bankgebühren sprechen eine Reihe von Argumente. </w:t>
      </w:r>
      <w:r w:rsidR="0070125B">
        <w:rPr>
          <w:rFonts w:ascii="Calibri" w:hAnsi="Calibri" w:cs="Calibri"/>
        </w:rPr>
        <w:t xml:space="preserve">Zunächst ist die steigende Transparenz durch das Internet ein Faktor. </w:t>
      </w:r>
      <w:r w:rsidR="003D258C">
        <w:rPr>
          <w:rFonts w:ascii="Calibri" w:hAnsi="Calibri" w:cs="Calibri"/>
        </w:rPr>
        <w:t xml:space="preserve">Zahlreiche Vergleichsportale existieren, </w:t>
      </w:r>
      <w:r w:rsidR="0017285D">
        <w:rPr>
          <w:rFonts w:ascii="Calibri" w:hAnsi="Calibri" w:cs="Calibri"/>
        </w:rPr>
        <w:t xml:space="preserve">welche </w:t>
      </w:r>
      <w:r w:rsidR="003D258C">
        <w:rPr>
          <w:rFonts w:ascii="Calibri" w:hAnsi="Calibri" w:cs="Calibri"/>
        </w:rPr>
        <w:t xml:space="preserve">die Kosten </w:t>
      </w:r>
      <w:r w:rsidR="0017285D">
        <w:rPr>
          <w:rFonts w:ascii="Calibri" w:hAnsi="Calibri" w:cs="Calibri"/>
        </w:rPr>
        <w:t xml:space="preserve">verschiedener Banken </w:t>
      </w:r>
      <w:r w:rsidR="003D258C">
        <w:rPr>
          <w:rFonts w:ascii="Calibri" w:hAnsi="Calibri" w:cs="Calibri"/>
        </w:rPr>
        <w:t xml:space="preserve">sekundenschnell vergleichen können. Dadurch können vor allem Neukunden besser einschätzen, welche Bank mit welchen Angeboten am </w:t>
      </w:r>
      <w:r w:rsidR="0017285D">
        <w:rPr>
          <w:rFonts w:ascii="Calibri" w:hAnsi="Calibri" w:cs="Calibri"/>
        </w:rPr>
        <w:t>besten</w:t>
      </w:r>
      <w:r w:rsidR="003D258C">
        <w:rPr>
          <w:rFonts w:ascii="Calibri" w:hAnsi="Calibri" w:cs="Calibri"/>
        </w:rPr>
        <w:t xml:space="preserve"> zu Ihnen passt. </w:t>
      </w:r>
      <w:r w:rsidR="00F61443">
        <w:rPr>
          <w:rFonts w:ascii="Calibri" w:hAnsi="Calibri" w:cs="Calibri"/>
        </w:rPr>
        <w:t xml:space="preserve">Auch die eigene Recherche ist möglich und das Auffinden von Bankgebühren nicht </w:t>
      </w:r>
      <w:r w:rsidR="00B33FB5">
        <w:rPr>
          <w:rFonts w:ascii="Calibri" w:hAnsi="Calibri" w:cs="Calibri"/>
        </w:rPr>
        <w:t>sehr aufwendig</w:t>
      </w:r>
      <w:r w:rsidR="00F61443">
        <w:rPr>
          <w:rFonts w:ascii="Calibri" w:hAnsi="Calibri" w:cs="Calibri"/>
        </w:rPr>
        <w:t>.</w:t>
      </w:r>
    </w:p>
    <w:p w:rsidR="00B81A15" w:rsidRDefault="00B81A15" w:rsidP="007F489E">
      <w:pPr>
        <w:spacing w:line="360" w:lineRule="auto"/>
        <w:jc w:val="both"/>
        <w:rPr>
          <w:rFonts w:ascii="Calibri" w:hAnsi="Calibri" w:cs="Calibri"/>
        </w:rPr>
      </w:pPr>
    </w:p>
    <w:p w:rsidR="00851802" w:rsidRDefault="00B81A15" w:rsidP="007F489E">
      <w:pPr>
        <w:spacing w:line="360" w:lineRule="auto"/>
        <w:jc w:val="both"/>
        <w:rPr>
          <w:rFonts w:ascii="Calibri" w:hAnsi="Calibri" w:cs="Calibri"/>
        </w:rPr>
      </w:pPr>
      <w:r>
        <w:rPr>
          <w:rFonts w:ascii="Calibri" w:hAnsi="Calibri" w:cs="Calibri"/>
        </w:rPr>
        <w:tab/>
        <w:t xml:space="preserve">Weiter spricht für positive Entwicklung das Eintreten neuer Marktteilnehmer, die Angebote günstiger anbieten. </w:t>
      </w:r>
      <w:r w:rsidR="008C3490">
        <w:rPr>
          <w:rFonts w:ascii="Calibri" w:hAnsi="Calibri" w:cs="Calibri"/>
        </w:rPr>
        <w:t xml:space="preserve">Kaum eine neue Direktbank oder Smartphone-Bank erhebt Gebühren, sondern versucht durch eine komplett digitale Strategie physische Kostenstellen auszulassen und die Ersparnisse an Kunden weiterzugeben. </w:t>
      </w:r>
    </w:p>
    <w:p w:rsidR="006E1DC6" w:rsidRDefault="006E1DC6" w:rsidP="007F489E">
      <w:pPr>
        <w:spacing w:line="360" w:lineRule="auto"/>
        <w:jc w:val="both"/>
        <w:rPr>
          <w:rFonts w:ascii="Calibri" w:hAnsi="Calibri" w:cs="Calibri"/>
        </w:rPr>
      </w:pPr>
    </w:p>
    <w:p w:rsidR="00851802" w:rsidRDefault="00851802" w:rsidP="007F489E">
      <w:pPr>
        <w:spacing w:line="360" w:lineRule="auto"/>
        <w:jc w:val="both"/>
        <w:rPr>
          <w:rFonts w:ascii="Calibri" w:hAnsi="Calibri" w:cs="Calibri"/>
        </w:rPr>
      </w:pPr>
      <w:r>
        <w:rPr>
          <w:rFonts w:ascii="Calibri" w:hAnsi="Calibri" w:cs="Calibri"/>
        </w:rPr>
        <w:tab/>
        <w:t xml:space="preserve">Ebenfalls spielt der demographische Wandel eine große Rolle. </w:t>
      </w:r>
      <w:r w:rsidR="0079536E">
        <w:rPr>
          <w:rFonts w:ascii="Calibri" w:hAnsi="Calibri" w:cs="Calibri"/>
        </w:rPr>
        <w:t xml:space="preserve">Seit 2008 sind Menschen und insbesondere junge Menschen (bis Millennials) preissensitiver geworden. </w:t>
      </w:r>
      <w:r w:rsidR="0096099C">
        <w:rPr>
          <w:rFonts w:ascii="Calibri" w:hAnsi="Calibri" w:cs="Calibri"/>
        </w:rPr>
        <w:t xml:space="preserve">Umstellungskosten müssen für preissensitive Kunden noch höher sein, damit die Bank nicht gewechselt wird. </w:t>
      </w:r>
      <w:r w:rsidR="00110F48">
        <w:rPr>
          <w:rFonts w:ascii="Calibri" w:hAnsi="Calibri" w:cs="Calibri"/>
        </w:rPr>
        <w:t xml:space="preserve">Daneben haben wir vorher gesehen, dass junge Menschen, die vor der Entscheidung stehen ihr erstes Konto zu eröffnen, weniger zu den traditionellen Banken tendieren und mehr zu den neuen Alternativen. </w:t>
      </w:r>
      <w:r w:rsidR="007F4C87">
        <w:rPr>
          <w:rFonts w:ascii="Calibri" w:hAnsi="Calibri" w:cs="Calibri"/>
        </w:rPr>
        <w:t xml:space="preserve">Das heißt, dass durch den natürlichen Zeitablauf die jüngere Generation die ältere ersetzt und </w:t>
      </w:r>
      <w:r w:rsidR="00F34F60">
        <w:rPr>
          <w:rFonts w:ascii="Calibri" w:hAnsi="Calibri" w:cs="Calibri"/>
        </w:rPr>
        <w:t xml:space="preserve">sich </w:t>
      </w:r>
      <w:r w:rsidR="007F4C87">
        <w:rPr>
          <w:rFonts w:ascii="Calibri" w:hAnsi="Calibri" w:cs="Calibri"/>
        </w:rPr>
        <w:t>dabei weg</w:t>
      </w:r>
      <w:r w:rsidR="00F34F60">
        <w:rPr>
          <w:rFonts w:ascii="Calibri" w:hAnsi="Calibri" w:cs="Calibri"/>
        </w:rPr>
        <w:t>bewegt</w:t>
      </w:r>
      <w:r w:rsidR="007F4C87">
        <w:rPr>
          <w:rFonts w:ascii="Calibri" w:hAnsi="Calibri" w:cs="Calibri"/>
        </w:rPr>
        <w:t xml:space="preserve"> von den traditionellen Anbietern. </w:t>
      </w:r>
      <w:r w:rsidR="001F5A8C">
        <w:rPr>
          <w:rFonts w:ascii="Calibri" w:hAnsi="Calibri" w:cs="Calibri"/>
        </w:rPr>
        <w:t xml:space="preserve">Dadurch könnte die Marktmacht der großen Player sinken und Gebühren fallen. </w:t>
      </w:r>
    </w:p>
    <w:p w:rsidR="005E2182" w:rsidRDefault="005E2182" w:rsidP="007F489E">
      <w:pPr>
        <w:spacing w:line="360" w:lineRule="auto"/>
        <w:jc w:val="both"/>
        <w:rPr>
          <w:rFonts w:ascii="Calibri" w:hAnsi="Calibri" w:cs="Calibri"/>
        </w:rPr>
      </w:pPr>
    </w:p>
    <w:p w:rsidR="005E2182" w:rsidRDefault="005E2182" w:rsidP="007F489E">
      <w:pPr>
        <w:spacing w:line="360" w:lineRule="auto"/>
        <w:jc w:val="both"/>
        <w:rPr>
          <w:rFonts w:ascii="Calibri" w:hAnsi="Calibri" w:cs="Calibri"/>
        </w:rPr>
      </w:pPr>
      <w:r>
        <w:rPr>
          <w:rFonts w:ascii="Calibri" w:hAnsi="Calibri" w:cs="Calibri"/>
        </w:rPr>
        <w:tab/>
      </w:r>
      <w:r w:rsidR="00076047">
        <w:rPr>
          <w:rFonts w:ascii="Calibri" w:hAnsi="Calibri" w:cs="Calibri"/>
        </w:rPr>
        <w:t xml:space="preserve">Obwohl es keine Garantie dafür gibt, dass das Zinsniveau wieder steigen wird, so sollte sich die Gebührenlandschaft bei Rückkehr zum „Normalzins“ ebenfalls ändern. </w:t>
      </w:r>
      <w:r w:rsidR="0042011B">
        <w:rPr>
          <w:rFonts w:ascii="Calibri" w:hAnsi="Calibri" w:cs="Calibri"/>
        </w:rPr>
        <w:t xml:space="preserve">Wie vorher beschrieben haben Bankgebühren auch deshalb ein hohes Niveau erreicht, weil die Zinserträge stark rückläufig sind. </w:t>
      </w:r>
      <w:r w:rsidR="00167F86">
        <w:rPr>
          <w:rFonts w:ascii="Calibri" w:hAnsi="Calibri" w:cs="Calibri"/>
        </w:rPr>
        <w:t>Ein höherer Zinssatz würde den Anteil der Gebühren am Umsatz für Banken senken und dadurch eine untergeordnete</w:t>
      </w:r>
      <w:r w:rsidR="00F34F60">
        <w:rPr>
          <w:rFonts w:ascii="Calibri" w:hAnsi="Calibri" w:cs="Calibri"/>
        </w:rPr>
        <w:t>re</w:t>
      </w:r>
      <w:r w:rsidR="00167F86">
        <w:rPr>
          <w:rFonts w:ascii="Calibri" w:hAnsi="Calibri" w:cs="Calibri"/>
        </w:rPr>
        <w:t xml:space="preserve"> Rolle einnehmen.</w:t>
      </w:r>
    </w:p>
    <w:p w:rsidR="00476A9D" w:rsidRDefault="00476A9D" w:rsidP="007F489E">
      <w:pPr>
        <w:spacing w:line="360" w:lineRule="auto"/>
        <w:jc w:val="both"/>
        <w:rPr>
          <w:rFonts w:ascii="Calibri" w:hAnsi="Calibri" w:cs="Calibri"/>
        </w:rPr>
      </w:pPr>
    </w:p>
    <w:p w:rsidR="00540F5C" w:rsidRDefault="00476A9D" w:rsidP="007F489E">
      <w:pPr>
        <w:spacing w:line="360" w:lineRule="auto"/>
        <w:jc w:val="both"/>
        <w:rPr>
          <w:rFonts w:ascii="Calibri" w:hAnsi="Calibri" w:cs="Calibri"/>
        </w:rPr>
      </w:pPr>
      <w:r>
        <w:rPr>
          <w:rFonts w:ascii="Calibri" w:hAnsi="Calibri" w:cs="Calibri"/>
        </w:rPr>
        <w:tab/>
        <w:t xml:space="preserve">Zuletzt stehen Markteintritte in die Bankenindustrie von großen Playern aus anderen Branchen bevor. </w:t>
      </w:r>
      <w:r w:rsidR="00556A36">
        <w:rPr>
          <w:rFonts w:ascii="Calibri" w:hAnsi="Calibri" w:cs="Calibri"/>
        </w:rPr>
        <w:t xml:space="preserve">Der Vorteil liegt darin, dass diese Neueinsteiger die Regulation und Anfangsinvestitionen einfacher aufnehmen können. </w:t>
      </w:r>
      <w:r w:rsidR="00A91D92">
        <w:rPr>
          <w:rFonts w:ascii="Calibri" w:hAnsi="Calibri" w:cs="Calibri"/>
        </w:rPr>
        <w:t xml:space="preserve">Bisher gibt es bereits Kooperationen. So </w:t>
      </w:r>
      <w:r w:rsidR="00A91D92">
        <w:rPr>
          <w:rFonts w:ascii="Calibri" w:hAnsi="Calibri" w:cs="Calibri"/>
        </w:rPr>
        <w:lastRenderedPageBreak/>
        <w:t xml:space="preserve">hat Apple mit der US-Bank Goldman Sachs Anfang 2019 eine Kreditkarte auf den Markt gebracht. </w:t>
      </w:r>
      <w:r w:rsidR="00381952">
        <w:rPr>
          <w:rFonts w:ascii="Calibri" w:hAnsi="Calibri" w:cs="Calibri"/>
        </w:rPr>
        <w:t>Apple stiftet Nutzen zu der Karte, indem sie die App designt und Daten auswertet</w:t>
      </w:r>
      <w:r w:rsidR="00D466F5">
        <w:rPr>
          <w:rFonts w:ascii="Calibri" w:hAnsi="Calibri" w:cs="Calibri"/>
        </w:rPr>
        <w:t xml:space="preserve"> (</w:t>
      </w:r>
      <w:r w:rsidR="00D466F5" w:rsidRPr="00874AC9">
        <w:rPr>
          <w:rFonts w:ascii="Calibri" w:hAnsi="Calibri"/>
          <w:color w:val="000000" w:themeColor="text1"/>
        </w:rPr>
        <w:t>Horwitz &amp; Olson</w:t>
      </w:r>
      <w:r w:rsidR="00D466F5">
        <w:rPr>
          <w:rFonts w:ascii="Calibri" w:hAnsi="Calibri"/>
          <w:color w:val="000000" w:themeColor="text1"/>
        </w:rPr>
        <w:t xml:space="preserve">, </w:t>
      </w:r>
      <w:r w:rsidR="00D466F5" w:rsidRPr="00874AC9">
        <w:rPr>
          <w:rFonts w:ascii="Calibri" w:hAnsi="Calibri"/>
          <w:color w:val="000000" w:themeColor="text1"/>
        </w:rPr>
        <w:t>2019</w:t>
      </w:r>
      <w:r w:rsidR="00D466F5">
        <w:rPr>
          <w:rFonts w:ascii="Calibri" w:hAnsi="Calibri"/>
          <w:color w:val="000000" w:themeColor="text1"/>
        </w:rPr>
        <w:t>)</w:t>
      </w:r>
      <w:r w:rsidR="00381952">
        <w:rPr>
          <w:rFonts w:ascii="Calibri" w:hAnsi="Calibri" w:cs="Calibri"/>
        </w:rPr>
        <w:t xml:space="preserve">. Es ist denkbar, dass große Namen, wie Apple und Amazon zunächst über Kooperationen den Bankenmarkt testen und schließlich alleine den Markt betreten. </w:t>
      </w:r>
      <w:r w:rsidR="00515089">
        <w:rPr>
          <w:rFonts w:ascii="Calibri" w:hAnsi="Calibri" w:cs="Calibri"/>
        </w:rPr>
        <w:t>Aus volksökon</w:t>
      </w:r>
      <w:r w:rsidR="00F34F60">
        <w:rPr>
          <w:rFonts w:ascii="Calibri" w:hAnsi="Calibri" w:cs="Calibri"/>
        </w:rPr>
        <w:t>o</w:t>
      </w:r>
      <w:r w:rsidR="00515089">
        <w:rPr>
          <w:rFonts w:ascii="Calibri" w:hAnsi="Calibri" w:cs="Calibri"/>
        </w:rPr>
        <w:t xml:space="preserve">mischer Sicht würde so der Wettbewerb erhöht werden und Kunden könnten von neuen Innovationen profitieren. </w:t>
      </w:r>
      <w:r w:rsidR="009A59CE">
        <w:rPr>
          <w:rFonts w:ascii="Calibri" w:hAnsi="Calibri" w:cs="Calibri"/>
        </w:rPr>
        <w:t xml:space="preserve">Ein weiteres, spannendes Projekt ist „Libra“ von Facebook. </w:t>
      </w:r>
      <w:r w:rsidR="009F1FB6">
        <w:rPr>
          <w:rFonts w:ascii="Calibri" w:hAnsi="Calibri" w:cs="Calibri"/>
        </w:rPr>
        <w:t>Mithilfe einer Blockchain Technologie, wie Bitcoin sie auch verwendet, plant Facebook (Stand Juni) bald Zahlungen über seinen Messenger zu ermöglichen</w:t>
      </w:r>
      <w:r w:rsidR="008B295C">
        <w:rPr>
          <w:rFonts w:ascii="Calibri" w:hAnsi="Calibri" w:cs="Calibri"/>
        </w:rPr>
        <w:t xml:space="preserve"> (</w:t>
      </w:r>
      <w:r w:rsidR="008B295C" w:rsidRPr="00874AC9">
        <w:rPr>
          <w:rFonts w:ascii="Calibri" w:hAnsi="Calibri"/>
          <w:color w:val="000000" w:themeColor="text1"/>
        </w:rPr>
        <w:t>Horwitz &amp; Olson</w:t>
      </w:r>
      <w:r w:rsidR="008B295C">
        <w:rPr>
          <w:rFonts w:ascii="Calibri" w:hAnsi="Calibri"/>
          <w:color w:val="000000" w:themeColor="text1"/>
        </w:rPr>
        <w:t xml:space="preserve">, </w:t>
      </w:r>
      <w:r w:rsidR="008B295C" w:rsidRPr="00874AC9">
        <w:rPr>
          <w:rFonts w:ascii="Calibri" w:hAnsi="Calibri"/>
          <w:color w:val="000000" w:themeColor="text1"/>
        </w:rPr>
        <w:t>2019</w:t>
      </w:r>
      <w:r w:rsidR="008B295C">
        <w:rPr>
          <w:rFonts w:ascii="Calibri" w:hAnsi="Calibri"/>
          <w:color w:val="000000" w:themeColor="text1"/>
        </w:rPr>
        <w:t>)</w:t>
      </w:r>
      <w:r w:rsidR="009F1FB6">
        <w:rPr>
          <w:rFonts w:ascii="Calibri" w:hAnsi="Calibri" w:cs="Calibri"/>
        </w:rPr>
        <w:t xml:space="preserve">. </w:t>
      </w:r>
      <w:r w:rsidR="00783A20">
        <w:rPr>
          <w:rFonts w:ascii="Calibri" w:hAnsi="Calibri" w:cs="Calibri"/>
        </w:rPr>
        <w:t xml:space="preserve">Die nächsten Schritte könnten weitere Angebote einer klassischen Bank sein. </w:t>
      </w:r>
      <w:r w:rsidR="00A517B1">
        <w:rPr>
          <w:rFonts w:ascii="Calibri" w:hAnsi="Calibri" w:cs="Calibri"/>
        </w:rPr>
        <w:t>Die Abbildun</w:t>
      </w:r>
      <w:r w:rsidR="00F77756">
        <w:rPr>
          <w:rFonts w:ascii="Calibri" w:hAnsi="Calibri" w:cs="Calibri"/>
        </w:rPr>
        <w:t>g</w:t>
      </w:r>
      <w:r w:rsidR="00A517B1">
        <w:rPr>
          <w:rFonts w:ascii="Calibri" w:hAnsi="Calibri" w:cs="Calibri"/>
        </w:rPr>
        <w:t xml:space="preserve"> </w:t>
      </w:r>
      <w:r w:rsidR="00F77756">
        <w:rPr>
          <w:rFonts w:ascii="Calibri" w:hAnsi="Calibri" w:cs="Calibri"/>
        </w:rPr>
        <w:t>9</w:t>
      </w:r>
      <w:r w:rsidR="00A517B1">
        <w:rPr>
          <w:rFonts w:ascii="Calibri" w:hAnsi="Calibri" w:cs="Calibri"/>
        </w:rPr>
        <w:t xml:space="preserve"> zeigt, wie Facebooks neue Blockchain-basierte Zahlungsmethode aussehen könnte. </w:t>
      </w:r>
      <w:r w:rsidR="00283058">
        <w:rPr>
          <w:rFonts w:ascii="Calibri" w:hAnsi="Calibri" w:cs="Calibri"/>
        </w:rPr>
        <w:t xml:space="preserve">Das Design erinnert an eine Bankkonto App und Facebook erwähnt sicherlich zukünftige </w:t>
      </w:r>
      <w:r w:rsidR="00F34F60">
        <w:rPr>
          <w:rFonts w:ascii="Calibri" w:hAnsi="Calibri" w:cs="Calibri"/>
        </w:rPr>
        <w:t>Integrationen von Bankdienstleistungen</w:t>
      </w:r>
      <w:r w:rsidR="00283058">
        <w:rPr>
          <w:rFonts w:ascii="Calibri" w:hAnsi="Calibri" w:cs="Calibri"/>
        </w:rPr>
        <w:t>.</w:t>
      </w:r>
    </w:p>
    <w:p w:rsidR="009B0DB6" w:rsidRDefault="009B0DB6" w:rsidP="007F489E">
      <w:pPr>
        <w:spacing w:line="360" w:lineRule="auto"/>
        <w:jc w:val="both"/>
        <w:rPr>
          <w:rFonts w:ascii="Calibri" w:hAnsi="Calibri" w:cs="Calibri"/>
        </w:rPr>
      </w:pPr>
    </w:p>
    <w:p w:rsidR="00A517B1" w:rsidRPr="00A517B1" w:rsidRDefault="00A517B1" w:rsidP="007F489E">
      <w:pPr>
        <w:spacing w:line="360" w:lineRule="auto"/>
      </w:pPr>
      <w:r w:rsidRPr="00A517B1">
        <w:fldChar w:fldCharType="begin"/>
      </w:r>
      <w:r w:rsidRPr="00A517B1">
        <w:instrText xml:space="preserve"> INCLUDEPICTURE "https://images.wsj.net/im-82813?width=620&amp;size=custom_1280x720" \* MERGEFORMATINET </w:instrText>
      </w:r>
      <w:r w:rsidRPr="00A517B1">
        <w:fldChar w:fldCharType="separate"/>
      </w:r>
      <w:r w:rsidRPr="00A517B1">
        <w:rPr>
          <w:noProof/>
        </w:rPr>
        <w:drawing>
          <wp:inline distT="0" distB="0" distL="0" distR="0">
            <wp:extent cx="5756910" cy="3240405"/>
            <wp:effectExtent l="0" t="0" r="0" b="0"/>
            <wp:docPr id="11" name="Grafik 11" descr="https://images.wsj.net/im-82813?width=620&amp;size=custom_1280x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wsj.net/im-82813?width=620&amp;size=custom_1280x72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756910" cy="3240405"/>
                    </a:xfrm>
                    <a:prstGeom prst="rect">
                      <a:avLst/>
                    </a:prstGeom>
                    <a:noFill/>
                    <a:ln>
                      <a:noFill/>
                    </a:ln>
                  </pic:spPr>
                </pic:pic>
              </a:graphicData>
            </a:graphic>
          </wp:inline>
        </w:drawing>
      </w:r>
      <w:r w:rsidRPr="00A517B1">
        <w:fldChar w:fldCharType="end"/>
      </w:r>
    </w:p>
    <w:p w:rsidR="00A517B1" w:rsidRDefault="00282DF5" w:rsidP="00A91B1A">
      <w:pPr>
        <w:spacing w:line="360" w:lineRule="auto"/>
        <w:jc w:val="center"/>
        <w:rPr>
          <w:rFonts w:ascii="Calibri" w:hAnsi="Calibri" w:cs="Calibri"/>
        </w:rPr>
      </w:pPr>
      <w:r>
        <w:rPr>
          <w:rFonts w:ascii="Calibri" w:hAnsi="Calibri" w:cs="Calibri"/>
        </w:rPr>
        <w:t>(Abbildung 9, Quelle: Facebook, WSJ)</w:t>
      </w:r>
    </w:p>
    <w:p w:rsidR="00EF6EC8" w:rsidRPr="00540F5C" w:rsidRDefault="00EF6EC8" w:rsidP="007F489E">
      <w:pPr>
        <w:spacing w:line="360" w:lineRule="auto"/>
        <w:jc w:val="both"/>
        <w:rPr>
          <w:rFonts w:ascii="Calibri" w:hAnsi="Calibri" w:cs="Calibri"/>
        </w:rPr>
      </w:pPr>
    </w:p>
    <w:p w:rsidR="00D31CA5" w:rsidRDefault="00BD3B26" w:rsidP="007F489E">
      <w:pPr>
        <w:pStyle w:val="berschrift2"/>
        <w:spacing w:line="360" w:lineRule="auto"/>
        <w:rPr>
          <w:rFonts w:eastAsia="Times New Roman"/>
        </w:rPr>
      </w:pPr>
      <w:bookmarkStart w:id="26" w:name="_Toc11850922"/>
      <w:r>
        <w:rPr>
          <w:rFonts w:eastAsia="Times New Roman"/>
        </w:rPr>
        <w:t>6</w:t>
      </w:r>
      <w:r w:rsidR="00D31CA5">
        <w:rPr>
          <w:rFonts w:eastAsia="Times New Roman"/>
        </w:rPr>
        <w:t>.2 Nein, die Bankgebühren werden nicht gerechter</w:t>
      </w:r>
      <w:bookmarkEnd w:id="26"/>
    </w:p>
    <w:p w:rsidR="00000285" w:rsidRDefault="00766517" w:rsidP="007F489E">
      <w:pPr>
        <w:spacing w:line="360" w:lineRule="auto"/>
        <w:jc w:val="both"/>
        <w:rPr>
          <w:rFonts w:ascii="Calibri" w:hAnsi="Calibri" w:cs="Calibri"/>
        </w:rPr>
      </w:pPr>
      <w:r>
        <w:rPr>
          <w:rFonts w:ascii="Calibri" w:hAnsi="Calibri" w:cs="Calibri"/>
          <w:b/>
          <w:sz w:val="28"/>
        </w:rPr>
        <w:tab/>
      </w:r>
      <w:r>
        <w:rPr>
          <w:rFonts w:ascii="Calibri" w:hAnsi="Calibri" w:cs="Calibri"/>
        </w:rPr>
        <w:t xml:space="preserve">Den oben dargestellten Argumenten für eine gerechtere Entwicklung von Bankgebühren stehen auch Kontraargumente entgegen. </w:t>
      </w:r>
      <w:r w:rsidR="002112B6">
        <w:rPr>
          <w:rFonts w:ascii="Calibri" w:hAnsi="Calibri" w:cs="Calibri"/>
        </w:rPr>
        <w:t xml:space="preserve">Der erste angesprochene Punkt der erhöhten Transparenz im Internet stimmt sicherlich. </w:t>
      </w:r>
      <w:r w:rsidR="00B324CE">
        <w:rPr>
          <w:rFonts w:ascii="Calibri" w:hAnsi="Calibri" w:cs="Calibri"/>
        </w:rPr>
        <w:t xml:space="preserve">Trotzdem locken viele Banken mit Boni, wie dem Kontoeröffnungsbonus, um eine faire, langfristige Bewertung seitens des Kunden zu </w:t>
      </w:r>
      <w:r w:rsidR="00B324CE">
        <w:rPr>
          <w:rFonts w:ascii="Calibri" w:hAnsi="Calibri" w:cs="Calibri"/>
        </w:rPr>
        <w:lastRenderedPageBreak/>
        <w:t xml:space="preserve">erschweren. </w:t>
      </w:r>
      <w:r w:rsidR="0040475B">
        <w:rPr>
          <w:rFonts w:ascii="Calibri" w:hAnsi="Calibri" w:cs="Calibri"/>
        </w:rPr>
        <w:t xml:space="preserve">Andere, unbekannte Gebühren können zunächst unscheinbarer sein und am Ende den Eröffnungsbonus überschreiten. </w:t>
      </w:r>
    </w:p>
    <w:p w:rsidR="00000285" w:rsidRDefault="00000285" w:rsidP="007F489E">
      <w:pPr>
        <w:spacing w:line="360" w:lineRule="auto"/>
        <w:jc w:val="both"/>
        <w:rPr>
          <w:rFonts w:ascii="Calibri" w:hAnsi="Calibri" w:cs="Calibri"/>
        </w:rPr>
      </w:pPr>
    </w:p>
    <w:p w:rsidR="00A517B1" w:rsidRDefault="00000285" w:rsidP="007F489E">
      <w:pPr>
        <w:spacing w:line="360" w:lineRule="auto"/>
        <w:jc w:val="both"/>
        <w:rPr>
          <w:rFonts w:ascii="Calibri" w:hAnsi="Calibri" w:cs="Calibri"/>
        </w:rPr>
      </w:pPr>
      <w:r>
        <w:rPr>
          <w:rFonts w:ascii="Calibri" w:hAnsi="Calibri" w:cs="Calibri"/>
        </w:rPr>
        <w:tab/>
        <w:t xml:space="preserve">Daneben sind die neuen Banken-Startups nach bereits einigen Jahren Bestehen immer noch unprofitabel. </w:t>
      </w:r>
      <w:r w:rsidR="00020781">
        <w:rPr>
          <w:rFonts w:ascii="Calibri" w:hAnsi="Calibri" w:cs="Calibri"/>
        </w:rPr>
        <w:t xml:space="preserve">Die Smartphone-Bank Monzo hat im Jahr 2018 einen Verlust von GBP 33,1 Millionen verbucht, verglichen mit einem Verlust von GBP 7,9 Millionen </w:t>
      </w:r>
      <w:r w:rsidR="008A2806">
        <w:rPr>
          <w:rFonts w:ascii="Calibri" w:hAnsi="Calibri" w:cs="Calibri"/>
        </w:rPr>
        <w:t>in 2017</w:t>
      </w:r>
      <w:r w:rsidR="00020781">
        <w:rPr>
          <w:rFonts w:ascii="Calibri" w:hAnsi="Calibri" w:cs="Calibri"/>
        </w:rPr>
        <w:t>.</w:t>
      </w:r>
      <w:r w:rsidR="00CF45CC">
        <w:rPr>
          <w:rFonts w:ascii="Calibri" w:hAnsi="Calibri" w:cs="Calibri"/>
        </w:rPr>
        <w:t xml:space="preserve"> Der Verlust ist über die vergangen 4 Jahre gestiegen (Siehe Abbildung </w:t>
      </w:r>
      <w:r w:rsidR="00582935">
        <w:rPr>
          <w:rFonts w:ascii="Calibri" w:hAnsi="Calibri" w:cs="Calibri"/>
        </w:rPr>
        <w:t>10</w:t>
      </w:r>
      <w:r w:rsidR="00CF45CC">
        <w:rPr>
          <w:rFonts w:ascii="Calibri" w:hAnsi="Calibri" w:cs="Calibri"/>
        </w:rPr>
        <w:t xml:space="preserve">). </w:t>
      </w:r>
      <w:r w:rsidR="00473E6F">
        <w:rPr>
          <w:rFonts w:ascii="Calibri" w:hAnsi="Calibri" w:cs="Calibri"/>
        </w:rPr>
        <w:t>Die Frage stellt sich, ob die jungen Unternehmen in der Lage sind die Preise so niedrig zu lassen oder ob die Strategie darin besteht zunächst den Kundenstamm wachsen zu lassen und dann, zwangsweise, Gebühren zu erhöhen, um die Kosten auszugleichen</w:t>
      </w:r>
      <w:r w:rsidR="00F109FE">
        <w:rPr>
          <w:rFonts w:ascii="Calibri" w:hAnsi="Calibri" w:cs="Calibri"/>
        </w:rPr>
        <w:t xml:space="preserve"> (</w:t>
      </w:r>
      <w:r w:rsidR="00F109FE" w:rsidRPr="00874AC9">
        <w:rPr>
          <w:rFonts w:ascii="Calibri" w:hAnsi="Calibri"/>
          <w:color w:val="000000" w:themeColor="text1"/>
        </w:rPr>
        <w:t>Makortoff</w:t>
      </w:r>
      <w:r w:rsidR="00F109FE">
        <w:rPr>
          <w:rFonts w:ascii="Calibri" w:hAnsi="Calibri"/>
          <w:color w:val="000000" w:themeColor="text1"/>
        </w:rPr>
        <w:t>, 2019</w:t>
      </w:r>
      <w:r w:rsidR="00F109FE">
        <w:rPr>
          <w:rFonts w:ascii="Calibri" w:hAnsi="Calibri" w:cs="Calibri"/>
        </w:rPr>
        <w:t>)</w:t>
      </w:r>
      <w:r w:rsidR="00473E6F">
        <w:rPr>
          <w:rFonts w:ascii="Calibri" w:hAnsi="Calibri" w:cs="Calibri"/>
        </w:rPr>
        <w:t xml:space="preserve">. </w:t>
      </w:r>
      <w:r w:rsidR="00980A69">
        <w:rPr>
          <w:rFonts w:ascii="Calibri" w:hAnsi="Calibri" w:cs="Calibri"/>
        </w:rPr>
        <w:t>Denn auch die hohen Bewertungen der Startups bedeuten, dass Investoren damit rechnen, dass die Startups in Zukunft eine hochprofitable Bank werden.</w:t>
      </w:r>
    </w:p>
    <w:p w:rsidR="007F489E" w:rsidRDefault="007F489E" w:rsidP="007F489E">
      <w:pPr>
        <w:spacing w:line="360" w:lineRule="auto"/>
        <w:jc w:val="both"/>
        <w:rPr>
          <w:rFonts w:ascii="Calibri" w:hAnsi="Calibri" w:cs="Calibri"/>
        </w:rPr>
      </w:pPr>
    </w:p>
    <w:p w:rsidR="00CD7F52" w:rsidRDefault="00CF45CC" w:rsidP="007F489E">
      <w:pPr>
        <w:spacing w:line="360" w:lineRule="auto"/>
        <w:jc w:val="center"/>
        <w:rPr>
          <w:rFonts w:ascii="Calibri" w:hAnsi="Calibri" w:cs="Calibri"/>
        </w:rPr>
      </w:pPr>
      <w:r>
        <w:rPr>
          <w:rFonts w:ascii="Calibri" w:hAnsi="Calibri" w:cs="Calibri"/>
          <w:noProof/>
        </w:rPr>
        <w:drawing>
          <wp:inline distT="0" distB="0" distL="0" distR="0">
            <wp:extent cx="4572000" cy="27432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onzo Gewinn.png"/>
                    <pic:cNvPicPr/>
                  </pic:nvPicPr>
                  <pic:blipFill>
                    <a:blip r:embed="rId19" cstate="email">
                      <a:extLst>
                        <a:ext uri="{28A0092B-C50C-407E-A947-70E740481C1C}">
                          <a14:useLocalDpi xmlns:a14="http://schemas.microsoft.com/office/drawing/2010/main"/>
                        </a:ext>
                      </a:extLst>
                    </a:blip>
                    <a:stretch>
                      <a:fillRect/>
                    </a:stretch>
                  </pic:blipFill>
                  <pic:spPr>
                    <a:xfrm>
                      <a:off x="0" y="0"/>
                      <a:ext cx="4572000" cy="2743200"/>
                    </a:xfrm>
                    <a:prstGeom prst="rect">
                      <a:avLst/>
                    </a:prstGeom>
                  </pic:spPr>
                </pic:pic>
              </a:graphicData>
            </a:graphic>
          </wp:inline>
        </w:drawing>
      </w:r>
    </w:p>
    <w:p w:rsidR="00CF43A9" w:rsidRDefault="00CF43A9" w:rsidP="007F489E">
      <w:pPr>
        <w:spacing w:line="360" w:lineRule="auto"/>
        <w:jc w:val="center"/>
        <w:rPr>
          <w:rFonts w:ascii="Calibri" w:hAnsi="Calibri" w:cs="Calibri"/>
        </w:rPr>
      </w:pPr>
      <w:r>
        <w:rPr>
          <w:rFonts w:ascii="Calibri" w:hAnsi="Calibri" w:cs="Calibri"/>
        </w:rPr>
        <w:t xml:space="preserve">(Abbildung 10, Quelle: </w:t>
      </w:r>
      <w:r w:rsidRPr="00874AC9">
        <w:rPr>
          <w:rFonts w:ascii="Calibri" w:hAnsi="Calibri"/>
          <w:color w:val="000000" w:themeColor="text1"/>
        </w:rPr>
        <w:t>Makortoff</w:t>
      </w:r>
      <w:r w:rsidR="000F5F3F">
        <w:rPr>
          <w:rFonts w:ascii="Calibri" w:hAnsi="Calibri"/>
          <w:color w:val="000000" w:themeColor="text1"/>
        </w:rPr>
        <w:t>, Eigendarstellung</w:t>
      </w:r>
      <w:r>
        <w:rPr>
          <w:rFonts w:ascii="Calibri" w:hAnsi="Calibri"/>
          <w:color w:val="000000" w:themeColor="text1"/>
        </w:rPr>
        <w:t>)</w:t>
      </w:r>
    </w:p>
    <w:p w:rsidR="00CF45CC" w:rsidRDefault="00CD7F52" w:rsidP="007F489E">
      <w:pPr>
        <w:spacing w:line="360" w:lineRule="auto"/>
        <w:jc w:val="both"/>
        <w:rPr>
          <w:rFonts w:ascii="Calibri" w:hAnsi="Calibri" w:cs="Calibri"/>
        </w:rPr>
      </w:pPr>
      <w:r>
        <w:rPr>
          <w:rFonts w:ascii="Calibri" w:hAnsi="Calibri" w:cs="Calibri"/>
        </w:rPr>
        <w:tab/>
      </w:r>
    </w:p>
    <w:p w:rsidR="00CD7F52" w:rsidRDefault="00FF3F1A" w:rsidP="007F489E">
      <w:pPr>
        <w:spacing w:line="360" w:lineRule="auto"/>
        <w:jc w:val="both"/>
        <w:rPr>
          <w:rFonts w:ascii="Calibri" w:hAnsi="Calibri" w:cs="Calibri"/>
        </w:rPr>
      </w:pPr>
      <w:r>
        <w:rPr>
          <w:rFonts w:ascii="Calibri" w:hAnsi="Calibri" w:cs="Calibri"/>
        </w:rPr>
        <w:t xml:space="preserve">Die vorher beschriebenen regulatorischen Hürden, die eine Bank erwartet belasten neue Marktteilnehmer ebenfalls. </w:t>
      </w:r>
      <w:r w:rsidR="007208CB">
        <w:rPr>
          <w:rFonts w:ascii="Calibri" w:hAnsi="Calibri" w:cs="Calibri"/>
        </w:rPr>
        <w:t xml:space="preserve">Ein Markt kann nicht perfekt friktionsfrei sein, wenn die Einstiegshürden zu hoch sind. </w:t>
      </w:r>
      <w:r w:rsidR="004F5D4C">
        <w:rPr>
          <w:rFonts w:ascii="Calibri" w:hAnsi="Calibri" w:cs="Calibri"/>
        </w:rPr>
        <w:t>Dazu gehören auch die hohen Umstellungskosten für existierende Kunden, welche die Entscheidungskraft der Kunden einschränkt. Folglich haben die Banken mehr Macht, Preise zu bestimmen.</w:t>
      </w:r>
    </w:p>
    <w:p w:rsidR="003D0500" w:rsidRDefault="003D0500" w:rsidP="007F489E">
      <w:pPr>
        <w:spacing w:line="360" w:lineRule="auto"/>
        <w:jc w:val="both"/>
        <w:rPr>
          <w:rFonts w:ascii="Calibri" w:hAnsi="Calibri" w:cs="Calibri"/>
        </w:rPr>
      </w:pPr>
    </w:p>
    <w:p w:rsidR="003D0500" w:rsidRDefault="003D0500" w:rsidP="007F489E">
      <w:pPr>
        <w:spacing w:line="360" w:lineRule="auto"/>
        <w:jc w:val="both"/>
        <w:rPr>
          <w:rFonts w:ascii="Calibri" w:hAnsi="Calibri" w:cs="Calibri"/>
        </w:rPr>
      </w:pPr>
      <w:r>
        <w:rPr>
          <w:rFonts w:ascii="Calibri" w:hAnsi="Calibri" w:cs="Calibri"/>
        </w:rPr>
        <w:lastRenderedPageBreak/>
        <w:tab/>
        <w:t>Ebenfalls erwähnt, wurden die Skalenvorteile in Punkto Refinanzierungskosten und Einlagensicherung bei den großen Banken</w:t>
      </w:r>
      <w:r w:rsidR="009B6613">
        <w:rPr>
          <w:rFonts w:ascii="Calibri" w:hAnsi="Calibri" w:cs="Calibri"/>
        </w:rPr>
        <w:t xml:space="preserve"> erwähnt</w:t>
      </w:r>
      <w:r>
        <w:rPr>
          <w:rFonts w:ascii="Calibri" w:hAnsi="Calibri" w:cs="Calibri"/>
        </w:rPr>
        <w:t xml:space="preserve">. </w:t>
      </w:r>
      <w:r w:rsidR="006200DD">
        <w:rPr>
          <w:rFonts w:ascii="Calibri" w:hAnsi="Calibri" w:cs="Calibri"/>
        </w:rPr>
        <w:t>Unterschiedliche Refinanzierungskosten beeinflussen direkt die Profitabilität und erschweren kleineren Banken kompetitiv zu sein.</w:t>
      </w:r>
    </w:p>
    <w:p w:rsidR="00F21FE6" w:rsidRDefault="00F21FE6" w:rsidP="007F489E">
      <w:pPr>
        <w:spacing w:line="360" w:lineRule="auto"/>
        <w:jc w:val="both"/>
        <w:rPr>
          <w:rFonts w:ascii="Calibri" w:hAnsi="Calibri" w:cs="Calibri"/>
        </w:rPr>
      </w:pPr>
    </w:p>
    <w:p w:rsidR="00F21FE6" w:rsidRDefault="00F21FE6" w:rsidP="007F489E">
      <w:pPr>
        <w:spacing w:line="360" w:lineRule="auto"/>
        <w:jc w:val="both"/>
        <w:rPr>
          <w:rFonts w:ascii="Calibri" w:hAnsi="Calibri" w:cs="Calibri"/>
        </w:rPr>
      </w:pPr>
      <w:r>
        <w:rPr>
          <w:rFonts w:ascii="Calibri" w:hAnsi="Calibri" w:cs="Calibri"/>
        </w:rPr>
        <w:tab/>
        <w:t xml:space="preserve">Das erwähnte Argument für eine Entwicklung hin zum gerechten Preis, durch den Markteintritt von großen Playern aus anderen Branchen (vor allem die Tech Branche) ist eine zweiseitige </w:t>
      </w:r>
      <w:r w:rsidR="009A2DED">
        <w:rPr>
          <w:rFonts w:ascii="Calibri" w:hAnsi="Calibri" w:cs="Calibri"/>
        </w:rPr>
        <w:t>Medaille</w:t>
      </w:r>
      <w:r>
        <w:rPr>
          <w:rFonts w:ascii="Calibri" w:hAnsi="Calibri" w:cs="Calibri"/>
        </w:rPr>
        <w:t xml:space="preserve">. </w:t>
      </w:r>
      <w:r w:rsidR="009A2DED">
        <w:rPr>
          <w:rFonts w:ascii="Calibri" w:hAnsi="Calibri" w:cs="Calibri"/>
        </w:rPr>
        <w:t xml:space="preserve">Unternehmen wie Apple, Facebook und Google sind hochprofitable Unternehmen, die aufgrund ihrer immensen Größe außerhalb ihrer klassischen Domäne nach Umsatz und Gewinnmöglichkeiten schauen müssen, um ihre beeindruckenden Wachstumszahlen aufrecht zu erhalten. </w:t>
      </w:r>
      <w:r w:rsidR="0037450D">
        <w:rPr>
          <w:rFonts w:ascii="Calibri" w:hAnsi="Calibri" w:cs="Calibri"/>
        </w:rPr>
        <w:t xml:space="preserve">Sie planen dabei die </w:t>
      </w:r>
      <w:r w:rsidR="00DD7BB6">
        <w:rPr>
          <w:rFonts w:ascii="Calibri" w:hAnsi="Calibri" w:cs="Calibri"/>
        </w:rPr>
        <w:t>Profitabilität</w:t>
      </w:r>
      <w:r w:rsidR="0037450D">
        <w:rPr>
          <w:rFonts w:ascii="Calibri" w:hAnsi="Calibri" w:cs="Calibri"/>
        </w:rPr>
        <w:t xml:space="preserve"> aus dem Kerngeschäft zu übertragen, um das Return on Investment nicht zu verschlechtern.</w:t>
      </w:r>
      <w:r w:rsidR="007E2F3D">
        <w:rPr>
          <w:rFonts w:ascii="Calibri" w:hAnsi="Calibri" w:cs="Calibri"/>
        </w:rPr>
        <w:t xml:space="preserve"> Das heißt, dass auch die Absicht sein wird, zwar zunächst aggressiv und vermutlich günstig in den Markt vorzudringen, um </w:t>
      </w:r>
      <w:r w:rsidR="002F7E19">
        <w:rPr>
          <w:rFonts w:ascii="Calibri" w:hAnsi="Calibri" w:cs="Calibri"/>
        </w:rPr>
        <w:t xml:space="preserve">jedoch </w:t>
      </w:r>
      <w:r w:rsidR="007E2F3D">
        <w:rPr>
          <w:rFonts w:ascii="Calibri" w:hAnsi="Calibri" w:cs="Calibri"/>
        </w:rPr>
        <w:t xml:space="preserve">später ein hochprofitables Business daraus zu machen. </w:t>
      </w:r>
    </w:p>
    <w:p w:rsidR="00DD7BB6" w:rsidRDefault="00DD7BB6" w:rsidP="007F489E">
      <w:pPr>
        <w:spacing w:line="360" w:lineRule="auto"/>
        <w:jc w:val="both"/>
        <w:rPr>
          <w:rFonts w:ascii="Calibri" w:hAnsi="Calibri" w:cs="Calibri"/>
        </w:rPr>
      </w:pPr>
    </w:p>
    <w:p w:rsidR="003D0500" w:rsidRDefault="00DD7BB6" w:rsidP="007F489E">
      <w:pPr>
        <w:spacing w:line="360" w:lineRule="auto"/>
        <w:jc w:val="both"/>
        <w:rPr>
          <w:rFonts w:ascii="Calibri" w:hAnsi="Calibri" w:cs="Calibri"/>
        </w:rPr>
      </w:pPr>
      <w:r>
        <w:rPr>
          <w:rFonts w:ascii="Calibri" w:hAnsi="Calibri" w:cs="Calibri"/>
        </w:rPr>
        <w:tab/>
        <w:t>Zuletzt bürgen neue Technologien, wie Bitcoin</w:t>
      </w:r>
      <w:r w:rsidR="00867B7A">
        <w:rPr>
          <w:rFonts w:ascii="Calibri" w:hAnsi="Calibri" w:cs="Calibri"/>
        </w:rPr>
        <w:t>,</w:t>
      </w:r>
      <w:r>
        <w:rPr>
          <w:rFonts w:ascii="Calibri" w:hAnsi="Calibri" w:cs="Calibri"/>
        </w:rPr>
        <w:t xml:space="preserve"> auch Gefahren für Kunden. </w:t>
      </w:r>
      <w:r w:rsidR="00867B7A">
        <w:rPr>
          <w:rFonts w:ascii="Calibri" w:hAnsi="Calibri" w:cs="Calibri"/>
        </w:rPr>
        <w:t xml:space="preserve">Auf der einen Seite halten sie das theoretische Argument des vollkommenen Vertrauens, da es keinen Intermediär oder zentrale Aufsicht gibt. Auf der anderen Seite gibt es einige Szenarien, in denen Bitcoin dem Kunden schaden können. </w:t>
      </w:r>
      <w:r w:rsidR="001B17EE">
        <w:rPr>
          <w:rFonts w:ascii="Calibri" w:hAnsi="Calibri" w:cs="Calibri"/>
        </w:rPr>
        <w:t xml:space="preserve">Extreme Preisschwankungen in der Kryptowährung können zu starken Vermögensverlusten führen. Außerdem sind Bitcoin Börsen oder sogenannte „Wallets“ beliebte Ziele für Hacker. </w:t>
      </w:r>
      <w:r w:rsidR="00180EFD">
        <w:rPr>
          <w:rFonts w:ascii="Calibri" w:hAnsi="Calibri" w:cs="Calibri"/>
        </w:rPr>
        <w:t>Die Frage wird auch sein, inwieweit Regierungen Blockchain-basierte Währungen zulassen werden, beziehungsweise wie gegen die neue Art von Kriminalität vorgegangen werden kann.</w:t>
      </w:r>
    </w:p>
    <w:p w:rsidR="00180EFD" w:rsidRPr="00766517" w:rsidRDefault="00180EFD" w:rsidP="007F489E">
      <w:pPr>
        <w:spacing w:line="360" w:lineRule="auto"/>
        <w:jc w:val="both"/>
        <w:rPr>
          <w:rFonts w:ascii="Calibri" w:hAnsi="Calibri" w:cs="Calibri"/>
        </w:rPr>
      </w:pPr>
    </w:p>
    <w:p w:rsidR="00D31CA5" w:rsidRPr="00D31CA5" w:rsidRDefault="00BD3B26" w:rsidP="007F489E">
      <w:pPr>
        <w:pStyle w:val="berschrift2"/>
        <w:spacing w:line="360" w:lineRule="auto"/>
        <w:rPr>
          <w:rFonts w:eastAsia="Times New Roman"/>
        </w:rPr>
      </w:pPr>
      <w:bookmarkStart w:id="27" w:name="_Toc11850923"/>
      <w:r>
        <w:rPr>
          <w:rFonts w:eastAsia="Times New Roman"/>
        </w:rPr>
        <w:t>6</w:t>
      </w:r>
      <w:r w:rsidR="00D31CA5">
        <w:rPr>
          <w:rFonts w:eastAsia="Times New Roman"/>
        </w:rPr>
        <w:t>.3 Zwischenfazit</w:t>
      </w:r>
      <w:bookmarkEnd w:id="27"/>
    </w:p>
    <w:p w:rsidR="00CF45CC" w:rsidRDefault="007E65B2" w:rsidP="007F489E">
      <w:pPr>
        <w:spacing w:line="360" w:lineRule="auto"/>
        <w:ind w:firstLine="708"/>
        <w:jc w:val="both"/>
        <w:rPr>
          <w:rFonts w:ascii="Calibri" w:hAnsi="Calibri" w:cs="Calibri"/>
        </w:rPr>
      </w:pPr>
      <w:r>
        <w:rPr>
          <w:rFonts w:ascii="Calibri" w:hAnsi="Calibri" w:cs="Calibri"/>
        </w:rPr>
        <w:t xml:space="preserve">Die Präsentation verschiedener Argumente, die sowohl </w:t>
      </w:r>
      <w:r w:rsidR="00A726F6">
        <w:rPr>
          <w:rFonts w:ascii="Calibri" w:hAnsi="Calibri" w:cs="Calibri"/>
        </w:rPr>
        <w:t>für</w:t>
      </w:r>
      <w:r>
        <w:rPr>
          <w:rFonts w:ascii="Calibri" w:hAnsi="Calibri" w:cs="Calibri"/>
        </w:rPr>
        <w:t xml:space="preserve"> als auch gegen eine positive Entwicklung der Bankgebühren sprechen, zeigen wie schwierig es ist, eine zukünftige Entwicklung einzuschätzen. </w:t>
      </w:r>
      <w:r w:rsidR="007E3034">
        <w:rPr>
          <w:rFonts w:ascii="Calibri" w:hAnsi="Calibri" w:cs="Calibri"/>
        </w:rPr>
        <w:t xml:space="preserve">Es ist besonders schwierig die langfristigen Ziele der derzeitigen Disruptoren aus Startups, Direktbanken und Tech-Firmen einzuschätzen. </w:t>
      </w:r>
      <w:r w:rsidR="00A726F6">
        <w:rPr>
          <w:rFonts w:ascii="Calibri" w:hAnsi="Calibri" w:cs="Calibri"/>
        </w:rPr>
        <w:t xml:space="preserve">Feststeht allerdings, dass der Eintritt der Disruptoren zunächst innovative Verbesserungen für die Kunden </w:t>
      </w:r>
      <w:r w:rsidR="00794AF4">
        <w:rPr>
          <w:rFonts w:ascii="Calibri" w:hAnsi="Calibri" w:cs="Calibri"/>
        </w:rPr>
        <w:t>bringt</w:t>
      </w:r>
      <w:r w:rsidR="00A726F6">
        <w:rPr>
          <w:rFonts w:ascii="Calibri" w:hAnsi="Calibri" w:cs="Calibri"/>
        </w:rPr>
        <w:t xml:space="preserve"> </w:t>
      </w:r>
      <w:r w:rsidR="00794AF4">
        <w:rPr>
          <w:rFonts w:ascii="Calibri" w:hAnsi="Calibri" w:cs="Calibri"/>
        </w:rPr>
        <w:t xml:space="preserve">und die jungen Player Preissenkungen auf der Agenda stehen haben. </w:t>
      </w:r>
    </w:p>
    <w:p w:rsidR="007E65B2" w:rsidRDefault="00BD3B26" w:rsidP="007F489E">
      <w:pPr>
        <w:pStyle w:val="berschrift1"/>
        <w:spacing w:line="360" w:lineRule="auto"/>
        <w:rPr>
          <w:rFonts w:eastAsia="Times New Roman"/>
        </w:rPr>
      </w:pPr>
      <w:bookmarkStart w:id="28" w:name="_Toc11850924"/>
      <w:r>
        <w:rPr>
          <w:rFonts w:eastAsia="Times New Roman"/>
        </w:rPr>
        <w:lastRenderedPageBreak/>
        <w:t>7</w:t>
      </w:r>
      <w:r w:rsidR="00CF45CC" w:rsidRPr="00CF45CC">
        <w:rPr>
          <w:rFonts w:eastAsia="Times New Roman"/>
        </w:rPr>
        <w:t>. Conclusio</w:t>
      </w:r>
      <w:bookmarkEnd w:id="28"/>
      <w:r w:rsidR="00CF45CC" w:rsidRPr="00CF45CC">
        <w:rPr>
          <w:rFonts w:eastAsia="Times New Roman"/>
        </w:rPr>
        <w:t xml:space="preserve"> </w:t>
      </w:r>
      <w:r w:rsidR="001C540B" w:rsidRPr="00CF45CC">
        <w:rPr>
          <w:rFonts w:eastAsia="Times New Roman"/>
        </w:rPr>
        <w:t xml:space="preserve"> </w:t>
      </w:r>
    </w:p>
    <w:p w:rsidR="00CF45CC" w:rsidRDefault="003919BD" w:rsidP="00B70730">
      <w:pPr>
        <w:spacing w:line="360" w:lineRule="auto"/>
        <w:ind w:firstLine="708"/>
        <w:jc w:val="both"/>
        <w:rPr>
          <w:rFonts w:ascii="Calibri" w:hAnsi="Calibri" w:cs="Calibri"/>
        </w:rPr>
      </w:pPr>
      <w:r>
        <w:rPr>
          <w:rFonts w:ascii="Calibri" w:hAnsi="Calibri" w:cs="Calibri"/>
        </w:rPr>
        <w:t xml:space="preserve">Die eindeutige Beantwortung der Frage, ob Bankgebühren derzeit gerecht sind, ist nicht möglich. </w:t>
      </w:r>
      <w:r w:rsidR="00D9747E">
        <w:rPr>
          <w:rFonts w:ascii="Calibri" w:hAnsi="Calibri" w:cs="Calibri"/>
        </w:rPr>
        <w:t>Auseinanderklaffende Theorien, die den gerechten Preis definieren, würden Bankgebühren verschieden kritisch gegenüberstehen.</w:t>
      </w:r>
    </w:p>
    <w:p w:rsidR="00B70730" w:rsidRDefault="00B70730" w:rsidP="00B70730">
      <w:pPr>
        <w:spacing w:line="360" w:lineRule="auto"/>
        <w:ind w:firstLine="708"/>
        <w:jc w:val="both"/>
        <w:rPr>
          <w:rFonts w:ascii="Calibri" w:hAnsi="Calibri" w:cs="Calibri"/>
        </w:rPr>
      </w:pPr>
    </w:p>
    <w:p w:rsidR="00FC186E" w:rsidRDefault="00846C3D" w:rsidP="00B70730">
      <w:pPr>
        <w:spacing w:line="360" w:lineRule="auto"/>
        <w:ind w:firstLine="708"/>
        <w:jc w:val="both"/>
        <w:rPr>
          <w:rFonts w:ascii="Calibri" w:hAnsi="Calibri" w:cs="Calibri"/>
        </w:rPr>
      </w:pPr>
      <w:r>
        <w:rPr>
          <w:rFonts w:ascii="Calibri" w:hAnsi="Calibri" w:cs="Calibri"/>
        </w:rPr>
        <w:t>Allerdings hat d</w:t>
      </w:r>
      <w:r w:rsidR="00131A82">
        <w:rPr>
          <w:rFonts w:ascii="Calibri" w:hAnsi="Calibri" w:cs="Calibri"/>
        </w:rPr>
        <w:t>ie</w:t>
      </w:r>
      <w:r w:rsidR="00B70730">
        <w:rPr>
          <w:rFonts w:ascii="Calibri" w:hAnsi="Calibri" w:cs="Calibri"/>
        </w:rPr>
        <w:t xml:space="preserve"> Analyse der Bankgebühren</w:t>
      </w:r>
      <w:r w:rsidR="00131A82">
        <w:rPr>
          <w:rFonts w:ascii="Calibri" w:hAnsi="Calibri" w:cs="Calibri"/>
        </w:rPr>
        <w:t xml:space="preserve"> </w:t>
      </w:r>
      <w:r w:rsidR="00B70730">
        <w:rPr>
          <w:rFonts w:ascii="Calibri" w:hAnsi="Calibri" w:cs="Calibri"/>
        </w:rPr>
        <w:t xml:space="preserve">gezeigt, dass </w:t>
      </w:r>
      <w:r w:rsidR="00131A82">
        <w:rPr>
          <w:rFonts w:ascii="Calibri" w:hAnsi="Calibri" w:cs="Calibri"/>
        </w:rPr>
        <w:t>die Gebühren</w:t>
      </w:r>
      <w:r w:rsidR="00B70730">
        <w:rPr>
          <w:rFonts w:ascii="Calibri" w:hAnsi="Calibri" w:cs="Calibri"/>
        </w:rPr>
        <w:t xml:space="preserve"> steigen, währen</w:t>
      </w:r>
      <w:r w:rsidR="00131A82">
        <w:rPr>
          <w:rFonts w:ascii="Calibri" w:hAnsi="Calibri" w:cs="Calibri"/>
        </w:rPr>
        <w:t>d</w:t>
      </w:r>
      <w:r w:rsidR="00B70730">
        <w:rPr>
          <w:rFonts w:ascii="Calibri" w:hAnsi="Calibri" w:cs="Calibri"/>
        </w:rPr>
        <w:t xml:space="preserve"> die Zinsen fallen. </w:t>
      </w:r>
      <w:r w:rsidR="00131A82">
        <w:rPr>
          <w:rFonts w:ascii="Calibri" w:hAnsi="Calibri" w:cs="Calibri"/>
        </w:rPr>
        <w:t>Banken können so die Profitabilität aufrecht erhalten, während Kunden aufgrund steigender Gebühren und sinkenden Zinserträge</w:t>
      </w:r>
      <w:r w:rsidR="007013B7">
        <w:rPr>
          <w:rFonts w:ascii="Calibri" w:hAnsi="Calibri" w:cs="Calibri"/>
        </w:rPr>
        <w:t>n</w:t>
      </w:r>
      <w:r w:rsidR="00131A82">
        <w:rPr>
          <w:rFonts w:ascii="Calibri" w:hAnsi="Calibri" w:cs="Calibri"/>
        </w:rPr>
        <w:t xml:space="preserve"> zweifach schlechter positioniert sind.</w:t>
      </w:r>
      <w:r w:rsidR="00940A22">
        <w:rPr>
          <w:rFonts w:ascii="Calibri" w:hAnsi="Calibri" w:cs="Calibri"/>
        </w:rPr>
        <w:t xml:space="preserve"> </w:t>
      </w:r>
      <w:r w:rsidR="00FC186E">
        <w:rPr>
          <w:rFonts w:ascii="Calibri" w:hAnsi="Calibri" w:cs="Calibri"/>
        </w:rPr>
        <w:t xml:space="preserve">Aristoteles und Thomas Aquinas </w:t>
      </w:r>
      <w:r w:rsidR="00F87FCB">
        <w:rPr>
          <w:rFonts w:ascii="Calibri" w:hAnsi="Calibri" w:cs="Calibri"/>
        </w:rPr>
        <w:t xml:space="preserve">würden </w:t>
      </w:r>
      <w:r w:rsidR="00FC186E">
        <w:rPr>
          <w:rFonts w:ascii="Calibri" w:hAnsi="Calibri" w:cs="Calibri"/>
        </w:rPr>
        <w:t xml:space="preserve">den Bankgebühren </w:t>
      </w:r>
      <w:r w:rsidR="00F87FCB">
        <w:rPr>
          <w:rFonts w:ascii="Calibri" w:hAnsi="Calibri" w:cs="Calibri"/>
        </w:rPr>
        <w:t xml:space="preserve">sicherlich </w:t>
      </w:r>
      <w:r w:rsidR="00FC186E">
        <w:rPr>
          <w:rFonts w:ascii="Calibri" w:hAnsi="Calibri" w:cs="Calibri"/>
        </w:rPr>
        <w:t xml:space="preserve">kritisch gegenüberstehen. Automatisation und Digitalisierung haben die Kosten für Bankdienstleistungen gesenkt und entsprechen nicht den </w:t>
      </w:r>
      <w:r w:rsidR="007013B7">
        <w:rPr>
          <w:rFonts w:ascii="Calibri" w:hAnsi="Calibri" w:cs="Calibri"/>
        </w:rPr>
        <w:t xml:space="preserve">steigenden </w:t>
      </w:r>
      <w:r w:rsidR="00FC186E">
        <w:rPr>
          <w:rFonts w:ascii="Calibri" w:hAnsi="Calibri" w:cs="Calibri"/>
        </w:rPr>
        <w:t>Gebühren und somit keinem gerechten Tauschgeschäft.</w:t>
      </w:r>
    </w:p>
    <w:p w:rsidR="00FC186E" w:rsidRDefault="00FC186E" w:rsidP="00B70730">
      <w:pPr>
        <w:spacing w:line="360" w:lineRule="auto"/>
        <w:ind w:firstLine="708"/>
        <w:jc w:val="both"/>
        <w:rPr>
          <w:rFonts w:ascii="Calibri" w:hAnsi="Calibri" w:cs="Calibri"/>
        </w:rPr>
      </w:pPr>
    </w:p>
    <w:p w:rsidR="00B70730" w:rsidRDefault="00F87FCB" w:rsidP="00FC5362">
      <w:pPr>
        <w:spacing w:line="360" w:lineRule="auto"/>
        <w:ind w:firstLine="708"/>
        <w:jc w:val="both"/>
        <w:rPr>
          <w:rFonts w:ascii="Calibri" w:hAnsi="Calibri" w:cs="Calibri"/>
        </w:rPr>
      </w:pPr>
      <w:r>
        <w:rPr>
          <w:rFonts w:ascii="Calibri" w:hAnsi="Calibri" w:cs="Calibri"/>
        </w:rPr>
        <w:t>Markteintrittsbarrieren für Konkurrenten und hohe Umstellungskosten im Bankensektor würden vermutlich auch Adam Smith Bankgebühren ungerecht erscheinen lassen</w:t>
      </w:r>
      <w:r w:rsidR="0021060B">
        <w:rPr>
          <w:rFonts w:ascii="Calibri" w:hAnsi="Calibri" w:cs="Calibri"/>
        </w:rPr>
        <w:t>, da diese einen friktionsfreien Markt verhindern</w:t>
      </w:r>
      <w:r>
        <w:rPr>
          <w:rFonts w:ascii="Calibri" w:hAnsi="Calibri" w:cs="Calibri"/>
        </w:rPr>
        <w:t xml:space="preserve">. </w:t>
      </w:r>
      <w:r w:rsidR="00FC5362">
        <w:rPr>
          <w:rFonts w:ascii="Calibri" w:hAnsi="Calibri" w:cs="Calibri"/>
        </w:rPr>
        <w:t>Dazu kommt, dass d</w:t>
      </w:r>
      <w:r>
        <w:rPr>
          <w:rFonts w:ascii="Calibri" w:hAnsi="Calibri" w:cs="Calibri"/>
        </w:rPr>
        <w:t>er derzeitige</w:t>
      </w:r>
      <w:r w:rsidR="00DA28BC">
        <w:rPr>
          <w:rFonts w:ascii="Calibri" w:hAnsi="Calibri" w:cs="Calibri"/>
        </w:rPr>
        <w:t xml:space="preserve"> (Zins-) Zustand mitverursacht </w:t>
      </w:r>
      <w:r w:rsidR="00FC5362">
        <w:rPr>
          <w:rFonts w:ascii="Calibri" w:hAnsi="Calibri" w:cs="Calibri"/>
        </w:rPr>
        <w:t xml:space="preserve">wurde </w:t>
      </w:r>
      <w:r w:rsidR="00DA28BC">
        <w:rPr>
          <w:rFonts w:ascii="Calibri" w:hAnsi="Calibri" w:cs="Calibri"/>
        </w:rPr>
        <w:t xml:space="preserve">durch die Finanzkrise von 2008, in der einige Banken aufgrund rücksichtsloser Kreditvergaben eine Mitschuld trifft. </w:t>
      </w:r>
      <w:r w:rsidR="00976458">
        <w:rPr>
          <w:rFonts w:ascii="Calibri" w:hAnsi="Calibri" w:cs="Calibri"/>
        </w:rPr>
        <w:t xml:space="preserve">Dass Banken im Vergleich zu den Kunden heute besser dastehen, beurteile ich daher </w:t>
      </w:r>
      <w:r w:rsidR="006401B1">
        <w:rPr>
          <w:rFonts w:ascii="Calibri" w:hAnsi="Calibri" w:cs="Calibri"/>
        </w:rPr>
        <w:t>aufgrund der unausgeglichenen Konsequenzen</w:t>
      </w:r>
      <w:r w:rsidR="00976458">
        <w:rPr>
          <w:rFonts w:ascii="Calibri" w:hAnsi="Calibri" w:cs="Calibri"/>
        </w:rPr>
        <w:t xml:space="preserve"> aus der Finanzkrise als ungerecht. </w:t>
      </w:r>
    </w:p>
    <w:p w:rsidR="00FC186E" w:rsidRDefault="00FC186E" w:rsidP="00B70730">
      <w:pPr>
        <w:spacing w:line="360" w:lineRule="auto"/>
        <w:ind w:firstLine="708"/>
        <w:jc w:val="both"/>
        <w:rPr>
          <w:rFonts w:ascii="Calibri" w:hAnsi="Calibri" w:cs="Calibri"/>
        </w:rPr>
      </w:pPr>
    </w:p>
    <w:p w:rsidR="006401B1" w:rsidRDefault="006401B1" w:rsidP="00B70730">
      <w:pPr>
        <w:spacing w:line="360" w:lineRule="auto"/>
        <w:ind w:firstLine="708"/>
        <w:jc w:val="both"/>
        <w:rPr>
          <w:rFonts w:ascii="Calibri" w:hAnsi="Calibri" w:cs="Calibri"/>
        </w:rPr>
      </w:pPr>
      <w:r>
        <w:rPr>
          <w:rFonts w:ascii="Calibri" w:hAnsi="Calibri" w:cs="Calibri"/>
        </w:rPr>
        <w:t xml:space="preserve">Neben der Bewertung der bisherigen Bankgebühren habe ich auch neue Player auf ihren Einfluss auf die traditionellen Banken untersucht und damit auch auf Bankgebühren. </w:t>
      </w:r>
      <w:r w:rsidR="003E61D3">
        <w:rPr>
          <w:rFonts w:ascii="Calibri" w:hAnsi="Calibri" w:cs="Calibri"/>
        </w:rPr>
        <w:t xml:space="preserve">Die Bankenbranche durchläuft Innovationen, die von Startup-Banken, Direktbanken und alternativen Zahlungsmittelanbietern ausgehen. </w:t>
      </w:r>
      <w:r w:rsidR="00877DE8">
        <w:rPr>
          <w:rFonts w:ascii="Calibri" w:hAnsi="Calibri" w:cs="Calibri"/>
        </w:rPr>
        <w:t xml:space="preserve">Die neuen Anbieter sind derzeit meist transparenter und günstiger und deuten eine </w:t>
      </w:r>
      <w:r w:rsidR="00902CE8">
        <w:rPr>
          <w:rFonts w:ascii="Calibri" w:hAnsi="Calibri" w:cs="Calibri"/>
        </w:rPr>
        <w:t>Entwicklung</w:t>
      </w:r>
      <w:r w:rsidR="002D1F0B">
        <w:rPr>
          <w:rFonts w:ascii="Calibri" w:hAnsi="Calibri" w:cs="Calibri"/>
        </w:rPr>
        <w:t xml:space="preserve"> an, die hin zu </w:t>
      </w:r>
      <w:r w:rsidR="00902CE8">
        <w:rPr>
          <w:rFonts w:ascii="Calibri" w:hAnsi="Calibri" w:cs="Calibri"/>
        </w:rPr>
        <w:t>gerechten</w:t>
      </w:r>
      <w:r w:rsidR="00877DE8">
        <w:rPr>
          <w:rFonts w:ascii="Calibri" w:hAnsi="Calibri" w:cs="Calibri"/>
        </w:rPr>
        <w:t xml:space="preserve"> Bankgebühren </w:t>
      </w:r>
      <w:r w:rsidR="002D1F0B">
        <w:rPr>
          <w:rFonts w:ascii="Calibri" w:hAnsi="Calibri" w:cs="Calibri"/>
        </w:rPr>
        <w:t>führt</w:t>
      </w:r>
      <w:r w:rsidR="00902CE8">
        <w:rPr>
          <w:rFonts w:ascii="Calibri" w:hAnsi="Calibri" w:cs="Calibri"/>
        </w:rPr>
        <w:t xml:space="preserve">. </w:t>
      </w:r>
      <w:r w:rsidR="00925B8C">
        <w:rPr>
          <w:rFonts w:ascii="Calibri" w:hAnsi="Calibri" w:cs="Calibri"/>
        </w:rPr>
        <w:t xml:space="preserve">Gegen langfristig gerechte Bankgebühren sprechen allerdings Problematiken, </w:t>
      </w:r>
      <w:r w:rsidR="00570B6F">
        <w:rPr>
          <w:rFonts w:ascii="Calibri" w:hAnsi="Calibri" w:cs="Calibri"/>
        </w:rPr>
        <w:t xml:space="preserve">wie bessere Refinanzierungsmöglichkeiten der großen Banken, weiterhin bestehende Eintrittsbarrieren und </w:t>
      </w:r>
      <w:r w:rsidR="00EE3C90">
        <w:rPr>
          <w:rFonts w:ascii="Calibri" w:hAnsi="Calibri" w:cs="Calibri"/>
        </w:rPr>
        <w:t xml:space="preserve">die </w:t>
      </w:r>
      <w:r w:rsidR="00570B6F">
        <w:rPr>
          <w:rFonts w:ascii="Calibri" w:hAnsi="Calibri" w:cs="Calibri"/>
        </w:rPr>
        <w:t xml:space="preserve">Unsicherheiten </w:t>
      </w:r>
      <w:r w:rsidR="003E37B6">
        <w:rPr>
          <w:rFonts w:ascii="Calibri" w:hAnsi="Calibri" w:cs="Calibri"/>
        </w:rPr>
        <w:t>über langfristige (Profit-) Absichten</w:t>
      </w:r>
      <w:r w:rsidR="00570B6F">
        <w:rPr>
          <w:rFonts w:ascii="Calibri" w:hAnsi="Calibri" w:cs="Calibri"/>
        </w:rPr>
        <w:t xml:space="preserve"> der Disruptoren. </w:t>
      </w:r>
    </w:p>
    <w:p w:rsidR="00555CA3" w:rsidRDefault="00031469" w:rsidP="007F489E">
      <w:pPr>
        <w:spacing w:line="360" w:lineRule="auto"/>
        <w:jc w:val="both"/>
        <w:rPr>
          <w:rFonts w:ascii="Calibri" w:hAnsi="Calibri" w:cs="Calibri"/>
        </w:rPr>
      </w:pPr>
      <w:r>
        <w:rPr>
          <w:rFonts w:ascii="Calibri" w:hAnsi="Calibri" w:cs="Calibri"/>
        </w:rPr>
        <w:tab/>
      </w:r>
    </w:p>
    <w:p w:rsidR="00F4405E" w:rsidRPr="006126DF" w:rsidRDefault="00F4405E" w:rsidP="00A46250">
      <w:pPr>
        <w:spacing w:line="360" w:lineRule="auto"/>
        <w:jc w:val="both"/>
        <w:rPr>
          <w:rFonts w:ascii="Calibri" w:hAnsi="Calibri" w:cs="Calibri"/>
        </w:rPr>
      </w:pPr>
    </w:p>
    <w:p w:rsidR="00A46250" w:rsidRPr="006126DF" w:rsidRDefault="0003277E" w:rsidP="0003277E">
      <w:pPr>
        <w:pStyle w:val="berschrift1"/>
      </w:pPr>
      <w:bookmarkStart w:id="29" w:name="_Toc11850925"/>
      <w:r>
        <w:lastRenderedPageBreak/>
        <w:t xml:space="preserve">8. </w:t>
      </w:r>
      <w:r w:rsidR="00A20350">
        <w:t>Literaturverzeichnis</w:t>
      </w:r>
      <w:bookmarkEnd w:id="29"/>
    </w:p>
    <w:p w:rsidR="00A46250" w:rsidRPr="006126DF" w:rsidRDefault="00A46250" w:rsidP="00A46250">
      <w:pPr>
        <w:spacing w:line="360" w:lineRule="auto"/>
        <w:jc w:val="both"/>
        <w:rPr>
          <w:rFonts w:ascii="Calibri" w:hAnsi="Calibri" w:cs="Calibri"/>
        </w:rPr>
      </w:pPr>
    </w:p>
    <w:p w:rsidR="00F24F97" w:rsidRDefault="00F24F97" w:rsidP="00F24F97">
      <w:pPr>
        <w:jc w:val="both"/>
        <w:rPr>
          <w:rFonts w:ascii="Calibri" w:hAnsi="Calibri"/>
          <w:i/>
          <w:color w:val="000000" w:themeColor="text1"/>
        </w:rPr>
      </w:pPr>
      <w:r w:rsidRPr="00874AC9">
        <w:rPr>
          <w:rFonts w:ascii="Calibri" w:hAnsi="Calibri"/>
          <w:color w:val="000000" w:themeColor="text1"/>
        </w:rPr>
        <w:t xml:space="preserve">Andrews D. (2014) </w:t>
      </w:r>
      <w:r w:rsidRPr="00874AC9">
        <w:rPr>
          <w:rFonts w:ascii="Calibri" w:hAnsi="Calibri"/>
          <w:i/>
          <w:color w:val="000000" w:themeColor="text1"/>
        </w:rPr>
        <w:t>Adam Smith’s natural price, the gravitation metaphor, and the purposes of nature</w:t>
      </w:r>
    </w:p>
    <w:p w:rsidR="00F24F97" w:rsidRDefault="00F24F97" w:rsidP="00F24F97">
      <w:pPr>
        <w:jc w:val="both"/>
        <w:rPr>
          <w:rFonts w:ascii="Calibri" w:hAnsi="Calibri"/>
          <w:i/>
          <w:color w:val="000000" w:themeColor="text1"/>
        </w:rPr>
      </w:pPr>
    </w:p>
    <w:p w:rsidR="00F24F97" w:rsidRPr="00874AC9" w:rsidRDefault="00F24F97" w:rsidP="00F24F97">
      <w:pPr>
        <w:jc w:val="both"/>
        <w:rPr>
          <w:rFonts w:ascii="Calibri" w:hAnsi="Calibri"/>
          <w:color w:val="000000" w:themeColor="text1"/>
        </w:rPr>
      </w:pPr>
      <w:r w:rsidRPr="00874AC9">
        <w:rPr>
          <w:rFonts w:ascii="Calibri" w:hAnsi="Calibri"/>
          <w:color w:val="000000" w:themeColor="text1"/>
        </w:rPr>
        <w:t xml:space="preserve">Aspers, P. &amp; Dodd, N. (2015) </w:t>
      </w:r>
      <w:r w:rsidRPr="00874AC9">
        <w:rPr>
          <w:rFonts w:ascii="Calibri" w:hAnsi="Calibri"/>
          <w:i/>
          <w:color w:val="000000" w:themeColor="text1"/>
        </w:rPr>
        <w:t>Re-imagining Economic Sociology</w:t>
      </w:r>
      <w:r w:rsidRPr="00874AC9">
        <w:rPr>
          <w:rFonts w:ascii="Calibri" w:hAnsi="Calibri"/>
          <w:color w:val="000000" w:themeColor="text1"/>
        </w:rPr>
        <w:t>. Oxford Scholarship Online</w:t>
      </w:r>
    </w:p>
    <w:p w:rsidR="00F24F97" w:rsidRDefault="00F24F97" w:rsidP="00F81C48">
      <w:pPr>
        <w:jc w:val="both"/>
        <w:rPr>
          <w:rFonts w:ascii="Calibri" w:hAnsi="Calibri" w:cs="Calibri"/>
          <w:color w:val="000000" w:themeColor="text1"/>
        </w:rPr>
      </w:pPr>
    </w:p>
    <w:p w:rsidR="00F24F97" w:rsidRDefault="00F24F97" w:rsidP="00F24F97">
      <w:pPr>
        <w:jc w:val="both"/>
        <w:rPr>
          <w:rFonts w:ascii="Calibri" w:hAnsi="Calibri"/>
          <w:color w:val="000000" w:themeColor="text1"/>
        </w:rPr>
      </w:pPr>
      <w:r>
        <w:rPr>
          <w:rFonts w:ascii="Calibri" w:hAnsi="Calibri"/>
          <w:color w:val="000000" w:themeColor="text1"/>
        </w:rPr>
        <w:t>Cruickshank (2000); besucht 19. Juni 2019, auf</w:t>
      </w:r>
    </w:p>
    <w:p w:rsidR="00F24F97" w:rsidRDefault="00F24F97" w:rsidP="00F24F97">
      <w:pPr>
        <w:jc w:val="both"/>
        <w:rPr>
          <w:rFonts w:ascii="Calibri" w:hAnsi="Calibri"/>
          <w:color w:val="000000" w:themeColor="text1"/>
        </w:rPr>
      </w:pPr>
      <w:r w:rsidRPr="00E7642A">
        <w:rPr>
          <w:rFonts w:ascii="Calibri" w:hAnsi="Calibri"/>
          <w:color w:val="000000" w:themeColor="text1"/>
        </w:rPr>
        <w:t>https://www.vocalink.com/media/1603/cruickshank_report_2000.pdf</w:t>
      </w:r>
    </w:p>
    <w:p w:rsidR="00F24F97" w:rsidRDefault="00F24F97" w:rsidP="00F24F97">
      <w:pPr>
        <w:jc w:val="both"/>
        <w:rPr>
          <w:rFonts w:ascii="Calibri" w:hAnsi="Calibri"/>
          <w:color w:val="000000" w:themeColor="text1"/>
        </w:rPr>
      </w:pPr>
    </w:p>
    <w:p w:rsidR="00F24F97" w:rsidRPr="00874AC9" w:rsidRDefault="00F24F97" w:rsidP="00F24F97">
      <w:pPr>
        <w:jc w:val="both"/>
        <w:rPr>
          <w:rFonts w:ascii="Calibri" w:hAnsi="Calibri"/>
          <w:color w:val="000000" w:themeColor="text1"/>
        </w:rPr>
      </w:pPr>
      <w:r w:rsidRPr="00874AC9">
        <w:rPr>
          <w:rFonts w:ascii="Calibri" w:hAnsi="Calibri"/>
          <w:color w:val="000000" w:themeColor="text1"/>
        </w:rPr>
        <w:t xml:space="preserve">Deutsche Bank (2019) </w:t>
      </w:r>
      <w:r w:rsidRPr="00874AC9">
        <w:rPr>
          <w:rFonts w:ascii="Calibri" w:hAnsi="Calibri"/>
          <w:i/>
          <w:color w:val="000000" w:themeColor="text1"/>
        </w:rPr>
        <w:t>Pressemitteilung</w:t>
      </w:r>
      <w:r w:rsidRPr="00874AC9">
        <w:rPr>
          <w:rFonts w:ascii="Calibri" w:hAnsi="Calibri"/>
          <w:color w:val="000000" w:themeColor="text1"/>
        </w:rPr>
        <w:t>; besucht 19. Juni 2019, auf</w:t>
      </w:r>
    </w:p>
    <w:p w:rsidR="00F24F97" w:rsidRPr="00874AC9" w:rsidRDefault="001B7E3E" w:rsidP="00F24F97">
      <w:pPr>
        <w:jc w:val="both"/>
        <w:rPr>
          <w:rFonts w:ascii="Calibri" w:hAnsi="Calibri"/>
          <w:color w:val="000000" w:themeColor="text1"/>
        </w:rPr>
      </w:pPr>
      <w:hyperlink r:id="rId20" w:history="1">
        <w:r w:rsidR="00F24F97" w:rsidRPr="00874AC9">
          <w:rPr>
            <w:rStyle w:val="Hyperlink"/>
            <w:rFonts w:ascii="Calibri" w:hAnsi="Calibri"/>
            <w:color w:val="000000" w:themeColor="text1"/>
            <w:u w:val="none"/>
          </w:rPr>
          <w:t>https://www.db.com/newsroom_news/2018/deutsche-bank-reports-first-full-year-net-profit-since-2014-and-delivers-on-2018-targets-en-11787.htm</w:t>
        </w:r>
      </w:hyperlink>
    </w:p>
    <w:p w:rsidR="00F24F97" w:rsidRDefault="00F24F97" w:rsidP="00F81C48">
      <w:pPr>
        <w:jc w:val="both"/>
        <w:rPr>
          <w:rFonts w:ascii="Calibri" w:hAnsi="Calibri" w:cs="Calibri"/>
          <w:color w:val="000000" w:themeColor="text1"/>
        </w:rPr>
      </w:pPr>
    </w:p>
    <w:p w:rsidR="00F24F97" w:rsidRPr="00874AC9" w:rsidRDefault="00F24F97" w:rsidP="00F24F97">
      <w:pPr>
        <w:jc w:val="both"/>
        <w:rPr>
          <w:rFonts w:ascii="Calibri" w:hAnsi="Calibri" w:cs="Calibri"/>
          <w:color w:val="000000" w:themeColor="text1"/>
        </w:rPr>
      </w:pPr>
      <w:r w:rsidRPr="00874AC9">
        <w:rPr>
          <w:rFonts w:ascii="Calibri" w:hAnsi="Calibri" w:cs="Calibri"/>
          <w:color w:val="000000" w:themeColor="text1"/>
        </w:rPr>
        <w:t>Deutsche Bundesbank (2018) besucht 19. Juni 2019, auf</w:t>
      </w:r>
    </w:p>
    <w:p w:rsidR="00F24F97" w:rsidRPr="00874AC9" w:rsidRDefault="001B7E3E" w:rsidP="00F24F97">
      <w:pPr>
        <w:jc w:val="both"/>
        <w:rPr>
          <w:rFonts w:ascii="Calibri" w:hAnsi="Calibri"/>
          <w:color w:val="000000" w:themeColor="text1"/>
        </w:rPr>
      </w:pPr>
      <w:hyperlink r:id="rId21" w:history="1">
        <w:r w:rsidR="00F24F97" w:rsidRPr="00874AC9">
          <w:rPr>
            <w:rStyle w:val="Hyperlink"/>
            <w:rFonts w:ascii="Calibri" w:hAnsi="Calibri"/>
            <w:color w:val="000000" w:themeColor="text1"/>
            <w:u w:val="none"/>
          </w:rPr>
          <w:t>https://de.statista.com/statistik/daten/studie/242867/umfrage/provisionsertraege-der-banken-in-deutschland/</w:t>
        </w:r>
      </w:hyperlink>
    </w:p>
    <w:p w:rsidR="00BB1760" w:rsidRPr="00874AC9" w:rsidRDefault="00BB1760" w:rsidP="00BB1760">
      <w:pPr>
        <w:jc w:val="both"/>
        <w:rPr>
          <w:rFonts w:ascii="Calibri" w:hAnsi="Calibri"/>
          <w:color w:val="000000" w:themeColor="text1"/>
        </w:rPr>
      </w:pPr>
    </w:p>
    <w:p w:rsidR="00BB1760" w:rsidRPr="00874AC9" w:rsidRDefault="00BB1760" w:rsidP="00BB1760">
      <w:pPr>
        <w:jc w:val="both"/>
        <w:rPr>
          <w:rFonts w:ascii="Calibri" w:hAnsi="Calibri"/>
          <w:color w:val="000000" w:themeColor="text1"/>
        </w:rPr>
      </w:pPr>
      <w:r w:rsidRPr="00874AC9">
        <w:rPr>
          <w:rFonts w:ascii="Calibri" w:hAnsi="Calibri"/>
          <w:color w:val="000000" w:themeColor="text1"/>
        </w:rPr>
        <w:t xml:space="preserve">Ferber, M. (2017) </w:t>
      </w:r>
      <w:r w:rsidRPr="00874AC9">
        <w:rPr>
          <w:rFonts w:ascii="Calibri" w:hAnsi="Calibri"/>
          <w:i/>
          <w:color w:val="000000" w:themeColor="text1"/>
        </w:rPr>
        <w:t>Hohe Kosten von Konten und Karten;</w:t>
      </w:r>
      <w:r w:rsidRPr="00874AC9">
        <w:rPr>
          <w:rFonts w:ascii="Calibri" w:hAnsi="Calibri"/>
          <w:color w:val="000000" w:themeColor="text1"/>
        </w:rPr>
        <w:t xml:space="preserve"> erschienen in: NZZ, besucht 19. Juni 2019, auf</w:t>
      </w:r>
    </w:p>
    <w:p w:rsidR="00BB1760" w:rsidRPr="00874AC9" w:rsidRDefault="001B7E3E" w:rsidP="00BB1760">
      <w:pPr>
        <w:jc w:val="both"/>
        <w:rPr>
          <w:rFonts w:ascii="Calibri" w:hAnsi="Calibri"/>
          <w:color w:val="000000" w:themeColor="text1"/>
        </w:rPr>
      </w:pPr>
      <w:hyperlink r:id="rId22" w:history="1">
        <w:r w:rsidR="00BB1760" w:rsidRPr="00874AC9">
          <w:rPr>
            <w:rStyle w:val="Hyperlink"/>
            <w:rFonts w:ascii="Calibri" w:hAnsi="Calibri"/>
            <w:color w:val="000000" w:themeColor="text1"/>
            <w:u w:val="none"/>
          </w:rPr>
          <w:t>https://www.nzz.ch/finanzen/hohe-kosten-von-konten-und-karten-ld.1327689</w:t>
        </w:r>
      </w:hyperlink>
    </w:p>
    <w:p w:rsidR="00BD2465" w:rsidRDefault="00BD2465" w:rsidP="00F81C48">
      <w:pPr>
        <w:jc w:val="both"/>
        <w:rPr>
          <w:rFonts w:ascii="Calibri" w:hAnsi="Calibri" w:cs="Calibri"/>
          <w:color w:val="000000" w:themeColor="text1"/>
        </w:rPr>
      </w:pPr>
    </w:p>
    <w:p w:rsidR="00F24F97" w:rsidRPr="00874AC9" w:rsidRDefault="00F24F97" w:rsidP="00F24F97">
      <w:pPr>
        <w:jc w:val="both"/>
        <w:rPr>
          <w:rFonts w:ascii="Calibri" w:hAnsi="Calibri"/>
          <w:color w:val="000000" w:themeColor="text1"/>
        </w:rPr>
      </w:pPr>
      <w:r w:rsidRPr="00874AC9">
        <w:rPr>
          <w:rFonts w:ascii="Calibri" w:hAnsi="Calibri"/>
          <w:color w:val="000000" w:themeColor="text1"/>
        </w:rPr>
        <w:t xml:space="preserve">Hecker, C. (2008). </w:t>
      </w:r>
      <w:r w:rsidRPr="00874AC9">
        <w:rPr>
          <w:rFonts w:ascii="Calibri" w:hAnsi="Calibri"/>
          <w:i/>
          <w:color w:val="000000" w:themeColor="text1"/>
        </w:rPr>
        <w:t>Lohn- und Preisgerechtigkeit: Historische Rückblicke und aktuelle Perspektiven unter besonderer Berücksichtigung der christlichen Soziallehren (Ethik und Ökonomie)</w:t>
      </w:r>
      <w:r w:rsidRPr="00874AC9">
        <w:rPr>
          <w:rFonts w:ascii="Calibri" w:hAnsi="Calibri"/>
          <w:color w:val="000000" w:themeColor="text1"/>
        </w:rPr>
        <w:t>. Marburg: Metropolis</w:t>
      </w:r>
    </w:p>
    <w:p w:rsidR="00F24F97" w:rsidRDefault="00F24F97" w:rsidP="00F81C48">
      <w:pPr>
        <w:jc w:val="both"/>
        <w:rPr>
          <w:rFonts w:ascii="Calibri" w:hAnsi="Calibri" w:cs="Calibri"/>
          <w:color w:val="000000" w:themeColor="text1"/>
        </w:rPr>
      </w:pPr>
    </w:p>
    <w:p w:rsidR="00BD2465" w:rsidRPr="00874AC9" w:rsidRDefault="00BD2465" w:rsidP="00BD2465">
      <w:pPr>
        <w:jc w:val="both"/>
        <w:rPr>
          <w:rFonts w:ascii="Calibri" w:hAnsi="Calibri"/>
          <w:color w:val="000000" w:themeColor="text1"/>
        </w:rPr>
      </w:pPr>
      <w:r w:rsidRPr="00874AC9">
        <w:rPr>
          <w:rFonts w:ascii="Calibri" w:hAnsi="Calibri"/>
          <w:color w:val="000000" w:themeColor="text1"/>
        </w:rPr>
        <w:t xml:space="preserve">Horwitz, J. &amp; Olson, P. (2019) </w:t>
      </w:r>
      <w:r w:rsidRPr="00874AC9">
        <w:rPr>
          <w:rFonts w:ascii="Calibri" w:hAnsi="Calibri"/>
          <w:i/>
          <w:color w:val="000000" w:themeColor="text1"/>
        </w:rPr>
        <w:t>Facebook Unveils Libra, Cryptocurrency Rival to Bitcoin;</w:t>
      </w:r>
      <w:r w:rsidRPr="00874AC9">
        <w:rPr>
          <w:rFonts w:ascii="Calibri" w:hAnsi="Calibri"/>
          <w:color w:val="000000" w:themeColor="text1"/>
        </w:rPr>
        <w:t xml:space="preserve"> erschienen in Wall Street Journal, besucht 19. Juni 2019, auf</w:t>
      </w:r>
    </w:p>
    <w:p w:rsidR="00BD2465" w:rsidRPr="00874AC9" w:rsidRDefault="001B7E3E" w:rsidP="00BD2465">
      <w:pPr>
        <w:jc w:val="both"/>
        <w:rPr>
          <w:rFonts w:ascii="Calibri" w:hAnsi="Calibri"/>
          <w:color w:val="000000" w:themeColor="text1"/>
        </w:rPr>
      </w:pPr>
      <w:hyperlink r:id="rId23" w:history="1">
        <w:r w:rsidR="00BD2465" w:rsidRPr="00874AC9">
          <w:rPr>
            <w:rStyle w:val="Hyperlink"/>
            <w:rFonts w:ascii="Calibri" w:hAnsi="Calibri"/>
            <w:color w:val="000000" w:themeColor="text1"/>
            <w:u w:val="none"/>
          </w:rPr>
          <w:t>https://www.wsj.com/articles/facebook-unveils-crypto-wallet-based-on-currency-libra-11560850141</w:t>
        </w:r>
      </w:hyperlink>
    </w:p>
    <w:p w:rsidR="00BD2465" w:rsidRDefault="00BD2465" w:rsidP="00F81C48">
      <w:pPr>
        <w:jc w:val="both"/>
        <w:rPr>
          <w:rFonts w:ascii="Calibri" w:hAnsi="Calibri" w:cs="Calibri"/>
          <w:color w:val="000000" w:themeColor="text1"/>
        </w:rPr>
      </w:pPr>
    </w:p>
    <w:p w:rsidR="00F24F97" w:rsidRPr="00874AC9" w:rsidRDefault="00F24F97" w:rsidP="00F24F97">
      <w:pPr>
        <w:jc w:val="both"/>
        <w:rPr>
          <w:rFonts w:ascii="Calibri" w:hAnsi="Calibri" w:cs="Calibri"/>
          <w:color w:val="000000" w:themeColor="text1"/>
        </w:rPr>
      </w:pPr>
      <w:r w:rsidRPr="00874AC9">
        <w:rPr>
          <w:rFonts w:ascii="Calibri" w:hAnsi="Calibri" w:cs="Calibri"/>
          <w:color w:val="000000" w:themeColor="text1"/>
        </w:rPr>
        <w:t xml:space="preserve">Karkal, S. (2019) </w:t>
      </w:r>
      <w:r w:rsidRPr="00874AC9">
        <w:rPr>
          <w:rFonts w:ascii="Calibri" w:hAnsi="Calibri" w:cs="Calibri"/>
          <w:i/>
          <w:color w:val="000000" w:themeColor="text1"/>
        </w:rPr>
        <w:t>How Do Banks Work?</w:t>
      </w:r>
      <w:r w:rsidRPr="00874AC9">
        <w:rPr>
          <w:rFonts w:ascii="Calibri" w:hAnsi="Calibri" w:cs="Calibri"/>
          <w:color w:val="000000" w:themeColor="text1"/>
        </w:rPr>
        <w:t>; besucht 19. Juni 2019, auf</w:t>
      </w:r>
    </w:p>
    <w:p w:rsidR="00F24F97" w:rsidRPr="00874AC9" w:rsidRDefault="001B7E3E" w:rsidP="00F24F97">
      <w:pPr>
        <w:jc w:val="both"/>
        <w:rPr>
          <w:rFonts w:ascii="Calibri" w:hAnsi="Calibri"/>
          <w:color w:val="000000" w:themeColor="text1"/>
        </w:rPr>
      </w:pPr>
      <w:hyperlink r:id="rId24" w:history="1">
        <w:r w:rsidR="00F24F97" w:rsidRPr="00874AC9">
          <w:rPr>
            <w:rStyle w:val="Hyperlink"/>
            <w:rFonts w:ascii="Calibri" w:hAnsi="Calibri"/>
            <w:color w:val="000000" w:themeColor="text1"/>
            <w:u w:val="none"/>
          </w:rPr>
          <w:t>https://www.simple.com/blog/how-do-banks-work</w:t>
        </w:r>
      </w:hyperlink>
    </w:p>
    <w:p w:rsidR="00F24F97" w:rsidRDefault="00F24F97" w:rsidP="00F81C48">
      <w:pPr>
        <w:jc w:val="both"/>
        <w:rPr>
          <w:rFonts w:ascii="Calibri" w:hAnsi="Calibri" w:cs="Calibri"/>
          <w:color w:val="000000" w:themeColor="text1"/>
        </w:rPr>
      </w:pPr>
    </w:p>
    <w:p w:rsidR="00E46554" w:rsidRDefault="00E46554" w:rsidP="00E46554">
      <w:pPr>
        <w:jc w:val="both"/>
        <w:rPr>
          <w:rFonts w:ascii="Calibri" w:hAnsi="Calibri" w:cs="Calibri"/>
        </w:rPr>
      </w:pPr>
      <w:r>
        <w:rPr>
          <w:rFonts w:ascii="Calibri" w:hAnsi="Calibri" w:cs="Calibri"/>
        </w:rPr>
        <w:t xml:space="preserve">Knauseder, L. (2019). </w:t>
      </w:r>
      <w:r w:rsidRPr="000738A2">
        <w:rPr>
          <w:rFonts w:ascii="Calibri" w:hAnsi="Calibri" w:cs="Calibri"/>
          <w:i/>
        </w:rPr>
        <w:t>Business Model Innovation in Austrian &amp; German Direct Retail Banking: A comparative case study approach</w:t>
      </w:r>
      <w:r>
        <w:rPr>
          <w:rFonts w:ascii="Calibri" w:hAnsi="Calibri" w:cs="Calibri"/>
          <w:i/>
        </w:rPr>
        <w:t xml:space="preserve">; </w:t>
      </w:r>
      <w:r>
        <w:rPr>
          <w:rFonts w:ascii="Calibri" w:hAnsi="Calibri" w:cs="Calibri"/>
        </w:rPr>
        <w:t>besucht am 19. Juni 2019, auf</w:t>
      </w:r>
    </w:p>
    <w:p w:rsidR="00E46554" w:rsidRPr="00F81C48" w:rsidRDefault="00E46554" w:rsidP="00E46554">
      <w:pPr>
        <w:jc w:val="both"/>
        <w:rPr>
          <w:rFonts w:ascii="Calibri" w:hAnsi="Calibri" w:cs="Calibri"/>
        </w:rPr>
      </w:pPr>
      <w:r w:rsidRPr="000738A2">
        <w:rPr>
          <w:rFonts w:ascii="Calibri" w:hAnsi="Calibri" w:cs="Calibri"/>
        </w:rPr>
        <w:t>https://www.lbs.ac.at/wp-content/uploads/2019/03/Knauseder-LBS-WP-No8.pdf</w:t>
      </w:r>
    </w:p>
    <w:p w:rsidR="00E46554" w:rsidRDefault="00E46554" w:rsidP="00F81C48">
      <w:pPr>
        <w:jc w:val="both"/>
        <w:rPr>
          <w:rFonts w:ascii="Calibri" w:hAnsi="Calibri" w:cs="Calibri"/>
          <w:color w:val="000000" w:themeColor="text1"/>
        </w:rPr>
      </w:pPr>
    </w:p>
    <w:p w:rsidR="00A46250" w:rsidRDefault="00A46250" w:rsidP="00F81C48">
      <w:pPr>
        <w:jc w:val="both"/>
        <w:rPr>
          <w:rFonts w:ascii="Calibri" w:hAnsi="Calibri" w:cs="Calibri"/>
          <w:color w:val="000000" w:themeColor="text1"/>
        </w:rPr>
      </w:pPr>
      <w:r w:rsidRPr="00874AC9">
        <w:rPr>
          <w:rFonts w:ascii="Calibri" w:hAnsi="Calibri" w:cs="Calibri"/>
          <w:color w:val="000000" w:themeColor="text1"/>
        </w:rPr>
        <w:t xml:space="preserve">Knoll, M. (2016). </w:t>
      </w:r>
      <w:r w:rsidRPr="00874AC9">
        <w:rPr>
          <w:rFonts w:ascii="Calibri" w:hAnsi="Calibri" w:cs="Calibri"/>
          <w:i/>
          <w:color w:val="000000" w:themeColor="text1"/>
        </w:rPr>
        <w:t>The Meaning of Distributive Justice for Aristotle's Theory of Constitutions</w:t>
      </w:r>
      <w:r w:rsidRPr="00874AC9">
        <w:rPr>
          <w:rFonts w:ascii="Calibri" w:hAnsi="Calibri" w:cs="Calibri"/>
          <w:color w:val="000000" w:themeColor="text1"/>
        </w:rPr>
        <w:t>. Istanbul Sehir University.</w:t>
      </w:r>
    </w:p>
    <w:p w:rsidR="00F24F97" w:rsidRDefault="00F24F97" w:rsidP="00F81C48">
      <w:pPr>
        <w:jc w:val="both"/>
        <w:rPr>
          <w:rFonts w:ascii="Calibri" w:hAnsi="Calibri" w:cs="Calibri"/>
          <w:color w:val="000000" w:themeColor="text1"/>
        </w:rPr>
      </w:pPr>
    </w:p>
    <w:p w:rsidR="00FC4F13" w:rsidRPr="00874AC9" w:rsidRDefault="00FC4F13" w:rsidP="00FC4F13">
      <w:pPr>
        <w:jc w:val="both"/>
        <w:rPr>
          <w:rFonts w:ascii="Calibri" w:hAnsi="Calibri"/>
          <w:color w:val="000000" w:themeColor="text1"/>
        </w:rPr>
      </w:pPr>
      <w:r w:rsidRPr="00874AC9">
        <w:rPr>
          <w:rFonts w:ascii="Calibri" w:hAnsi="Calibri"/>
          <w:color w:val="000000" w:themeColor="text1"/>
        </w:rPr>
        <w:t xml:space="preserve">Makortoff, K. (2019) </w:t>
      </w:r>
      <w:r w:rsidRPr="00874AC9">
        <w:rPr>
          <w:rFonts w:ascii="Calibri" w:hAnsi="Calibri"/>
          <w:i/>
          <w:color w:val="000000" w:themeColor="text1"/>
        </w:rPr>
        <w:t>Monzo digital bank could double value to £2bn with new US stake</w:t>
      </w:r>
      <w:r w:rsidRPr="00874AC9">
        <w:rPr>
          <w:rFonts w:ascii="Calibri" w:hAnsi="Calibri"/>
          <w:color w:val="000000" w:themeColor="text1"/>
        </w:rPr>
        <w:t>; erschienen in Guardian, besucht 19. Juni 2019, auf</w:t>
      </w:r>
    </w:p>
    <w:p w:rsidR="00FC4F13" w:rsidRPr="00874AC9" w:rsidRDefault="001B7E3E" w:rsidP="00FC4F13">
      <w:pPr>
        <w:jc w:val="both"/>
        <w:rPr>
          <w:rFonts w:ascii="Calibri" w:hAnsi="Calibri"/>
          <w:color w:val="000000" w:themeColor="text1"/>
        </w:rPr>
      </w:pPr>
      <w:hyperlink r:id="rId25" w:history="1">
        <w:r w:rsidR="00FC4F13" w:rsidRPr="00874AC9">
          <w:rPr>
            <w:rStyle w:val="Hyperlink"/>
            <w:rFonts w:ascii="Calibri" w:hAnsi="Calibri"/>
            <w:color w:val="000000" w:themeColor="text1"/>
            <w:u w:val="none"/>
          </w:rPr>
          <w:t>https://www.theguardian.com/business/2019/apr/07/monzo-digital-bank-could-double-value-to-2bn-with-new-us-stake</w:t>
        </w:r>
      </w:hyperlink>
    </w:p>
    <w:p w:rsidR="00FC4F13" w:rsidRDefault="00FC4F13" w:rsidP="00F81C48">
      <w:pPr>
        <w:jc w:val="both"/>
        <w:rPr>
          <w:rFonts w:ascii="Calibri" w:hAnsi="Calibri" w:cs="Calibri"/>
          <w:color w:val="000000" w:themeColor="text1"/>
        </w:rPr>
      </w:pPr>
    </w:p>
    <w:p w:rsidR="00ED512C" w:rsidRPr="00874AC9" w:rsidRDefault="00ED512C" w:rsidP="00ED512C">
      <w:pPr>
        <w:jc w:val="both"/>
        <w:rPr>
          <w:rFonts w:ascii="Calibri" w:hAnsi="Calibri"/>
          <w:color w:val="000000" w:themeColor="text1"/>
        </w:rPr>
      </w:pPr>
      <w:r w:rsidRPr="00874AC9">
        <w:rPr>
          <w:rFonts w:ascii="Calibri" w:hAnsi="Calibri"/>
          <w:color w:val="000000" w:themeColor="text1"/>
        </w:rPr>
        <w:t xml:space="preserve">Matthews, C. (2010) </w:t>
      </w:r>
      <w:r w:rsidRPr="00874AC9">
        <w:rPr>
          <w:rFonts w:ascii="Calibri" w:hAnsi="Calibri"/>
          <w:i/>
          <w:color w:val="000000" w:themeColor="text1"/>
        </w:rPr>
        <w:t>Switching Costs in Banking: The Regulatory Response</w:t>
      </w:r>
      <w:r w:rsidRPr="00874AC9">
        <w:rPr>
          <w:rFonts w:ascii="Calibri" w:hAnsi="Calibri"/>
          <w:color w:val="000000" w:themeColor="text1"/>
        </w:rPr>
        <w:t>. Massey University</w:t>
      </w:r>
    </w:p>
    <w:p w:rsidR="0078501C" w:rsidRDefault="0078501C" w:rsidP="0078501C">
      <w:pPr>
        <w:jc w:val="both"/>
        <w:rPr>
          <w:rFonts w:ascii="Calibri" w:hAnsi="Calibri"/>
          <w:color w:val="000000" w:themeColor="text1"/>
        </w:rPr>
      </w:pPr>
    </w:p>
    <w:p w:rsidR="0078501C" w:rsidRPr="00874AC9" w:rsidRDefault="0078501C" w:rsidP="0078501C">
      <w:pPr>
        <w:jc w:val="both"/>
        <w:rPr>
          <w:rFonts w:ascii="Calibri" w:hAnsi="Calibri"/>
          <w:color w:val="000000" w:themeColor="text1"/>
        </w:rPr>
      </w:pPr>
      <w:r w:rsidRPr="00874AC9">
        <w:rPr>
          <w:rFonts w:ascii="Calibri" w:hAnsi="Calibri"/>
          <w:color w:val="000000" w:themeColor="text1"/>
        </w:rPr>
        <w:t xml:space="preserve">McKinsey (2018) </w:t>
      </w:r>
      <w:r w:rsidRPr="00874AC9">
        <w:rPr>
          <w:rFonts w:ascii="Calibri" w:hAnsi="Calibri"/>
          <w:i/>
          <w:color w:val="000000" w:themeColor="text1"/>
        </w:rPr>
        <w:t xml:space="preserve">A decade after the global financial crisis: What has (and hasn’t) changed?; </w:t>
      </w:r>
      <w:r w:rsidRPr="00874AC9">
        <w:rPr>
          <w:rFonts w:ascii="Calibri" w:hAnsi="Calibri"/>
          <w:color w:val="000000" w:themeColor="text1"/>
        </w:rPr>
        <w:t>besucht 19. Juni 2019, auf</w:t>
      </w:r>
    </w:p>
    <w:p w:rsidR="00ED512C" w:rsidRDefault="001B7E3E" w:rsidP="0078501C">
      <w:pPr>
        <w:jc w:val="both"/>
        <w:rPr>
          <w:rFonts w:ascii="Calibri" w:hAnsi="Calibri" w:cs="Calibri"/>
          <w:color w:val="000000" w:themeColor="text1"/>
        </w:rPr>
      </w:pPr>
      <w:hyperlink r:id="rId26" w:history="1">
        <w:r w:rsidR="0078501C" w:rsidRPr="00874AC9">
          <w:rPr>
            <w:rStyle w:val="Hyperlink"/>
            <w:rFonts w:ascii="Calibri" w:hAnsi="Calibri"/>
            <w:color w:val="000000" w:themeColor="text1"/>
            <w:u w:val="none"/>
          </w:rPr>
          <w:t>https://www.mckinsey.com/industries/financial-services/our-insights/a-decade-after-the-global-financial-crisis-what-has-and-hasnt-changed</w:t>
        </w:r>
      </w:hyperlink>
    </w:p>
    <w:p w:rsidR="0078501C" w:rsidRDefault="0078501C" w:rsidP="00F81C48">
      <w:pPr>
        <w:jc w:val="both"/>
        <w:rPr>
          <w:rFonts w:ascii="Calibri" w:hAnsi="Calibri" w:cs="Calibri"/>
          <w:color w:val="000000" w:themeColor="text1"/>
        </w:rPr>
      </w:pPr>
    </w:p>
    <w:p w:rsidR="00BF74A1" w:rsidRPr="00874AC9" w:rsidRDefault="00BF74A1" w:rsidP="00BF74A1">
      <w:pPr>
        <w:jc w:val="both"/>
        <w:rPr>
          <w:rFonts w:ascii="Calibri" w:hAnsi="Calibri"/>
          <w:color w:val="000000" w:themeColor="text1"/>
        </w:rPr>
      </w:pPr>
      <w:r w:rsidRPr="00874AC9">
        <w:rPr>
          <w:rFonts w:ascii="Calibri" w:hAnsi="Calibri"/>
          <w:color w:val="000000" w:themeColor="text1"/>
        </w:rPr>
        <w:t xml:space="preserve">Megaw, N. (2019) </w:t>
      </w:r>
      <w:r w:rsidRPr="00874AC9">
        <w:rPr>
          <w:rFonts w:ascii="Calibri" w:hAnsi="Calibri"/>
          <w:i/>
          <w:color w:val="000000" w:themeColor="text1"/>
        </w:rPr>
        <w:t>Challenger banks complain about barriers to growth;</w:t>
      </w:r>
      <w:r w:rsidRPr="00874AC9">
        <w:rPr>
          <w:rFonts w:ascii="Calibri" w:hAnsi="Calibri"/>
          <w:color w:val="000000" w:themeColor="text1"/>
        </w:rPr>
        <w:t xml:space="preserve"> erschienen in: Financial Times, besucht 19. Juni 2019, auf</w:t>
      </w:r>
    </w:p>
    <w:p w:rsidR="00BF74A1" w:rsidRPr="00874AC9" w:rsidRDefault="001B7E3E" w:rsidP="00BF74A1">
      <w:pPr>
        <w:jc w:val="both"/>
        <w:rPr>
          <w:rFonts w:ascii="Calibri" w:hAnsi="Calibri"/>
          <w:color w:val="000000" w:themeColor="text1"/>
        </w:rPr>
      </w:pPr>
      <w:hyperlink r:id="rId27" w:history="1">
        <w:r w:rsidR="00BF74A1" w:rsidRPr="00874AC9">
          <w:rPr>
            <w:rStyle w:val="Hyperlink"/>
            <w:rFonts w:ascii="Calibri" w:hAnsi="Calibri"/>
            <w:color w:val="000000" w:themeColor="text1"/>
            <w:u w:val="none"/>
          </w:rPr>
          <w:t>https://www.ft.com/content/a54940b2-f1a1-11e8-ae55-df4bf40f9d0d</w:t>
        </w:r>
      </w:hyperlink>
    </w:p>
    <w:p w:rsidR="00BF74A1" w:rsidRDefault="00BF74A1" w:rsidP="00F81C48">
      <w:pPr>
        <w:jc w:val="both"/>
        <w:rPr>
          <w:rFonts w:ascii="Calibri" w:hAnsi="Calibri" w:cs="Calibri"/>
          <w:color w:val="000000" w:themeColor="text1"/>
        </w:rPr>
      </w:pPr>
    </w:p>
    <w:p w:rsidR="00F24F97" w:rsidRPr="00874AC9" w:rsidRDefault="00F24F97" w:rsidP="00F24F97">
      <w:pPr>
        <w:jc w:val="both"/>
        <w:rPr>
          <w:rFonts w:ascii="Calibri" w:hAnsi="Calibri" w:cs="Calibri"/>
          <w:color w:val="000000" w:themeColor="text1"/>
        </w:rPr>
      </w:pPr>
      <w:r w:rsidRPr="00874AC9">
        <w:rPr>
          <w:rFonts w:ascii="Calibri" w:hAnsi="Calibri" w:cs="Calibri"/>
          <w:color w:val="000000" w:themeColor="text1"/>
        </w:rPr>
        <w:t xml:space="preserve">Meola, A. (2016) </w:t>
      </w:r>
      <w:r w:rsidRPr="00874AC9">
        <w:rPr>
          <w:rFonts w:ascii="Calibri" w:hAnsi="Calibri" w:cs="Calibri"/>
          <w:i/>
          <w:color w:val="000000" w:themeColor="text1"/>
        </w:rPr>
        <w:t>PayPal could be a threat to major banks</w:t>
      </w:r>
      <w:r w:rsidRPr="00874AC9">
        <w:rPr>
          <w:rFonts w:ascii="Calibri" w:hAnsi="Calibri" w:cs="Calibri"/>
          <w:color w:val="000000" w:themeColor="text1"/>
        </w:rPr>
        <w:t>; erschienen in: Business Insider, besucht 19. Juni 2019, auf</w:t>
      </w:r>
    </w:p>
    <w:p w:rsidR="00F24F97" w:rsidRDefault="001B7E3E" w:rsidP="00F81C48">
      <w:pPr>
        <w:jc w:val="both"/>
        <w:rPr>
          <w:rFonts w:ascii="Calibri" w:hAnsi="Calibri"/>
          <w:color w:val="000000" w:themeColor="text1"/>
        </w:rPr>
      </w:pPr>
      <w:hyperlink r:id="rId28" w:history="1">
        <w:r w:rsidR="00F24F97" w:rsidRPr="00874AC9">
          <w:rPr>
            <w:rStyle w:val="Hyperlink"/>
            <w:rFonts w:ascii="Calibri" w:hAnsi="Calibri"/>
            <w:color w:val="000000" w:themeColor="text1"/>
            <w:u w:val="none"/>
          </w:rPr>
          <w:t>https://www.businessinsider.de/paypal-could-be-a-threat-to-major-banks-2016-6?r=US&amp;IR=T</w:t>
        </w:r>
      </w:hyperlink>
    </w:p>
    <w:p w:rsidR="00F24F97" w:rsidRDefault="00F24F97" w:rsidP="00F81C48">
      <w:pPr>
        <w:jc w:val="both"/>
        <w:rPr>
          <w:rFonts w:ascii="Calibri" w:hAnsi="Calibri"/>
          <w:color w:val="000000" w:themeColor="text1"/>
        </w:rPr>
      </w:pPr>
    </w:p>
    <w:p w:rsidR="00F24F97" w:rsidRPr="00874AC9" w:rsidRDefault="00F24F97" w:rsidP="00F24F97">
      <w:pPr>
        <w:jc w:val="both"/>
        <w:rPr>
          <w:rFonts w:ascii="Calibri" w:hAnsi="Calibri"/>
          <w:color w:val="000000" w:themeColor="text1"/>
        </w:rPr>
      </w:pPr>
      <w:r w:rsidRPr="00874AC9">
        <w:rPr>
          <w:rFonts w:ascii="Calibri" w:hAnsi="Calibri" w:cs="Calibri"/>
          <w:color w:val="000000" w:themeColor="text1"/>
        </w:rPr>
        <w:t xml:space="preserve">OeNB (2017) </w:t>
      </w:r>
      <w:r w:rsidRPr="00874AC9">
        <w:rPr>
          <w:rFonts w:ascii="Calibri" w:hAnsi="Calibri"/>
          <w:i/>
          <w:color w:val="000000" w:themeColor="text1"/>
        </w:rPr>
        <w:t>Profitability of Austrian banks’ domestic business from 1995 to 2016: driving forces, current challenges and future opportunities</w:t>
      </w:r>
      <w:r w:rsidRPr="00874AC9">
        <w:rPr>
          <w:rFonts w:ascii="Calibri" w:hAnsi="Calibri"/>
          <w:color w:val="000000" w:themeColor="text1"/>
        </w:rPr>
        <w:t>; besucht 19. Juni 2019, auf</w:t>
      </w:r>
    </w:p>
    <w:p w:rsidR="00F24F97" w:rsidRPr="00874AC9" w:rsidRDefault="00F24F97" w:rsidP="00F24F97">
      <w:pPr>
        <w:jc w:val="both"/>
        <w:rPr>
          <w:rFonts w:ascii="Calibri" w:hAnsi="Calibri"/>
          <w:color w:val="000000" w:themeColor="text1"/>
          <w:shd w:val="clear" w:color="auto" w:fill="FFFFFF"/>
        </w:rPr>
      </w:pPr>
      <w:r w:rsidRPr="00874AC9">
        <w:rPr>
          <w:rFonts w:ascii="Calibri" w:hAnsi="Calibri"/>
          <w:color w:val="000000" w:themeColor="text1"/>
        </w:rPr>
        <w:fldChar w:fldCharType="begin"/>
      </w:r>
      <w:r w:rsidRPr="00874AC9">
        <w:rPr>
          <w:rFonts w:ascii="Calibri" w:hAnsi="Calibri"/>
          <w:color w:val="000000" w:themeColor="text1"/>
        </w:rPr>
        <w:instrText xml:space="preserve"> HYPERLINK "https://www.oenb.at/dam/jcr:f587bd7c-13bf-4cc0-8097-b38bf4184e4a/fsr_34_screen_Profitability_of_Austrian_banks_domestic_business.pdf" </w:instrText>
      </w:r>
      <w:r w:rsidRPr="00874AC9">
        <w:rPr>
          <w:rFonts w:ascii="Calibri" w:hAnsi="Calibri"/>
          <w:color w:val="000000" w:themeColor="text1"/>
        </w:rPr>
        <w:fldChar w:fldCharType="separate"/>
      </w:r>
      <w:r w:rsidRPr="00874AC9">
        <w:rPr>
          <w:rStyle w:val="HTMLZitat"/>
          <w:rFonts w:ascii="Calibri" w:hAnsi="Calibri"/>
          <w:i w:val="0"/>
          <w:iCs w:val="0"/>
          <w:color w:val="000000" w:themeColor="text1"/>
          <w:shd w:val="clear" w:color="auto" w:fill="FFFFFF"/>
        </w:rPr>
        <w:t>https://www.oenb.at/.../fsr_34_screen_Profitability_of_Austrian_...</w:t>
      </w:r>
    </w:p>
    <w:p w:rsidR="00A46250" w:rsidRPr="00F24F97" w:rsidRDefault="00F24F97" w:rsidP="00F81C48">
      <w:pPr>
        <w:jc w:val="both"/>
        <w:rPr>
          <w:rFonts w:ascii="Calibri" w:hAnsi="Calibri"/>
          <w:color w:val="000000" w:themeColor="text1"/>
        </w:rPr>
      </w:pPr>
      <w:r w:rsidRPr="00874AC9">
        <w:rPr>
          <w:rFonts w:ascii="Calibri" w:hAnsi="Calibri"/>
          <w:color w:val="000000" w:themeColor="text1"/>
        </w:rPr>
        <w:fldChar w:fldCharType="end"/>
      </w:r>
    </w:p>
    <w:p w:rsidR="00F24F97" w:rsidRDefault="00F24F97" w:rsidP="00F24F97">
      <w:pPr>
        <w:jc w:val="both"/>
        <w:rPr>
          <w:rFonts w:ascii="Calibri" w:hAnsi="Calibri"/>
          <w:color w:val="000000" w:themeColor="text1"/>
        </w:rPr>
      </w:pPr>
      <w:r w:rsidRPr="00874AC9">
        <w:rPr>
          <w:rFonts w:ascii="Calibri" w:hAnsi="Calibri"/>
          <w:color w:val="000000" w:themeColor="text1"/>
        </w:rPr>
        <w:t xml:space="preserve">Peneconomics (2016) </w:t>
      </w:r>
      <w:r w:rsidRPr="00874AC9">
        <w:rPr>
          <w:rFonts w:ascii="Calibri" w:hAnsi="Calibri"/>
          <w:i/>
          <w:color w:val="000000" w:themeColor="text1"/>
        </w:rPr>
        <w:t>Peneconomics</w:t>
      </w:r>
      <w:r w:rsidRPr="00874AC9">
        <w:rPr>
          <w:rFonts w:ascii="Calibri" w:hAnsi="Calibri"/>
          <w:color w:val="000000" w:themeColor="text1"/>
        </w:rPr>
        <w:t xml:space="preserve">; besucht 19. Juni 2019, auf </w:t>
      </w:r>
      <w:hyperlink r:id="rId29" w:history="1">
        <w:r w:rsidRPr="00874AC9">
          <w:rPr>
            <w:rStyle w:val="Hyperlink"/>
            <w:rFonts w:ascii="Calibri" w:hAnsi="Calibri"/>
            <w:color w:val="000000" w:themeColor="text1"/>
            <w:u w:val="none"/>
          </w:rPr>
          <w:t>http://www.peneconomics.com/blog/2016/2/6/what-is-a-just-price</w:t>
        </w:r>
      </w:hyperlink>
    </w:p>
    <w:p w:rsidR="00F24F97" w:rsidRDefault="00F24F97" w:rsidP="00F24F97">
      <w:pPr>
        <w:jc w:val="both"/>
        <w:rPr>
          <w:rFonts w:ascii="Calibri" w:hAnsi="Calibri"/>
          <w:color w:val="000000" w:themeColor="text1"/>
        </w:rPr>
      </w:pPr>
    </w:p>
    <w:p w:rsidR="00F24F97" w:rsidRPr="00874AC9" w:rsidRDefault="00F24F97" w:rsidP="00F24F97">
      <w:pPr>
        <w:jc w:val="both"/>
        <w:rPr>
          <w:rFonts w:ascii="Calibri" w:hAnsi="Calibri"/>
          <w:color w:val="000000" w:themeColor="text1"/>
        </w:rPr>
      </w:pPr>
      <w:r w:rsidRPr="00874AC9">
        <w:rPr>
          <w:rFonts w:ascii="Calibri" w:hAnsi="Calibri"/>
          <w:color w:val="000000" w:themeColor="text1"/>
        </w:rPr>
        <w:t xml:space="preserve">PWC (2019) </w:t>
      </w:r>
      <w:r w:rsidRPr="00874AC9">
        <w:rPr>
          <w:rFonts w:ascii="Calibri" w:hAnsi="Calibri"/>
          <w:i/>
          <w:color w:val="000000" w:themeColor="text1"/>
        </w:rPr>
        <w:t>Drahtseilakt zwischen Sparzwang und Investitionsdruck für Europas Banken;</w:t>
      </w:r>
      <w:r w:rsidRPr="00874AC9">
        <w:rPr>
          <w:rFonts w:ascii="Calibri" w:hAnsi="Calibri"/>
          <w:color w:val="000000" w:themeColor="text1"/>
        </w:rPr>
        <w:t xml:space="preserve"> besucht 19. Juni 2019, auf</w:t>
      </w:r>
    </w:p>
    <w:p w:rsidR="00F24F97" w:rsidRPr="00874AC9" w:rsidRDefault="001B7E3E" w:rsidP="00F24F97">
      <w:pPr>
        <w:jc w:val="both"/>
        <w:rPr>
          <w:rFonts w:ascii="Calibri" w:hAnsi="Calibri"/>
          <w:color w:val="000000" w:themeColor="text1"/>
        </w:rPr>
      </w:pPr>
      <w:hyperlink r:id="rId30" w:history="1">
        <w:r w:rsidR="00F24F97" w:rsidRPr="00874AC9">
          <w:rPr>
            <w:rStyle w:val="Hyperlink"/>
            <w:rFonts w:ascii="Calibri" w:hAnsi="Calibri"/>
            <w:color w:val="000000" w:themeColor="text1"/>
            <w:u w:val="none"/>
          </w:rPr>
          <w:t>https://www.strategyand.pwc.com/de/pressemitteilungen/getting-the-balance-right-de</w:t>
        </w:r>
      </w:hyperlink>
    </w:p>
    <w:p w:rsidR="00F24F97" w:rsidRDefault="00F24F97" w:rsidP="00F81C48">
      <w:pPr>
        <w:jc w:val="both"/>
        <w:rPr>
          <w:rFonts w:ascii="Calibri" w:hAnsi="Calibri" w:cs="Calibri"/>
          <w:color w:val="000000" w:themeColor="text1"/>
        </w:rPr>
      </w:pPr>
    </w:p>
    <w:p w:rsidR="004075E8" w:rsidRPr="00874AC9" w:rsidRDefault="004075E8" w:rsidP="004075E8">
      <w:pPr>
        <w:jc w:val="both"/>
        <w:rPr>
          <w:rFonts w:ascii="Calibri" w:hAnsi="Calibri"/>
          <w:color w:val="000000" w:themeColor="text1"/>
        </w:rPr>
      </w:pPr>
      <w:r w:rsidRPr="00874AC9">
        <w:rPr>
          <w:rFonts w:ascii="Calibri" w:hAnsi="Calibri"/>
          <w:color w:val="000000" w:themeColor="text1"/>
        </w:rPr>
        <w:t xml:space="preserve">Romanova, I., &amp; Kudinska, M. (2016). Banking and Fintech: </w:t>
      </w:r>
      <w:r w:rsidRPr="000738A2">
        <w:rPr>
          <w:rFonts w:ascii="Calibri" w:hAnsi="Calibri"/>
          <w:i/>
          <w:color w:val="000000" w:themeColor="text1"/>
        </w:rPr>
        <w:t xml:space="preserve">A Challenge or Opportunity? In Contemporary Studies in Economic and Financial Analysis: Vol. 98. Contemporary Issues in Finance: Current Challenges from Across Europe </w:t>
      </w:r>
      <w:r w:rsidRPr="00874AC9">
        <w:rPr>
          <w:rFonts w:ascii="Calibri" w:hAnsi="Calibri"/>
          <w:color w:val="000000" w:themeColor="text1"/>
        </w:rPr>
        <w:t>(Vol. 98, pp. 21–35). Emerald Group Publishing Limited.</w:t>
      </w:r>
    </w:p>
    <w:p w:rsidR="004075E8" w:rsidRDefault="004075E8" w:rsidP="00F81C48">
      <w:pPr>
        <w:jc w:val="both"/>
        <w:rPr>
          <w:rFonts w:ascii="Calibri" w:hAnsi="Calibri" w:cs="Calibri"/>
          <w:color w:val="000000" w:themeColor="text1"/>
        </w:rPr>
      </w:pPr>
    </w:p>
    <w:p w:rsidR="00F24F97" w:rsidRDefault="00F24F97" w:rsidP="00F81C48">
      <w:pPr>
        <w:jc w:val="both"/>
        <w:rPr>
          <w:rFonts w:ascii="Calibri" w:hAnsi="Calibri"/>
          <w:color w:val="000000" w:themeColor="text1"/>
        </w:rPr>
      </w:pPr>
      <w:r w:rsidRPr="00874AC9">
        <w:rPr>
          <w:rFonts w:ascii="Calibri" w:hAnsi="Calibri"/>
          <w:color w:val="000000" w:themeColor="text1"/>
        </w:rPr>
        <w:t xml:space="preserve">Söllner F. (2012) </w:t>
      </w:r>
      <w:r w:rsidRPr="00874AC9">
        <w:rPr>
          <w:rFonts w:ascii="Calibri" w:hAnsi="Calibri"/>
          <w:i/>
          <w:color w:val="000000" w:themeColor="text1"/>
        </w:rPr>
        <w:t>Die Geschichte des ökonomischen Denkens</w:t>
      </w:r>
      <w:r w:rsidRPr="00874AC9">
        <w:rPr>
          <w:rFonts w:ascii="Calibri" w:hAnsi="Calibri"/>
          <w:color w:val="000000" w:themeColor="text1"/>
        </w:rPr>
        <w:t>; 4. Auflage</w:t>
      </w:r>
    </w:p>
    <w:p w:rsidR="00F24F97" w:rsidRDefault="00F24F97" w:rsidP="00F81C48">
      <w:pPr>
        <w:jc w:val="both"/>
        <w:rPr>
          <w:rFonts w:ascii="Calibri" w:hAnsi="Calibri" w:cs="Calibri"/>
          <w:color w:val="000000" w:themeColor="text1"/>
        </w:rPr>
      </w:pPr>
    </w:p>
    <w:p w:rsidR="00F24F97" w:rsidRPr="00874AC9" w:rsidRDefault="00F24F97" w:rsidP="00F24F97">
      <w:pPr>
        <w:jc w:val="both"/>
        <w:rPr>
          <w:rFonts w:ascii="Calibri" w:hAnsi="Calibri" w:cs="Calibri"/>
          <w:color w:val="000000" w:themeColor="text1"/>
        </w:rPr>
      </w:pPr>
      <w:r w:rsidRPr="00874AC9">
        <w:rPr>
          <w:rFonts w:ascii="Calibri" w:hAnsi="Calibri" w:cs="Calibri"/>
          <w:color w:val="000000" w:themeColor="text1"/>
        </w:rPr>
        <w:t xml:space="preserve">Wolf, M. (2018) </w:t>
      </w:r>
      <w:r w:rsidRPr="00874AC9">
        <w:rPr>
          <w:rFonts w:ascii="Calibri" w:hAnsi="Calibri" w:cs="Calibri"/>
          <w:i/>
          <w:color w:val="000000" w:themeColor="text1"/>
        </w:rPr>
        <w:t>Sparkassen verdienen mit Gebührenerhöhungen so viel wie nie;</w:t>
      </w:r>
      <w:r w:rsidRPr="00874AC9">
        <w:rPr>
          <w:rFonts w:ascii="Calibri" w:hAnsi="Calibri" w:cs="Calibri"/>
          <w:color w:val="000000" w:themeColor="text1"/>
        </w:rPr>
        <w:t xml:space="preserve"> erschienen in: Handelsblatt, besucht 19. Juni, auf</w:t>
      </w:r>
    </w:p>
    <w:p w:rsidR="00F24F97" w:rsidRPr="00874AC9" w:rsidRDefault="001B7E3E" w:rsidP="00F24F97">
      <w:pPr>
        <w:jc w:val="both"/>
        <w:rPr>
          <w:rFonts w:ascii="Calibri" w:hAnsi="Calibri"/>
          <w:color w:val="000000" w:themeColor="text1"/>
        </w:rPr>
      </w:pPr>
      <w:hyperlink r:id="rId31" w:history="1">
        <w:r w:rsidR="00F24F97" w:rsidRPr="00874AC9">
          <w:rPr>
            <w:rStyle w:val="Hyperlink"/>
            <w:rFonts w:ascii="Calibri" w:hAnsi="Calibri"/>
            <w:color w:val="000000" w:themeColor="text1"/>
            <w:u w:val="none"/>
          </w:rPr>
          <w:t>https://www.handelsblatt.com/finanzen/banken-versicherungen/studie-zu-retailbanken-sparkassen-verdienen-mit-gebuehrenerhoehungen-so-viel-wie-nie/21021350.html?ticket=ST-2555057-C4f7aDh7o4EzVTXkELGM-ap5</w:t>
        </w:r>
      </w:hyperlink>
    </w:p>
    <w:p w:rsidR="00F24F97" w:rsidRPr="00874AC9" w:rsidRDefault="00F24F97" w:rsidP="00F81C48">
      <w:pPr>
        <w:jc w:val="both"/>
        <w:rPr>
          <w:rFonts w:ascii="Calibri" w:hAnsi="Calibri" w:cs="Calibri"/>
          <w:color w:val="000000" w:themeColor="text1"/>
        </w:rPr>
      </w:pPr>
    </w:p>
    <w:p w:rsidR="002A2D2E" w:rsidRPr="00C83A9E" w:rsidRDefault="00A46250" w:rsidP="00F81C48">
      <w:pPr>
        <w:jc w:val="both"/>
        <w:rPr>
          <w:rFonts w:ascii="Calibri" w:hAnsi="Calibri" w:cs="Calibri"/>
          <w:color w:val="000000" w:themeColor="text1"/>
        </w:rPr>
      </w:pPr>
      <w:r w:rsidRPr="00874AC9">
        <w:rPr>
          <w:rFonts w:ascii="Calibri" w:hAnsi="Calibri" w:cs="Calibri"/>
          <w:color w:val="000000" w:themeColor="text1"/>
        </w:rPr>
        <w:t xml:space="preserve">Young, C. (2006). </w:t>
      </w:r>
      <w:r w:rsidRPr="00874AC9">
        <w:rPr>
          <w:rFonts w:ascii="Calibri" w:hAnsi="Calibri" w:cs="Calibri"/>
          <w:i/>
          <w:color w:val="000000" w:themeColor="text1"/>
        </w:rPr>
        <w:t>Aristotle’s Justice</w:t>
      </w:r>
      <w:r w:rsidRPr="00874AC9">
        <w:rPr>
          <w:rFonts w:ascii="Calibri" w:hAnsi="Calibri" w:cs="Calibri"/>
          <w:color w:val="000000" w:themeColor="text1"/>
        </w:rPr>
        <w:t>. In The Blackwell guide to Aristotle's Nicomachean ethics (</w:t>
      </w:r>
      <w:r w:rsidR="004D4FCF" w:rsidRPr="00874AC9">
        <w:rPr>
          <w:rFonts w:ascii="Calibri" w:hAnsi="Calibri" w:cs="Calibri"/>
          <w:color w:val="000000" w:themeColor="text1"/>
        </w:rPr>
        <w:t>S</w:t>
      </w:r>
      <w:r w:rsidRPr="00874AC9">
        <w:rPr>
          <w:rFonts w:ascii="Calibri" w:hAnsi="Calibri" w:cs="Calibri"/>
          <w:color w:val="000000" w:themeColor="text1"/>
        </w:rPr>
        <w:t xml:space="preserve">. 181-196). </w:t>
      </w:r>
    </w:p>
    <w:sectPr w:rsidR="002A2D2E" w:rsidRPr="00C83A9E" w:rsidSect="00164570">
      <w:footerReference w:type="even" r:id="rId32"/>
      <w:footerReference w:type="default" r:id="rId3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E3E" w:rsidRDefault="001B7E3E" w:rsidP="00BD64E1">
      <w:r>
        <w:separator/>
      </w:r>
    </w:p>
  </w:endnote>
  <w:endnote w:type="continuationSeparator" w:id="0">
    <w:p w:rsidR="001B7E3E" w:rsidRDefault="001B7E3E" w:rsidP="00BD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99674230"/>
      <w:docPartObj>
        <w:docPartGallery w:val="Page Numbers (Bottom of Page)"/>
        <w:docPartUnique/>
      </w:docPartObj>
    </w:sdtPr>
    <w:sdtEndPr>
      <w:rPr>
        <w:rStyle w:val="Seitenzahl"/>
      </w:rPr>
    </w:sdtEndPr>
    <w:sdtContent>
      <w:p w:rsidR="00F74C97" w:rsidRDefault="00F74C97" w:rsidP="005E218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74C97" w:rsidRDefault="00F74C97" w:rsidP="006304D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53895091"/>
      <w:docPartObj>
        <w:docPartGallery w:val="Page Numbers (Bottom of Page)"/>
        <w:docPartUnique/>
      </w:docPartObj>
    </w:sdtPr>
    <w:sdtEndPr>
      <w:rPr>
        <w:rStyle w:val="Seitenzahl"/>
      </w:rPr>
    </w:sdtEndPr>
    <w:sdtContent>
      <w:p w:rsidR="00F74C97" w:rsidRDefault="00F74C97" w:rsidP="005E218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21</w:t>
        </w:r>
        <w:r>
          <w:rPr>
            <w:rStyle w:val="Seitenzahl"/>
          </w:rPr>
          <w:fldChar w:fldCharType="end"/>
        </w:r>
      </w:p>
    </w:sdtContent>
  </w:sdt>
  <w:p w:rsidR="00F74C97" w:rsidRDefault="00F74C97" w:rsidP="006304D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E3E" w:rsidRDefault="001B7E3E" w:rsidP="00BD64E1">
      <w:r>
        <w:separator/>
      </w:r>
    </w:p>
  </w:footnote>
  <w:footnote w:type="continuationSeparator" w:id="0">
    <w:p w:rsidR="001B7E3E" w:rsidRDefault="001B7E3E" w:rsidP="00BD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8FB"/>
    <w:multiLevelType w:val="hybridMultilevel"/>
    <w:tmpl w:val="6A0A5DF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5385EF1"/>
    <w:multiLevelType w:val="hybridMultilevel"/>
    <w:tmpl w:val="67827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8957B0"/>
    <w:multiLevelType w:val="hybridMultilevel"/>
    <w:tmpl w:val="6F8817BE"/>
    <w:lvl w:ilvl="0" w:tplc="EA627164">
      <w:start w:val="2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325DBA"/>
    <w:multiLevelType w:val="hybridMultilevel"/>
    <w:tmpl w:val="6E182D6C"/>
    <w:lvl w:ilvl="0" w:tplc="A7ECB94E">
      <w:start w:val="1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23859"/>
    <w:multiLevelType w:val="hybridMultilevel"/>
    <w:tmpl w:val="500C2C7E"/>
    <w:lvl w:ilvl="0" w:tplc="A860D3C8">
      <w:start w:val="12"/>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7034DC"/>
    <w:multiLevelType w:val="hybridMultilevel"/>
    <w:tmpl w:val="E7C6594E"/>
    <w:lvl w:ilvl="0" w:tplc="11A684B8">
      <w:start w:val="1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615CD5"/>
    <w:multiLevelType w:val="hybridMultilevel"/>
    <w:tmpl w:val="941ED650"/>
    <w:lvl w:ilvl="0" w:tplc="6EFE7BC4">
      <w:start w:val="7"/>
      <w:numFmt w:val="bullet"/>
      <w:lvlText w:val="-"/>
      <w:lvlJc w:val="left"/>
      <w:pPr>
        <w:ind w:left="720" w:hanging="360"/>
      </w:pPr>
      <w:rPr>
        <w:rFonts w:ascii="Calibri" w:eastAsia="Times New Roman" w:hAnsi="Calibri" w:cs="Calibr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8444A1"/>
    <w:multiLevelType w:val="hybridMultilevel"/>
    <w:tmpl w:val="53D6964A"/>
    <w:lvl w:ilvl="0" w:tplc="1892E4D4">
      <w:start w:val="12"/>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031252"/>
    <w:multiLevelType w:val="hybridMultilevel"/>
    <w:tmpl w:val="93B631C8"/>
    <w:lvl w:ilvl="0" w:tplc="AD1EE2DC">
      <w:start w:val="8"/>
      <w:numFmt w:val="bullet"/>
      <w:lvlText w:val="-"/>
      <w:lvlJc w:val="left"/>
      <w:pPr>
        <w:ind w:left="1060" w:hanging="360"/>
      </w:pPr>
      <w:rPr>
        <w:rFonts w:ascii="Times New Roman" w:eastAsia="Times New Roman" w:hAnsi="Times New Roman" w:cs="Times New Roman"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9" w15:restartNumberingAfterBreak="0">
    <w:nsid w:val="6075251F"/>
    <w:multiLevelType w:val="hybridMultilevel"/>
    <w:tmpl w:val="E17CDE08"/>
    <w:lvl w:ilvl="0" w:tplc="99700882">
      <w:start w:val="1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5"/>
  </w:num>
  <w:num w:numId="6">
    <w:abstractNumId w:val="9"/>
  </w:num>
  <w:num w:numId="7">
    <w:abstractNumId w:val="1"/>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7A"/>
    <w:rsid w:val="00000285"/>
    <w:rsid w:val="00003B28"/>
    <w:rsid w:val="0001108E"/>
    <w:rsid w:val="00014166"/>
    <w:rsid w:val="00020781"/>
    <w:rsid w:val="00024631"/>
    <w:rsid w:val="00031469"/>
    <w:rsid w:val="00032691"/>
    <w:rsid w:val="0003277E"/>
    <w:rsid w:val="0003637A"/>
    <w:rsid w:val="0004030A"/>
    <w:rsid w:val="00060707"/>
    <w:rsid w:val="000615C9"/>
    <w:rsid w:val="000738A2"/>
    <w:rsid w:val="00076047"/>
    <w:rsid w:val="00077FC1"/>
    <w:rsid w:val="000813A1"/>
    <w:rsid w:val="0008564B"/>
    <w:rsid w:val="00086517"/>
    <w:rsid w:val="000A1E2A"/>
    <w:rsid w:val="000A34DA"/>
    <w:rsid w:val="000A7993"/>
    <w:rsid w:val="000A7EAF"/>
    <w:rsid w:val="000B45D4"/>
    <w:rsid w:val="000C740A"/>
    <w:rsid w:val="000D18F8"/>
    <w:rsid w:val="000E0B4E"/>
    <w:rsid w:val="000F1C74"/>
    <w:rsid w:val="000F5F3F"/>
    <w:rsid w:val="00101450"/>
    <w:rsid w:val="00101FCD"/>
    <w:rsid w:val="00104F76"/>
    <w:rsid w:val="001054ED"/>
    <w:rsid w:val="00110F48"/>
    <w:rsid w:val="00112CF6"/>
    <w:rsid w:val="00113904"/>
    <w:rsid w:val="001162D0"/>
    <w:rsid w:val="00122042"/>
    <w:rsid w:val="00125DF7"/>
    <w:rsid w:val="00130FCA"/>
    <w:rsid w:val="00131A82"/>
    <w:rsid w:val="001326BF"/>
    <w:rsid w:val="0013702D"/>
    <w:rsid w:val="00143EDB"/>
    <w:rsid w:val="001469E0"/>
    <w:rsid w:val="0015586F"/>
    <w:rsid w:val="00155989"/>
    <w:rsid w:val="00156CCD"/>
    <w:rsid w:val="00160E2A"/>
    <w:rsid w:val="00164570"/>
    <w:rsid w:val="00167F86"/>
    <w:rsid w:val="0017285D"/>
    <w:rsid w:val="0017618D"/>
    <w:rsid w:val="00176BAF"/>
    <w:rsid w:val="00180EFD"/>
    <w:rsid w:val="0018273A"/>
    <w:rsid w:val="00184096"/>
    <w:rsid w:val="00186FC4"/>
    <w:rsid w:val="00187424"/>
    <w:rsid w:val="001877C4"/>
    <w:rsid w:val="00192E87"/>
    <w:rsid w:val="0019618B"/>
    <w:rsid w:val="00196C10"/>
    <w:rsid w:val="0019767B"/>
    <w:rsid w:val="001A0D64"/>
    <w:rsid w:val="001A351D"/>
    <w:rsid w:val="001A4C41"/>
    <w:rsid w:val="001A4FCE"/>
    <w:rsid w:val="001A5086"/>
    <w:rsid w:val="001B0EA6"/>
    <w:rsid w:val="001B17EE"/>
    <w:rsid w:val="001B4FF0"/>
    <w:rsid w:val="001B7E3E"/>
    <w:rsid w:val="001C12CA"/>
    <w:rsid w:val="001C3553"/>
    <w:rsid w:val="001C4307"/>
    <w:rsid w:val="001C540B"/>
    <w:rsid w:val="001C707A"/>
    <w:rsid w:val="001C748B"/>
    <w:rsid w:val="001C7DE1"/>
    <w:rsid w:val="001D44C9"/>
    <w:rsid w:val="001E31CF"/>
    <w:rsid w:val="001F2A26"/>
    <w:rsid w:val="001F4B4D"/>
    <w:rsid w:val="001F5A8C"/>
    <w:rsid w:val="00201176"/>
    <w:rsid w:val="0020489C"/>
    <w:rsid w:val="00206A89"/>
    <w:rsid w:val="0021060B"/>
    <w:rsid w:val="002112B6"/>
    <w:rsid w:val="002144A8"/>
    <w:rsid w:val="00216174"/>
    <w:rsid w:val="00217CE1"/>
    <w:rsid w:val="00220703"/>
    <w:rsid w:val="0023059E"/>
    <w:rsid w:val="00232DBE"/>
    <w:rsid w:val="002344C2"/>
    <w:rsid w:val="00237D46"/>
    <w:rsid w:val="00242757"/>
    <w:rsid w:val="00245CEB"/>
    <w:rsid w:val="0026055C"/>
    <w:rsid w:val="00260971"/>
    <w:rsid w:val="0026706B"/>
    <w:rsid w:val="002726DE"/>
    <w:rsid w:val="00282DF5"/>
    <w:rsid w:val="00283058"/>
    <w:rsid w:val="00284F54"/>
    <w:rsid w:val="002911BF"/>
    <w:rsid w:val="00292AC2"/>
    <w:rsid w:val="00297EFE"/>
    <w:rsid w:val="002A034F"/>
    <w:rsid w:val="002A1ADC"/>
    <w:rsid w:val="002A2D2E"/>
    <w:rsid w:val="002A4953"/>
    <w:rsid w:val="002A727A"/>
    <w:rsid w:val="002B3E96"/>
    <w:rsid w:val="002B755F"/>
    <w:rsid w:val="002C1CB6"/>
    <w:rsid w:val="002D1F0B"/>
    <w:rsid w:val="002E0434"/>
    <w:rsid w:val="002E4450"/>
    <w:rsid w:val="002F2510"/>
    <w:rsid w:val="002F7E19"/>
    <w:rsid w:val="00302860"/>
    <w:rsid w:val="00303AC3"/>
    <w:rsid w:val="00305E47"/>
    <w:rsid w:val="003068CB"/>
    <w:rsid w:val="00307934"/>
    <w:rsid w:val="00314A05"/>
    <w:rsid w:val="003214FB"/>
    <w:rsid w:val="00322377"/>
    <w:rsid w:val="0032651D"/>
    <w:rsid w:val="00330C3D"/>
    <w:rsid w:val="00332FA2"/>
    <w:rsid w:val="003351F6"/>
    <w:rsid w:val="003474AB"/>
    <w:rsid w:val="00350321"/>
    <w:rsid w:val="0035038C"/>
    <w:rsid w:val="00351DAF"/>
    <w:rsid w:val="003616D1"/>
    <w:rsid w:val="003636CF"/>
    <w:rsid w:val="00374042"/>
    <w:rsid w:val="0037450D"/>
    <w:rsid w:val="00376F66"/>
    <w:rsid w:val="00381952"/>
    <w:rsid w:val="00385CFF"/>
    <w:rsid w:val="003919BD"/>
    <w:rsid w:val="00391CE5"/>
    <w:rsid w:val="0039560F"/>
    <w:rsid w:val="0039573C"/>
    <w:rsid w:val="003A5670"/>
    <w:rsid w:val="003A7666"/>
    <w:rsid w:val="003B1A78"/>
    <w:rsid w:val="003C6187"/>
    <w:rsid w:val="003D0500"/>
    <w:rsid w:val="003D258C"/>
    <w:rsid w:val="003D6E9F"/>
    <w:rsid w:val="003E04B7"/>
    <w:rsid w:val="003E37B6"/>
    <w:rsid w:val="003E4A04"/>
    <w:rsid w:val="003E61D3"/>
    <w:rsid w:val="003F24E5"/>
    <w:rsid w:val="003F26C9"/>
    <w:rsid w:val="00403906"/>
    <w:rsid w:val="0040475B"/>
    <w:rsid w:val="00407584"/>
    <w:rsid w:val="004075E8"/>
    <w:rsid w:val="00407E7D"/>
    <w:rsid w:val="00413A4C"/>
    <w:rsid w:val="004158B0"/>
    <w:rsid w:val="00415AAE"/>
    <w:rsid w:val="0042011B"/>
    <w:rsid w:val="00424D11"/>
    <w:rsid w:val="0043332A"/>
    <w:rsid w:val="00444BCE"/>
    <w:rsid w:val="00446C84"/>
    <w:rsid w:val="0046022B"/>
    <w:rsid w:val="00461B19"/>
    <w:rsid w:val="00467FB2"/>
    <w:rsid w:val="00473E6F"/>
    <w:rsid w:val="00476A9D"/>
    <w:rsid w:val="00481F86"/>
    <w:rsid w:val="004829ED"/>
    <w:rsid w:val="00487790"/>
    <w:rsid w:val="00496219"/>
    <w:rsid w:val="004963F2"/>
    <w:rsid w:val="0049776A"/>
    <w:rsid w:val="004A4C8E"/>
    <w:rsid w:val="004A5914"/>
    <w:rsid w:val="004B28DE"/>
    <w:rsid w:val="004B2CCB"/>
    <w:rsid w:val="004B2D7C"/>
    <w:rsid w:val="004B5E12"/>
    <w:rsid w:val="004C6F0E"/>
    <w:rsid w:val="004D1DB6"/>
    <w:rsid w:val="004D4A4F"/>
    <w:rsid w:val="004D4FCF"/>
    <w:rsid w:val="004D5EEB"/>
    <w:rsid w:val="004E4E13"/>
    <w:rsid w:val="004F237F"/>
    <w:rsid w:val="004F5D4C"/>
    <w:rsid w:val="00504B59"/>
    <w:rsid w:val="00506023"/>
    <w:rsid w:val="00506067"/>
    <w:rsid w:val="005077A9"/>
    <w:rsid w:val="00513546"/>
    <w:rsid w:val="00515089"/>
    <w:rsid w:val="00515932"/>
    <w:rsid w:val="00523F41"/>
    <w:rsid w:val="00526AE5"/>
    <w:rsid w:val="00527404"/>
    <w:rsid w:val="005352A5"/>
    <w:rsid w:val="00536842"/>
    <w:rsid w:val="00540F5C"/>
    <w:rsid w:val="00541016"/>
    <w:rsid w:val="00544A4E"/>
    <w:rsid w:val="0054747E"/>
    <w:rsid w:val="00555CA3"/>
    <w:rsid w:val="00556A36"/>
    <w:rsid w:val="00567B1D"/>
    <w:rsid w:val="00570B6F"/>
    <w:rsid w:val="00582935"/>
    <w:rsid w:val="00582C6C"/>
    <w:rsid w:val="00591F47"/>
    <w:rsid w:val="00594B38"/>
    <w:rsid w:val="005B185C"/>
    <w:rsid w:val="005B389E"/>
    <w:rsid w:val="005B59C7"/>
    <w:rsid w:val="005B7A81"/>
    <w:rsid w:val="005C1FDC"/>
    <w:rsid w:val="005C3452"/>
    <w:rsid w:val="005C3FDE"/>
    <w:rsid w:val="005C63FC"/>
    <w:rsid w:val="005D49D5"/>
    <w:rsid w:val="005D5A51"/>
    <w:rsid w:val="005D6108"/>
    <w:rsid w:val="005E0AA0"/>
    <w:rsid w:val="005E1610"/>
    <w:rsid w:val="005E2182"/>
    <w:rsid w:val="005E46DC"/>
    <w:rsid w:val="005F5E21"/>
    <w:rsid w:val="00604636"/>
    <w:rsid w:val="00605CA6"/>
    <w:rsid w:val="00606AD9"/>
    <w:rsid w:val="006126DF"/>
    <w:rsid w:val="006164E4"/>
    <w:rsid w:val="006200DD"/>
    <w:rsid w:val="006304DA"/>
    <w:rsid w:val="006320B1"/>
    <w:rsid w:val="006401B1"/>
    <w:rsid w:val="00652650"/>
    <w:rsid w:val="006562F8"/>
    <w:rsid w:val="006815FB"/>
    <w:rsid w:val="006858A7"/>
    <w:rsid w:val="00693233"/>
    <w:rsid w:val="006969D9"/>
    <w:rsid w:val="00696E63"/>
    <w:rsid w:val="006A2C63"/>
    <w:rsid w:val="006B11F4"/>
    <w:rsid w:val="006B15F0"/>
    <w:rsid w:val="006C4E0E"/>
    <w:rsid w:val="006C7BC1"/>
    <w:rsid w:val="006D24F6"/>
    <w:rsid w:val="006D516F"/>
    <w:rsid w:val="006D609F"/>
    <w:rsid w:val="006D6B9C"/>
    <w:rsid w:val="006E1DC6"/>
    <w:rsid w:val="006E1E8D"/>
    <w:rsid w:val="006E58A1"/>
    <w:rsid w:val="006F5BBE"/>
    <w:rsid w:val="006F7089"/>
    <w:rsid w:val="00701177"/>
    <w:rsid w:val="0070125B"/>
    <w:rsid w:val="007013B7"/>
    <w:rsid w:val="0071017E"/>
    <w:rsid w:val="00710735"/>
    <w:rsid w:val="007171E9"/>
    <w:rsid w:val="007208CB"/>
    <w:rsid w:val="00721258"/>
    <w:rsid w:val="00725A29"/>
    <w:rsid w:val="007341D0"/>
    <w:rsid w:val="00734CC6"/>
    <w:rsid w:val="007427AD"/>
    <w:rsid w:val="00745003"/>
    <w:rsid w:val="00747160"/>
    <w:rsid w:val="00751FEB"/>
    <w:rsid w:val="007557FE"/>
    <w:rsid w:val="007558A6"/>
    <w:rsid w:val="007643E7"/>
    <w:rsid w:val="00766517"/>
    <w:rsid w:val="00766C58"/>
    <w:rsid w:val="007673A3"/>
    <w:rsid w:val="00770AC5"/>
    <w:rsid w:val="00771824"/>
    <w:rsid w:val="00771E6D"/>
    <w:rsid w:val="00773162"/>
    <w:rsid w:val="00773BD9"/>
    <w:rsid w:val="00782B40"/>
    <w:rsid w:val="00783A20"/>
    <w:rsid w:val="0078501C"/>
    <w:rsid w:val="007855CC"/>
    <w:rsid w:val="00787EA9"/>
    <w:rsid w:val="00794AF4"/>
    <w:rsid w:val="0079536E"/>
    <w:rsid w:val="00797B19"/>
    <w:rsid w:val="007A0EE6"/>
    <w:rsid w:val="007B0979"/>
    <w:rsid w:val="007C556E"/>
    <w:rsid w:val="007D5A5B"/>
    <w:rsid w:val="007E2136"/>
    <w:rsid w:val="007E2618"/>
    <w:rsid w:val="007E2F3D"/>
    <w:rsid w:val="007E3034"/>
    <w:rsid w:val="007E3B64"/>
    <w:rsid w:val="007E4A36"/>
    <w:rsid w:val="007E65B2"/>
    <w:rsid w:val="007F0931"/>
    <w:rsid w:val="007F215C"/>
    <w:rsid w:val="007F38D3"/>
    <w:rsid w:val="007F489E"/>
    <w:rsid w:val="007F4C87"/>
    <w:rsid w:val="007F5C5F"/>
    <w:rsid w:val="007F6771"/>
    <w:rsid w:val="008038ED"/>
    <w:rsid w:val="00804982"/>
    <w:rsid w:val="00820919"/>
    <w:rsid w:val="00827511"/>
    <w:rsid w:val="00832871"/>
    <w:rsid w:val="008439C6"/>
    <w:rsid w:val="00846C3D"/>
    <w:rsid w:val="0085084B"/>
    <w:rsid w:val="00851802"/>
    <w:rsid w:val="00853C1C"/>
    <w:rsid w:val="00856EDB"/>
    <w:rsid w:val="00867B7A"/>
    <w:rsid w:val="0087062F"/>
    <w:rsid w:val="00872662"/>
    <w:rsid w:val="00874AC9"/>
    <w:rsid w:val="0087592E"/>
    <w:rsid w:val="00877DE8"/>
    <w:rsid w:val="00882773"/>
    <w:rsid w:val="00893D57"/>
    <w:rsid w:val="008956B4"/>
    <w:rsid w:val="00895D4E"/>
    <w:rsid w:val="0089654D"/>
    <w:rsid w:val="00896759"/>
    <w:rsid w:val="008A2806"/>
    <w:rsid w:val="008A6F46"/>
    <w:rsid w:val="008B08B8"/>
    <w:rsid w:val="008B0EF4"/>
    <w:rsid w:val="008B295C"/>
    <w:rsid w:val="008B319B"/>
    <w:rsid w:val="008B414A"/>
    <w:rsid w:val="008C02EA"/>
    <w:rsid w:val="008C1831"/>
    <w:rsid w:val="008C3490"/>
    <w:rsid w:val="008C5C7B"/>
    <w:rsid w:val="008D1D46"/>
    <w:rsid w:val="008D592B"/>
    <w:rsid w:val="008E1472"/>
    <w:rsid w:val="008F4450"/>
    <w:rsid w:val="008F4E8B"/>
    <w:rsid w:val="008F646B"/>
    <w:rsid w:val="00902CE8"/>
    <w:rsid w:val="0091150A"/>
    <w:rsid w:val="0091512A"/>
    <w:rsid w:val="009169A0"/>
    <w:rsid w:val="009175EB"/>
    <w:rsid w:val="00924CD3"/>
    <w:rsid w:val="00925B8C"/>
    <w:rsid w:val="009260AF"/>
    <w:rsid w:val="00930CCB"/>
    <w:rsid w:val="00940A22"/>
    <w:rsid w:val="009425F7"/>
    <w:rsid w:val="0094334C"/>
    <w:rsid w:val="0094472F"/>
    <w:rsid w:val="009543CF"/>
    <w:rsid w:val="009578F7"/>
    <w:rsid w:val="0096099C"/>
    <w:rsid w:val="009616BB"/>
    <w:rsid w:val="0096324B"/>
    <w:rsid w:val="00965C9D"/>
    <w:rsid w:val="00967A66"/>
    <w:rsid w:val="00974DDC"/>
    <w:rsid w:val="00976458"/>
    <w:rsid w:val="00980A69"/>
    <w:rsid w:val="00981B93"/>
    <w:rsid w:val="00993FE4"/>
    <w:rsid w:val="00994FB2"/>
    <w:rsid w:val="009A2DED"/>
    <w:rsid w:val="009A3172"/>
    <w:rsid w:val="009A3AD7"/>
    <w:rsid w:val="009A59CE"/>
    <w:rsid w:val="009B0CE6"/>
    <w:rsid w:val="009B0DB6"/>
    <w:rsid w:val="009B6613"/>
    <w:rsid w:val="009C4D35"/>
    <w:rsid w:val="009D0560"/>
    <w:rsid w:val="009D05E0"/>
    <w:rsid w:val="009E6A7B"/>
    <w:rsid w:val="009E7781"/>
    <w:rsid w:val="009F1FB6"/>
    <w:rsid w:val="009F4743"/>
    <w:rsid w:val="00A00694"/>
    <w:rsid w:val="00A00925"/>
    <w:rsid w:val="00A05566"/>
    <w:rsid w:val="00A14045"/>
    <w:rsid w:val="00A20350"/>
    <w:rsid w:val="00A22AB7"/>
    <w:rsid w:val="00A22B2D"/>
    <w:rsid w:val="00A26961"/>
    <w:rsid w:val="00A27936"/>
    <w:rsid w:val="00A46250"/>
    <w:rsid w:val="00A517B1"/>
    <w:rsid w:val="00A561B5"/>
    <w:rsid w:val="00A5663B"/>
    <w:rsid w:val="00A726F6"/>
    <w:rsid w:val="00A72796"/>
    <w:rsid w:val="00A76ED4"/>
    <w:rsid w:val="00A77A63"/>
    <w:rsid w:val="00A81CAE"/>
    <w:rsid w:val="00A86784"/>
    <w:rsid w:val="00A91B1A"/>
    <w:rsid w:val="00A91D92"/>
    <w:rsid w:val="00A97F59"/>
    <w:rsid w:val="00AB6BE1"/>
    <w:rsid w:val="00AC2C6F"/>
    <w:rsid w:val="00AD5A96"/>
    <w:rsid w:val="00AF4BB0"/>
    <w:rsid w:val="00B056F5"/>
    <w:rsid w:val="00B06326"/>
    <w:rsid w:val="00B06606"/>
    <w:rsid w:val="00B152EC"/>
    <w:rsid w:val="00B1789B"/>
    <w:rsid w:val="00B22E30"/>
    <w:rsid w:val="00B2454E"/>
    <w:rsid w:val="00B255FA"/>
    <w:rsid w:val="00B266BD"/>
    <w:rsid w:val="00B26BEE"/>
    <w:rsid w:val="00B317C8"/>
    <w:rsid w:val="00B324CE"/>
    <w:rsid w:val="00B338D2"/>
    <w:rsid w:val="00B33FB5"/>
    <w:rsid w:val="00B3697B"/>
    <w:rsid w:val="00B3762D"/>
    <w:rsid w:val="00B41916"/>
    <w:rsid w:val="00B41E5E"/>
    <w:rsid w:val="00B45F4F"/>
    <w:rsid w:val="00B52C9E"/>
    <w:rsid w:val="00B67ADF"/>
    <w:rsid w:val="00B70730"/>
    <w:rsid w:val="00B71656"/>
    <w:rsid w:val="00B75476"/>
    <w:rsid w:val="00B77062"/>
    <w:rsid w:val="00B80EAD"/>
    <w:rsid w:val="00B81425"/>
    <w:rsid w:val="00B81A15"/>
    <w:rsid w:val="00B820C9"/>
    <w:rsid w:val="00B854EA"/>
    <w:rsid w:val="00B94151"/>
    <w:rsid w:val="00B94584"/>
    <w:rsid w:val="00B964C6"/>
    <w:rsid w:val="00BA04BC"/>
    <w:rsid w:val="00BA129B"/>
    <w:rsid w:val="00BA36DB"/>
    <w:rsid w:val="00BB1760"/>
    <w:rsid w:val="00BB2BF8"/>
    <w:rsid w:val="00BB48B8"/>
    <w:rsid w:val="00BB6B08"/>
    <w:rsid w:val="00BC402B"/>
    <w:rsid w:val="00BD2465"/>
    <w:rsid w:val="00BD3B26"/>
    <w:rsid w:val="00BD64E1"/>
    <w:rsid w:val="00BE38D0"/>
    <w:rsid w:val="00BE3D38"/>
    <w:rsid w:val="00BE6456"/>
    <w:rsid w:val="00BF3A0B"/>
    <w:rsid w:val="00BF6CE1"/>
    <w:rsid w:val="00BF74A1"/>
    <w:rsid w:val="00BF7C50"/>
    <w:rsid w:val="00C13728"/>
    <w:rsid w:val="00C15B34"/>
    <w:rsid w:val="00C15F26"/>
    <w:rsid w:val="00C16A95"/>
    <w:rsid w:val="00C176B5"/>
    <w:rsid w:val="00C23E1E"/>
    <w:rsid w:val="00C246C0"/>
    <w:rsid w:val="00C25567"/>
    <w:rsid w:val="00C30CAA"/>
    <w:rsid w:val="00C32828"/>
    <w:rsid w:val="00C3483F"/>
    <w:rsid w:val="00C54861"/>
    <w:rsid w:val="00C6108C"/>
    <w:rsid w:val="00C631C1"/>
    <w:rsid w:val="00C71A32"/>
    <w:rsid w:val="00C81D86"/>
    <w:rsid w:val="00C829E2"/>
    <w:rsid w:val="00C83A9E"/>
    <w:rsid w:val="00C8422F"/>
    <w:rsid w:val="00CA25E8"/>
    <w:rsid w:val="00CA33F8"/>
    <w:rsid w:val="00CA6D0B"/>
    <w:rsid w:val="00CA7CA5"/>
    <w:rsid w:val="00CC0F83"/>
    <w:rsid w:val="00CD62A2"/>
    <w:rsid w:val="00CD7F52"/>
    <w:rsid w:val="00CE003F"/>
    <w:rsid w:val="00CE6F2A"/>
    <w:rsid w:val="00CF43A9"/>
    <w:rsid w:val="00CF4508"/>
    <w:rsid w:val="00CF45CC"/>
    <w:rsid w:val="00CF7651"/>
    <w:rsid w:val="00D04191"/>
    <w:rsid w:val="00D108AF"/>
    <w:rsid w:val="00D203E0"/>
    <w:rsid w:val="00D20ECC"/>
    <w:rsid w:val="00D31CA5"/>
    <w:rsid w:val="00D40471"/>
    <w:rsid w:val="00D421EA"/>
    <w:rsid w:val="00D42DA5"/>
    <w:rsid w:val="00D466F5"/>
    <w:rsid w:val="00D47C13"/>
    <w:rsid w:val="00D63F65"/>
    <w:rsid w:val="00D65F21"/>
    <w:rsid w:val="00D66564"/>
    <w:rsid w:val="00D71906"/>
    <w:rsid w:val="00D751F1"/>
    <w:rsid w:val="00D75FB8"/>
    <w:rsid w:val="00D859EA"/>
    <w:rsid w:val="00D9747E"/>
    <w:rsid w:val="00DA08F1"/>
    <w:rsid w:val="00DA18C9"/>
    <w:rsid w:val="00DA28BC"/>
    <w:rsid w:val="00DA671C"/>
    <w:rsid w:val="00DA67E7"/>
    <w:rsid w:val="00DB4A39"/>
    <w:rsid w:val="00DC32A9"/>
    <w:rsid w:val="00DD7BB6"/>
    <w:rsid w:val="00DE0BF1"/>
    <w:rsid w:val="00DE1551"/>
    <w:rsid w:val="00DE6621"/>
    <w:rsid w:val="00DF2753"/>
    <w:rsid w:val="00DF39B7"/>
    <w:rsid w:val="00DF4E2D"/>
    <w:rsid w:val="00E04618"/>
    <w:rsid w:val="00E04B91"/>
    <w:rsid w:val="00E05368"/>
    <w:rsid w:val="00E2219F"/>
    <w:rsid w:val="00E370B1"/>
    <w:rsid w:val="00E46554"/>
    <w:rsid w:val="00E52E6F"/>
    <w:rsid w:val="00E57877"/>
    <w:rsid w:val="00E66C16"/>
    <w:rsid w:val="00E73C91"/>
    <w:rsid w:val="00E7642A"/>
    <w:rsid w:val="00E85D6E"/>
    <w:rsid w:val="00E90E66"/>
    <w:rsid w:val="00E96AE5"/>
    <w:rsid w:val="00EA1655"/>
    <w:rsid w:val="00EA3765"/>
    <w:rsid w:val="00EA6DEA"/>
    <w:rsid w:val="00EB3060"/>
    <w:rsid w:val="00EB317D"/>
    <w:rsid w:val="00EB4016"/>
    <w:rsid w:val="00EC35DE"/>
    <w:rsid w:val="00EC5875"/>
    <w:rsid w:val="00ED2E7F"/>
    <w:rsid w:val="00ED507C"/>
    <w:rsid w:val="00ED512C"/>
    <w:rsid w:val="00ED7D76"/>
    <w:rsid w:val="00EE129D"/>
    <w:rsid w:val="00EE165C"/>
    <w:rsid w:val="00EE2B25"/>
    <w:rsid w:val="00EE3C90"/>
    <w:rsid w:val="00EE6293"/>
    <w:rsid w:val="00EF580A"/>
    <w:rsid w:val="00EF6EC8"/>
    <w:rsid w:val="00F109FE"/>
    <w:rsid w:val="00F128BE"/>
    <w:rsid w:val="00F15452"/>
    <w:rsid w:val="00F16444"/>
    <w:rsid w:val="00F168C8"/>
    <w:rsid w:val="00F207A0"/>
    <w:rsid w:val="00F21FE6"/>
    <w:rsid w:val="00F24AA6"/>
    <w:rsid w:val="00F24CB6"/>
    <w:rsid w:val="00F24F97"/>
    <w:rsid w:val="00F26409"/>
    <w:rsid w:val="00F321B6"/>
    <w:rsid w:val="00F34F60"/>
    <w:rsid w:val="00F37D23"/>
    <w:rsid w:val="00F37D54"/>
    <w:rsid w:val="00F4405E"/>
    <w:rsid w:val="00F54A70"/>
    <w:rsid w:val="00F613B5"/>
    <w:rsid w:val="00F61443"/>
    <w:rsid w:val="00F6797E"/>
    <w:rsid w:val="00F721F0"/>
    <w:rsid w:val="00F73865"/>
    <w:rsid w:val="00F74C97"/>
    <w:rsid w:val="00F77756"/>
    <w:rsid w:val="00F80CA4"/>
    <w:rsid w:val="00F812FE"/>
    <w:rsid w:val="00F81C48"/>
    <w:rsid w:val="00F87FCB"/>
    <w:rsid w:val="00F92108"/>
    <w:rsid w:val="00F923D1"/>
    <w:rsid w:val="00F92993"/>
    <w:rsid w:val="00F95C56"/>
    <w:rsid w:val="00F965BE"/>
    <w:rsid w:val="00F97FB6"/>
    <w:rsid w:val="00FA1866"/>
    <w:rsid w:val="00FA4E6E"/>
    <w:rsid w:val="00FA4F1C"/>
    <w:rsid w:val="00FA5C4D"/>
    <w:rsid w:val="00FA7FCA"/>
    <w:rsid w:val="00FB1919"/>
    <w:rsid w:val="00FB3B12"/>
    <w:rsid w:val="00FB5455"/>
    <w:rsid w:val="00FC186E"/>
    <w:rsid w:val="00FC32E0"/>
    <w:rsid w:val="00FC4F13"/>
    <w:rsid w:val="00FC5362"/>
    <w:rsid w:val="00FC6466"/>
    <w:rsid w:val="00FE0042"/>
    <w:rsid w:val="00FE1C17"/>
    <w:rsid w:val="00FE600D"/>
    <w:rsid w:val="00FE791B"/>
    <w:rsid w:val="00FF3D6A"/>
    <w:rsid w:val="00FF3F1A"/>
    <w:rsid w:val="00FF72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54F0"/>
  <w15:chartTrackingRefBased/>
  <w15:docId w15:val="{0CE25671-4284-7546-8DF7-4A1D5DD0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2D2E"/>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766C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66C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87EA9"/>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707A"/>
    <w:pPr>
      <w:ind w:left="720"/>
      <w:contextualSpacing/>
    </w:pPr>
  </w:style>
  <w:style w:type="paragraph" w:styleId="Kopfzeile">
    <w:name w:val="header"/>
    <w:basedOn w:val="Standard"/>
    <w:link w:val="KopfzeileZchn"/>
    <w:uiPriority w:val="99"/>
    <w:unhideWhenUsed/>
    <w:rsid w:val="00BD64E1"/>
    <w:pPr>
      <w:tabs>
        <w:tab w:val="center" w:pos="4536"/>
        <w:tab w:val="right" w:pos="9072"/>
      </w:tabs>
    </w:pPr>
  </w:style>
  <w:style w:type="character" w:customStyle="1" w:styleId="KopfzeileZchn">
    <w:name w:val="Kopfzeile Zchn"/>
    <w:basedOn w:val="Absatz-Standardschriftart"/>
    <w:link w:val="Kopfzeile"/>
    <w:uiPriority w:val="99"/>
    <w:rsid w:val="00BD64E1"/>
  </w:style>
  <w:style w:type="paragraph" w:styleId="Fuzeile">
    <w:name w:val="footer"/>
    <w:basedOn w:val="Standard"/>
    <w:link w:val="FuzeileZchn"/>
    <w:uiPriority w:val="99"/>
    <w:unhideWhenUsed/>
    <w:rsid w:val="00BD64E1"/>
    <w:pPr>
      <w:tabs>
        <w:tab w:val="center" w:pos="4536"/>
        <w:tab w:val="right" w:pos="9072"/>
      </w:tabs>
    </w:pPr>
  </w:style>
  <w:style w:type="character" w:customStyle="1" w:styleId="FuzeileZchn">
    <w:name w:val="Fußzeile Zchn"/>
    <w:basedOn w:val="Absatz-Standardschriftart"/>
    <w:link w:val="Fuzeile"/>
    <w:uiPriority w:val="99"/>
    <w:rsid w:val="00BD64E1"/>
  </w:style>
  <w:style w:type="paragraph" w:styleId="Sprechblasentext">
    <w:name w:val="Balloon Text"/>
    <w:basedOn w:val="Standard"/>
    <w:link w:val="SprechblasentextZchn"/>
    <w:uiPriority w:val="99"/>
    <w:semiHidden/>
    <w:unhideWhenUsed/>
    <w:rsid w:val="00403906"/>
    <w:rPr>
      <w:sz w:val="18"/>
      <w:szCs w:val="18"/>
    </w:rPr>
  </w:style>
  <w:style w:type="character" w:customStyle="1" w:styleId="SprechblasentextZchn">
    <w:name w:val="Sprechblasentext Zchn"/>
    <w:basedOn w:val="Absatz-Standardschriftart"/>
    <w:link w:val="Sprechblasentext"/>
    <w:uiPriority w:val="99"/>
    <w:semiHidden/>
    <w:rsid w:val="00403906"/>
    <w:rPr>
      <w:rFonts w:ascii="Times New Roman" w:hAnsi="Times New Roman" w:cs="Times New Roman"/>
      <w:sz w:val="18"/>
      <w:szCs w:val="18"/>
    </w:rPr>
  </w:style>
  <w:style w:type="character" w:styleId="Seitenzahl">
    <w:name w:val="page number"/>
    <w:basedOn w:val="Absatz-Standardschriftart"/>
    <w:uiPriority w:val="99"/>
    <w:semiHidden/>
    <w:unhideWhenUsed/>
    <w:rsid w:val="006304DA"/>
  </w:style>
  <w:style w:type="character" w:styleId="Hyperlink">
    <w:name w:val="Hyperlink"/>
    <w:basedOn w:val="Absatz-Standardschriftart"/>
    <w:uiPriority w:val="99"/>
    <w:unhideWhenUsed/>
    <w:rsid w:val="00155989"/>
    <w:rPr>
      <w:color w:val="0000FF"/>
      <w:u w:val="single"/>
    </w:rPr>
  </w:style>
  <w:style w:type="character" w:customStyle="1" w:styleId="berschrift1Zchn">
    <w:name w:val="Überschrift 1 Zchn"/>
    <w:basedOn w:val="Absatz-Standardschriftart"/>
    <w:link w:val="berschrift1"/>
    <w:uiPriority w:val="9"/>
    <w:rsid w:val="00766C58"/>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766C58"/>
    <w:pPr>
      <w:spacing w:before="480" w:line="276" w:lineRule="auto"/>
      <w:outlineLvl w:val="9"/>
    </w:pPr>
    <w:rPr>
      <w:b/>
      <w:bCs/>
      <w:sz w:val="28"/>
      <w:szCs w:val="28"/>
    </w:rPr>
  </w:style>
  <w:style w:type="paragraph" w:styleId="Verzeichnis1">
    <w:name w:val="toc 1"/>
    <w:basedOn w:val="Standard"/>
    <w:next w:val="Standard"/>
    <w:autoRedefine/>
    <w:uiPriority w:val="39"/>
    <w:unhideWhenUsed/>
    <w:rsid w:val="00766C58"/>
    <w:pPr>
      <w:spacing w:before="240" w:after="120"/>
    </w:pPr>
    <w:rPr>
      <w:b/>
      <w:bCs/>
      <w:sz w:val="20"/>
      <w:szCs w:val="20"/>
    </w:rPr>
  </w:style>
  <w:style w:type="paragraph" w:styleId="Verzeichnis2">
    <w:name w:val="toc 2"/>
    <w:basedOn w:val="Standard"/>
    <w:next w:val="Standard"/>
    <w:autoRedefine/>
    <w:uiPriority w:val="39"/>
    <w:unhideWhenUsed/>
    <w:rsid w:val="007F489E"/>
    <w:pPr>
      <w:tabs>
        <w:tab w:val="right" w:leader="dot" w:pos="9056"/>
      </w:tabs>
      <w:spacing w:before="120"/>
      <w:ind w:left="240"/>
    </w:pPr>
    <w:rPr>
      <w:i/>
      <w:iCs/>
      <w:noProof/>
      <w:sz w:val="22"/>
      <w:szCs w:val="20"/>
    </w:rPr>
  </w:style>
  <w:style w:type="paragraph" w:styleId="Verzeichnis3">
    <w:name w:val="toc 3"/>
    <w:basedOn w:val="Standard"/>
    <w:next w:val="Standard"/>
    <w:autoRedefine/>
    <w:uiPriority w:val="39"/>
    <w:semiHidden/>
    <w:unhideWhenUsed/>
    <w:rsid w:val="00766C58"/>
    <w:pPr>
      <w:ind w:left="480"/>
    </w:pPr>
    <w:rPr>
      <w:sz w:val="20"/>
      <w:szCs w:val="20"/>
    </w:rPr>
  </w:style>
  <w:style w:type="paragraph" w:styleId="Verzeichnis4">
    <w:name w:val="toc 4"/>
    <w:basedOn w:val="Standard"/>
    <w:next w:val="Standard"/>
    <w:autoRedefine/>
    <w:uiPriority w:val="39"/>
    <w:semiHidden/>
    <w:unhideWhenUsed/>
    <w:rsid w:val="00766C58"/>
    <w:pPr>
      <w:ind w:left="720"/>
    </w:pPr>
    <w:rPr>
      <w:sz w:val="20"/>
      <w:szCs w:val="20"/>
    </w:rPr>
  </w:style>
  <w:style w:type="paragraph" w:styleId="Verzeichnis5">
    <w:name w:val="toc 5"/>
    <w:basedOn w:val="Standard"/>
    <w:next w:val="Standard"/>
    <w:autoRedefine/>
    <w:uiPriority w:val="39"/>
    <w:semiHidden/>
    <w:unhideWhenUsed/>
    <w:rsid w:val="00766C58"/>
    <w:pPr>
      <w:ind w:left="960"/>
    </w:pPr>
    <w:rPr>
      <w:sz w:val="20"/>
      <w:szCs w:val="20"/>
    </w:rPr>
  </w:style>
  <w:style w:type="paragraph" w:styleId="Verzeichnis6">
    <w:name w:val="toc 6"/>
    <w:basedOn w:val="Standard"/>
    <w:next w:val="Standard"/>
    <w:autoRedefine/>
    <w:uiPriority w:val="39"/>
    <w:semiHidden/>
    <w:unhideWhenUsed/>
    <w:rsid w:val="00766C58"/>
    <w:pPr>
      <w:ind w:left="1200"/>
    </w:pPr>
    <w:rPr>
      <w:sz w:val="20"/>
      <w:szCs w:val="20"/>
    </w:rPr>
  </w:style>
  <w:style w:type="paragraph" w:styleId="Verzeichnis7">
    <w:name w:val="toc 7"/>
    <w:basedOn w:val="Standard"/>
    <w:next w:val="Standard"/>
    <w:autoRedefine/>
    <w:uiPriority w:val="39"/>
    <w:semiHidden/>
    <w:unhideWhenUsed/>
    <w:rsid w:val="00766C58"/>
    <w:pPr>
      <w:ind w:left="1440"/>
    </w:pPr>
    <w:rPr>
      <w:sz w:val="20"/>
      <w:szCs w:val="20"/>
    </w:rPr>
  </w:style>
  <w:style w:type="paragraph" w:styleId="Verzeichnis8">
    <w:name w:val="toc 8"/>
    <w:basedOn w:val="Standard"/>
    <w:next w:val="Standard"/>
    <w:autoRedefine/>
    <w:uiPriority w:val="39"/>
    <w:semiHidden/>
    <w:unhideWhenUsed/>
    <w:rsid w:val="00766C58"/>
    <w:pPr>
      <w:ind w:left="1680"/>
    </w:pPr>
    <w:rPr>
      <w:sz w:val="20"/>
      <w:szCs w:val="20"/>
    </w:rPr>
  </w:style>
  <w:style w:type="paragraph" w:styleId="Verzeichnis9">
    <w:name w:val="toc 9"/>
    <w:basedOn w:val="Standard"/>
    <w:next w:val="Standard"/>
    <w:autoRedefine/>
    <w:uiPriority w:val="39"/>
    <w:semiHidden/>
    <w:unhideWhenUsed/>
    <w:rsid w:val="00766C58"/>
    <w:pPr>
      <w:ind w:left="1920"/>
    </w:pPr>
    <w:rPr>
      <w:sz w:val="20"/>
      <w:szCs w:val="20"/>
    </w:rPr>
  </w:style>
  <w:style w:type="character" w:customStyle="1" w:styleId="berschrift2Zchn">
    <w:name w:val="Überschrift 2 Zchn"/>
    <w:basedOn w:val="Absatz-Standardschriftart"/>
    <w:link w:val="berschrift2"/>
    <w:uiPriority w:val="9"/>
    <w:rsid w:val="00766C58"/>
    <w:rPr>
      <w:rFonts w:asciiTheme="majorHAnsi" w:eastAsiaTheme="majorEastAsia" w:hAnsiTheme="majorHAnsi" w:cstheme="majorBidi"/>
      <w:color w:val="2F5496" w:themeColor="accent1" w:themeShade="BF"/>
      <w:sz w:val="26"/>
      <w:szCs w:val="26"/>
    </w:rPr>
  </w:style>
  <w:style w:type="character" w:customStyle="1" w:styleId="addmd">
    <w:name w:val="addmd"/>
    <w:basedOn w:val="Absatz-Standardschriftart"/>
    <w:rsid w:val="00F74C97"/>
  </w:style>
  <w:style w:type="character" w:styleId="BesuchterLink">
    <w:name w:val="FollowedHyperlink"/>
    <w:basedOn w:val="Absatz-Standardschriftart"/>
    <w:uiPriority w:val="99"/>
    <w:semiHidden/>
    <w:unhideWhenUsed/>
    <w:rsid w:val="00CA6D0B"/>
    <w:rPr>
      <w:color w:val="954F72" w:themeColor="followedHyperlink"/>
      <w:u w:val="single"/>
    </w:rPr>
  </w:style>
  <w:style w:type="character" w:styleId="NichtaufgelsteErwhnung">
    <w:name w:val="Unresolved Mention"/>
    <w:basedOn w:val="Absatz-Standardschriftart"/>
    <w:uiPriority w:val="99"/>
    <w:semiHidden/>
    <w:unhideWhenUsed/>
    <w:rsid w:val="00B854EA"/>
    <w:rPr>
      <w:color w:val="605E5C"/>
      <w:shd w:val="clear" w:color="auto" w:fill="E1DFDD"/>
    </w:rPr>
  </w:style>
  <w:style w:type="character" w:customStyle="1" w:styleId="berschrift3Zchn">
    <w:name w:val="Überschrift 3 Zchn"/>
    <w:basedOn w:val="Absatz-Standardschriftart"/>
    <w:link w:val="berschrift3"/>
    <w:uiPriority w:val="9"/>
    <w:semiHidden/>
    <w:rsid w:val="00787EA9"/>
    <w:rPr>
      <w:rFonts w:asciiTheme="majorHAnsi" w:eastAsiaTheme="majorEastAsia" w:hAnsiTheme="majorHAnsi" w:cstheme="majorBidi"/>
      <w:color w:val="1F3763" w:themeColor="accent1" w:themeShade="7F"/>
      <w:lang w:eastAsia="de-DE"/>
    </w:rPr>
  </w:style>
  <w:style w:type="character" w:styleId="HTMLZitat">
    <w:name w:val="HTML Cite"/>
    <w:basedOn w:val="Absatz-Standardschriftart"/>
    <w:uiPriority w:val="99"/>
    <w:semiHidden/>
    <w:unhideWhenUsed/>
    <w:rsid w:val="00787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5185">
      <w:bodyDiv w:val="1"/>
      <w:marLeft w:val="0"/>
      <w:marRight w:val="0"/>
      <w:marTop w:val="0"/>
      <w:marBottom w:val="0"/>
      <w:divBdr>
        <w:top w:val="none" w:sz="0" w:space="0" w:color="auto"/>
        <w:left w:val="none" w:sz="0" w:space="0" w:color="auto"/>
        <w:bottom w:val="none" w:sz="0" w:space="0" w:color="auto"/>
        <w:right w:val="none" w:sz="0" w:space="0" w:color="auto"/>
      </w:divBdr>
    </w:div>
    <w:div w:id="72437754">
      <w:bodyDiv w:val="1"/>
      <w:marLeft w:val="0"/>
      <w:marRight w:val="0"/>
      <w:marTop w:val="0"/>
      <w:marBottom w:val="0"/>
      <w:divBdr>
        <w:top w:val="none" w:sz="0" w:space="0" w:color="auto"/>
        <w:left w:val="none" w:sz="0" w:space="0" w:color="auto"/>
        <w:bottom w:val="none" w:sz="0" w:space="0" w:color="auto"/>
        <w:right w:val="none" w:sz="0" w:space="0" w:color="auto"/>
      </w:divBdr>
    </w:div>
    <w:div w:id="107700815">
      <w:bodyDiv w:val="1"/>
      <w:marLeft w:val="0"/>
      <w:marRight w:val="0"/>
      <w:marTop w:val="0"/>
      <w:marBottom w:val="0"/>
      <w:divBdr>
        <w:top w:val="none" w:sz="0" w:space="0" w:color="auto"/>
        <w:left w:val="none" w:sz="0" w:space="0" w:color="auto"/>
        <w:bottom w:val="none" w:sz="0" w:space="0" w:color="auto"/>
        <w:right w:val="none" w:sz="0" w:space="0" w:color="auto"/>
      </w:divBdr>
    </w:div>
    <w:div w:id="168713273">
      <w:bodyDiv w:val="1"/>
      <w:marLeft w:val="0"/>
      <w:marRight w:val="0"/>
      <w:marTop w:val="0"/>
      <w:marBottom w:val="0"/>
      <w:divBdr>
        <w:top w:val="none" w:sz="0" w:space="0" w:color="auto"/>
        <w:left w:val="none" w:sz="0" w:space="0" w:color="auto"/>
        <w:bottom w:val="none" w:sz="0" w:space="0" w:color="auto"/>
        <w:right w:val="none" w:sz="0" w:space="0" w:color="auto"/>
      </w:divBdr>
      <w:divsChild>
        <w:div w:id="125246089">
          <w:marLeft w:val="0"/>
          <w:marRight w:val="0"/>
          <w:marTop w:val="750"/>
          <w:marBottom w:val="0"/>
          <w:divBdr>
            <w:top w:val="none" w:sz="0" w:space="0" w:color="auto"/>
            <w:left w:val="none" w:sz="0" w:space="0" w:color="auto"/>
            <w:bottom w:val="none" w:sz="0" w:space="0" w:color="auto"/>
            <w:right w:val="none" w:sz="0" w:space="0" w:color="auto"/>
          </w:divBdr>
        </w:div>
      </w:divsChild>
    </w:div>
    <w:div w:id="183717408">
      <w:bodyDiv w:val="1"/>
      <w:marLeft w:val="0"/>
      <w:marRight w:val="0"/>
      <w:marTop w:val="0"/>
      <w:marBottom w:val="0"/>
      <w:divBdr>
        <w:top w:val="none" w:sz="0" w:space="0" w:color="auto"/>
        <w:left w:val="none" w:sz="0" w:space="0" w:color="auto"/>
        <w:bottom w:val="none" w:sz="0" w:space="0" w:color="auto"/>
        <w:right w:val="none" w:sz="0" w:space="0" w:color="auto"/>
      </w:divBdr>
    </w:div>
    <w:div w:id="202376754">
      <w:bodyDiv w:val="1"/>
      <w:marLeft w:val="0"/>
      <w:marRight w:val="0"/>
      <w:marTop w:val="0"/>
      <w:marBottom w:val="0"/>
      <w:divBdr>
        <w:top w:val="none" w:sz="0" w:space="0" w:color="auto"/>
        <w:left w:val="none" w:sz="0" w:space="0" w:color="auto"/>
        <w:bottom w:val="none" w:sz="0" w:space="0" w:color="auto"/>
        <w:right w:val="none" w:sz="0" w:space="0" w:color="auto"/>
      </w:divBdr>
    </w:div>
    <w:div w:id="203249523">
      <w:bodyDiv w:val="1"/>
      <w:marLeft w:val="0"/>
      <w:marRight w:val="0"/>
      <w:marTop w:val="0"/>
      <w:marBottom w:val="0"/>
      <w:divBdr>
        <w:top w:val="none" w:sz="0" w:space="0" w:color="auto"/>
        <w:left w:val="none" w:sz="0" w:space="0" w:color="auto"/>
        <w:bottom w:val="none" w:sz="0" w:space="0" w:color="auto"/>
        <w:right w:val="none" w:sz="0" w:space="0" w:color="auto"/>
      </w:divBdr>
      <w:divsChild>
        <w:div w:id="338192652">
          <w:marLeft w:val="0"/>
          <w:marRight w:val="0"/>
          <w:marTop w:val="0"/>
          <w:marBottom w:val="300"/>
          <w:divBdr>
            <w:top w:val="none" w:sz="0" w:space="0" w:color="auto"/>
            <w:left w:val="none" w:sz="0" w:space="0" w:color="auto"/>
            <w:bottom w:val="none" w:sz="0" w:space="0" w:color="auto"/>
            <w:right w:val="none" w:sz="0" w:space="0" w:color="auto"/>
          </w:divBdr>
        </w:div>
      </w:divsChild>
    </w:div>
    <w:div w:id="218369488">
      <w:bodyDiv w:val="1"/>
      <w:marLeft w:val="0"/>
      <w:marRight w:val="0"/>
      <w:marTop w:val="0"/>
      <w:marBottom w:val="0"/>
      <w:divBdr>
        <w:top w:val="none" w:sz="0" w:space="0" w:color="auto"/>
        <w:left w:val="none" w:sz="0" w:space="0" w:color="auto"/>
        <w:bottom w:val="none" w:sz="0" w:space="0" w:color="auto"/>
        <w:right w:val="none" w:sz="0" w:space="0" w:color="auto"/>
      </w:divBdr>
      <w:divsChild>
        <w:div w:id="1245334914">
          <w:marLeft w:val="0"/>
          <w:marRight w:val="0"/>
          <w:marTop w:val="0"/>
          <w:marBottom w:val="0"/>
          <w:divBdr>
            <w:top w:val="none" w:sz="0" w:space="0" w:color="auto"/>
            <w:left w:val="none" w:sz="0" w:space="0" w:color="auto"/>
            <w:bottom w:val="none" w:sz="0" w:space="0" w:color="auto"/>
            <w:right w:val="none" w:sz="0" w:space="0" w:color="auto"/>
          </w:divBdr>
        </w:div>
      </w:divsChild>
    </w:div>
    <w:div w:id="415711882">
      <w:bodyDiv w:val="1"/>
      <w:marLeft w:val="0"/>
      <w:marRight w:val="0"/>
      <w:marTop w:val="0"/>
      <w:marBottom w:val="0"/>
      <w:divBdr>
        <w:top w:val="none" w:sz="0" w:space="0" w:color="auto"/>
        <w:left w:val="none" w:sz="0" w:space="0" w:color="auto"/>
        <w:bottom w:val="none" w:sz="0" w:space="0" w:color="auto"/>
        <w:right w:val="none" w:sz="0" w:space="0" w:color="auto"/>
      </w:divBdr>
    </w:div>
    <w:div w:id="452092178">
      <w:bodyDiv w:val="1"/>
      <w:marLeft w:val="0"/>
      <w:marRight w:val="0"/>
      <w:marTop w:val="0"/>
      <w:marBottom w:val="0"/>
      <w:divBdr>
        <w:top w:val="none" w:sz="0" w:space="0" w:color="auto"/>
        <w:left w:val="none" w:sz="0" w:space="0" w:color="auto"/>
        <w:bottom w:val="none" w:sz="0" w:space="0" w:color="auto"/>
        <w:right w:val="none" w:sz="0" w:space="0" w:color="auto"/>
      </w:divBdr>
    </w:div>
    <w:div w:id="539586344">
      <w:bodyDiv w:val="1"/>
      <w:marLeft w:val="0"/>
      <w:marRight w:val="0"/>
      <w:marTop w:val="0"/>
      <w:marBottom w:val="0"/>
      <w:divBdr>
        <w:top w:val="none" w:sz="0" w:space="0" w:color="auto"/>
        <w:left w:val="none" w:sz="0" w:space="0" w:color="auto"/>
        <w:bottom w:val="none" w:sz="0" w:space="0" w:color="auto"/>
        <w:right w:val="none" w:sz="0" w:space="0" w:color="auto"/>
      </w:divBdr>
    </w:div>
    <w:div w:id="635529341">
      <w:bodyDiv w:val="1"/>
      <w:marLeft w:val="0"/>
      <w:marRight w:val="0"/>
      <w:marTop w:val="0"/>
      <w:marBottom w:val="0"/>
      <w:divBdr>
        <w:top w:val="none" w:sz="0" w:space="0" w:color="auto"/>
        <w:left w:val="none" w:sz="0" w:space="0" w:color="auto"/>
        <w:bottom w:val="none" w:sz="0" w:space="0" w:color="auto"/>
        <w:right w:val="none" w:sz="0" w:space="0" w:color="auto"/>
      </w:divBdr>
    </w:div>
    <w:div w:id="642467233">
      <w:bodyDiv w:val="1"/>
      <w:marLeft w:val="0"/>
      <w:marRight w:val="0"/>
      <w:marTop w:val="0"/>
      <w:marBottom w:val="0"/>
      <w:divBdr>
        <w:top w:val="none" w:sz="0" w:space="0" w:color="auto"/>
        <w:left w:val="none" w:sz="0" w:space="0" w:color="auto"/>
        <w:bottom w:val="none" w:sz="0" w:space="0" w:color="auto"/>
        <w:right w:val="none" w:sz="0" w:space="0" w:color="auto"/>
      </w:divBdr>
    </w:div>
    <w:div w:id="653292618">
      <w:bodyDiv w:val="1"/>
      <w:marLeft w:val="0"/>
      <w:marRight w:val="0"/>
      <w:marTop w:val="0"/>
      <w:marBottom w:val="0"/>
      <w:divBdr>
        <w:top w:val="none" w:sz="0" w:space="0" w:color="auto"/>
        <w:left w:val="none" w:sz="0" w:space="0" w:color="auto"/>
        <w:bottom w:val="none" w:sz="0" w:space="0" w:color="auto"/>
        <w:right w:val="none" w:sz="0" w:space="0" w:color="auto"/>
      </w:divBdr>
    </w:div>
    <w:div w:id="657269674">
      <w:bodyDiv w:val="1"/>
      <w:marLeft w:val="0"/>
      <w:marRight w:val="0"/>
      <w:marTop w:val="0"/>
      <w:marBottom w:val="0"/>
      <w:divBdr>
        <w:top w:val="none" w:sz="0" w:space="0" w:color="auto"/>
        <w:left w:val="none" w:sz="0" w:space="0" w:color="auto"/>
        <w:bottom w:val="none" w:sz="0" w:space="0" w:color="auto"/>
        <w:right w:val="none" w:sz="0" w:space="0" w:color="auto"/>
      </w:divBdr>
    </w:div>
    <w:div w:id="669068144">
      <w:bodyDiv w:val="1"/>
      <w:marLeft w:val="0"/>
      <w:marRight w:val="0"/>
      <w:marTop w:val="0"/>
      <w:marBottom w:val="0"/>
      <w:divBdr>
        <w:top w:val="none" w:sz="0" w:space="0" w:color="auto"/>
        <w:left w:val="none" w:sz="0" w:space="0" w:color="auto"/>
        <w:bottom w:val="none" w:sz="0" w:space="0" w:color="auto"/>
        <w:right w:val="none" w:sz="0" w:space="0" w:color="auto"/>
      </w:divBdr>
    </w:div>
    <w:div w:id="670252947">
      <w:bodyDiv w:val="1"/>
      <w:marLeft w:val="0"/>
      <w:marRight w:val="0"/>
      <w:marTop w:val="0"/>
      <w:marBottom w:val="0"/>
      <w:divBdr>
        <w:top w:val="none" w:sz="0" w:space="0" w:color="auto"/>
        <w:left w:val="none" w:sz="0" w:space="0" w:color="auto"/>
        <w:bottom w:val="none" w:sz="0" w:space="0" w:color="auto"/>
        <w:right w:val="none" w:sz="0" w:space="0" w:color="auto"/>
      </w:divBdr>
    </w:div>
    <w:div w:id="670644259">
      <w:bodyDiv w:val="1"/>
      <w:marLeft w:val="0"/>
      <w:marRight w:val="0"/>
      <w:marTop w:val="0"/>
      <w:marBottom w:val="0"/>
      <w:divBdr>
        <w:top w:val="none" w:sz="0" w:space="0" w:color="auto"/>
        <w:left w:val="none" w:sz="0" w:space="0" w:color="auto"/>
        <w:bottom w:val="none" w:sz="0" w:space="0" w:color="auto"/>
        <w:right w:val="none" w:sz="0" w:space="0" w:color="auto"/>
      </w:divBdr>
    </w:div>
    <w:div w:id="703557705">
      <w:bodyDiv w:val="1"/>
      <w:marLeft w:val="0"/>
      <w:marRight w:val="0"/>
      <w:marTop w:val="0"/>
      <w:marBottom w:val="0"/>
      <w:divBdr>
        <w:top w:val="none" w:sz="0" w:space="0" w:color="auto"/>
        <w:left w:val="none" w:sz="0" w:space="0" w:color="auto"/>
        <w:bottom w:val="none" w:sz="0" w:space="0" w:color="auto"/>
        <w:right w:val="none" w:sz="0" w:space="0" w:color="auto"/>
      </w:divBdr>
    </w:div>
    <w:div w:id="776565942">
      <w:bodyDiv w:val="1"/>
      <w:marLeft w:val="0"/>
      <w:marRight w:val="0"/>
      <w:marTop w:val="0"/>
      <w:marBottom w:val="0"/>
      <w:divBdr>
        <w:top w:val="none" w:sz="0" w:space="0" w:color="auto"/>
        <w:left w:val="none" w:sz="0" w:space="0" w:color="auto"/>
        <w:bottom w:val="none" w:sz="0" w:space="0" w:color="auto"/>
        <w:right w:val="none" w:sz="0" w:space="0" w:color="auto"/>
      </w:divBdr>
    </w:div>
    <w:div w:id="778062240">
      <w:bodyDiv w:val="1"/>
      <w:marLeft w:val="0"/>
      <w:marRight w:val="0"/>
      <w:marTop w:val="0"/>
      <w:marBottom w:val="0"/>
      <w:divBdr>
        <w:top w:val="none" w:sz="0" w:space="0" w:color="auto"/>
        <w:left w:val="none" w:sz="0" w:space="0" w:color="auto"/>
        <w:bottom w:val="none" w:sz="0" w:space="0" w:color="auto"/>
        <w:right w:val="none" w:sz="0" w:space="0" w:color="auto"/>
      </w:divBdr>
    </w:div>
    <w:div w:id="778181181">
      <w:bodyDiv w:val="1"/>
      <w:marLeft w:val="0"/>
      <w:marRight w:val="0"/>
      <w:marTop w:val="0"/>
      <w:marBottom w:val="0"/>
      <w:divBdr>
        <w:top w:val="none" w:sz="0" w:space="0" w:color="auto"/>
        <w:left w:val="none" w:sz="0" w:space="0" w:color="auto"/>
        <w:bottom w:val="none" w:sz="0" w:space="0" w:color="auto"/>
        <w:right w:val="none" w:sz="0" w:space="0" w:color="auto"/>
      </w:divBdr>
    </w:div>
    <w:div w:id="782965013">
      <w:bodyDiv w:val="1"/>
      <w:marLeft w:val="0"/>
      <w:marRight w:val="0"/>
      <w:marTop w:val="0"/>
      <w:marBottom w:val="0"/>
      <w:divBdr>
        <w:top w:val="none" w:sz="0" w:space="0" w:color="auto"/>
        <w:left w:val="none" w:sz="0" w:space="0" w:color="auto"/>
        <w:bottom w:val="none" w:sz="0" w:space="0" w:color="auto"/>
        <w:right w:val="none" w:sz="0" w:space="0" w:color="auto"/>
      </w:divBdr>
    </w:div>
    <w:div w:id="813451050">
      <w:bodyDiv w:val="1"/>
      <w:marLeft w:val="0"/>
      <w:marRight w:val="0"/>
      <w:marTop w:val="0"/>
      <w:marBottom w:val="0"/>
      <w:divBdr>
        <w:top w:val="none" w:sz="0" w:space="0" w:color="auto"/>
        <w:left w:val="none" w:sz="0" w:space="0" w:color="auto"/>
        <w:bottom w:val="none" w:sz="0" w:space="0" w:color="auto"/>
        <w:right w:val="none" w:sz="0" w:space="0" w:color="auto"/>
      </w:divBdr>
    </w:div>
    <w:div w:id="836773654">
      <w:bodyDiv w:val="1"/>
      <w:marLeft w:val="0"/>
      <w:marRight w:val="0"/>
      <w:marTop w:val="0"/>
      <w:marBottom w:val="0"/>
      <w:divBdr>
        <w:top w:val="none" w:sz="0" w:space="0" w:color="auto"/>
        <w:left w:val="none" w:sz="0" w:space="0" w:color="auto"/>
        <w:bottom w:val="none" w:sz="0" w:space="0" w:color="auto"/>
        <w:right w:val="none" w:sz="0" w:space="0" w:color="auto"/>
      </w:divBdr>
    </w:div>
    <w:div w:id="838734191">
      <w:bodyDiv w:val="1"/>
      <w:marLeft w:val="0"/>
      <w:marRight w:val="0"/>
      <w:marTop w:val="0"/>
      <w:marBottom w:val="0"/>
      <w:divBdr>
        <w:top w:val="none" w:sz="0" w:space="0" w:color="auto"/>
        <w:left w:val="none" w:sz="0" w:space="0" w:color="auto"/>
        <w:bottom w:val="none" w:sz="0" w:space="0" w:color="auto"/>
        <w:right w:val="none" w:sz="0" w:space="0" w:color="auto"/>
      </w:divBdr>
    </w:div>
    <w:div w:id="839735673">
      <w:bodyDiv w:val="1"/>
      <w:marLeft w:val="0"/>
      <w:marRight w:val="0"/>
      <w:marTop w:val="0"/>
      <w:marBottom w:val="0"/>
      <w:divBdr>
        <w:top w:val="none" w:sz="0" w:space="0" w:color="auto"/>
        <w:left w:val="none" w:sz="0" w:space="0" w:color="auto"/>
        <w:bottom w:val="none" w:sz="0" w:space="0" w:color="auto"/>
        <w:right w:val="none" w:sz="0" w:space="0" w:color="auto"/>
      </w:divBdr>
    </w:div>
    <w:div w:id="883634035">
      <w:bodyDiv w:val="1"/>
      <w:marLeft w:val="0"/>
      <w:marRight w:val="0"/>
      <w:marTop w:val="0"/>
      <w:marBottom w:val="0"/>
      <w:divBdr>
        <w:top w:val="none" w:sz="0" w:space="0" w:color="auto"/>
        <w:left w:val="none" w:sz="0" w:space="0" w:color="auto"/>
        <w:bottom w:val="none" w:sz="0" w:space="0" w:color="auto"/>
        <w:right w:val="none" w:sz="0" w:space="0" w:color="auto"/>
      </w:divBdr>
    </w:div>
    <w:div w:id="934632180">
      <w:bodyDiv w:val="1"/>
      <w:marLeft w:val="0"/>
      <w:marRight w:val="0"/>
      <w:marTop w:val="0"/>
      <w:marBottom w:val="0"/>
      <w:divBdr>
        <w:top w:val="none" w:sz="0" w:space="0" w:color="auto"/>
        <w:left w:val="none" w:sz="0" w:space="0" w:color="auto"/>
        <w:bottom w:val="none" w:sz="0" w:space="0" w:color="auto"/>
        <w:right w:val="none" w:sz="0" w:space="0" w:color="auto"/>
      </w:divBdr>
    </w:div>
    <w:div w:id="1008868268">
      <w:bodyDiv w:val="1"/>
      <w:marLeft w:val="0"/>
      <w:marRight w:val="0"/>
      <w:marTop w:val="0"/>
      <w:marBottom w:val="0"/>
      <w:divBdr>
        <w:top w:val="none" w:sz="0" w:space="0" w:color="auto"/>
        <w:left w:val="none" w:sz="0" w:space="0" w:color="auto"/>
        <w:bottom w:val="none" w:sz="0" w:space="0" w:color="auto"/>
        <w:right w:val="none" w:sz="0" w:space="0" w:color="auto"/>
      </w:divBdr>
    </w:div>
    <w:div w:id="1010596876">
      <w:bodyDiv w:val="1"/>
      <w:marLeft w:val="0"/>
      <w:marRight w:val="0"/>
      <w:marTop w:val="0"/>
      <w:marBottom w:val="0"/>
      <w:divBdr>
        <w:top w:val="none" w:sz="0" w:space="0" w:color="auto"/>
        <w:left w:val="none" w:sz="0" w:space="0" w:color="auto"/>
        <w:bottom w:val="none" w:sz="0" w:space="0" w:color="auto"/>
        <w:right w:val="none" w:sz="0" w:space="0" w:color="auto"/>
      </w:divBdr>
    </w:div>
    <w:div w:id="1015108775">
      <w:bodyDiv w:val="1"/>
      <w:marLeft w:val="0"/>
      <w:marRight w:val="0"/>
      <w:marTop w:val="0"/>
      <w:marBottom w:val="0"/>
      <w:divBdr>
        <w:top w:val="none" w:sz="0" w:space="0" w:color="auto"/>
        <w:left w:val="none" w:sz="0" w:space="0" w:color="auto"/>
        <w:bottom w:val="none" w:sz="0" w:space="0" w:color="auto"/>
        <w:right w:val="none" w:sz="0" w:space="0" w:color="auto"/>
      </w:divBdr>
    </w:div>
    <w:div w:id="1037773577">
      <w:bodyDiv w:val="1"/>
      <w:marLeft w:val="0"/>
      <w:marRight w:val="0"/>
      <w:marTop w:val="0"/>
      <w:marBottom w:val="0"/>
      <w:divBdr>
        <w:top w:val="none" w:sz="0" w:space="0" w:color="auto"/>
        <w:left w:val="none" w:sz="0" w:space="0" w:color="auto"/>
        <w:bottom w:val="none" w:sz="0" w:space="0" w:color="auto"/>
        <w:right w:val="none" w:sz="0" w:space="0" w:color="auto"/>
      </w:divBdr>
    </w:div>
    <w:div w:id="1039934567">
      <w:bodyDiv w:val="1"/>
      <w:marLeft w:val="0"/>
      <w:marRight w:val="0"/>
      <w:marTop w:val="0"/>
      <w:marBottom w:val="0"/>
      <w:divBdr>
        <w:top w:val="none" w:sz="0" w:space="0" w:color="auto"/>
        <w:left w:val="none" w:sz="0" w:space="0" w:color="auto"/>
        <w:bottom w:val="none" w:sz="0" w:space="0" w:color="auto"/>
        <w:right w:val="none" w:sz="0" w:space="0" w:color="auto"/>
      </w:divBdr>
    </w:div>
    <w:div w:id="1040200709">
      <w:bodyDiv w:val="1"/>
      <w:marLeft w:val="0"/>
      <w:marRight w:val="0"/>
      <w:marTop w:val="0"/>
      <w:marBottom w:val="0"/>
      <w:divBdr>
        <w:top w:val="none" w:sz="0" w:space="0" w:color="auto"/>
        <w:left w:val="none" w:sz="0" w:space="0" w:color="auto"/>
        <w:bottom w:val="none" w:sz="0" w:space="0" w:color="auto"/>
        <w:right w:val="none" w:sz="0" w:space="0" w:color="auto"/>
      </w:divBdr>
    </w:div>
    <w:div w:id="1048601268">
      <w:bodyDiv w:val="1"/>
      <w:marLeft w:val="0"/>
      <w:marRight w:val="0"/>
      <w:marTop w:val="0"/>
      <w:marBottom w:val="0"/>
      <w:divBdr>
        <w:top w:val="none" w:sz="0" w:space="0" w:color="auto"/>
        <w:left w:val="none" w:sz="0" w:space="0" w:color="auto"/>
        <w:bottom w:val="none" w:sz="0" w:space="0" w:color="auto"/>
        <w:right w:val="none" w:sz="0" w:space="0" w:color="auto"/>
      </w:divBdr>
    </w:div>
    <w:div w:id="1130628440">
      <w:bodyDiv w:val="1"/>
      <w:marLeft w:val="0"/>
      <w:marRight w:val="0"/>
      <w:marTop w:val="0"/>
      <w:marBottom w:val="0"/>
      <w:divBdr>
        <w:top w:val="none" w:sz="0" w:space="0" w:color="auto"/>
        <w:left w:val="none" w:sz="0" w:space="0" w:color="auto"/>
        <w:bottom w:val="none" w:sz="0" w:space="0" w:color="auto"/>
        <w:right w:val="none" w:sz="0" w:space="0" w:color="auto"/>
      </w:divBdr>
    </w:div>
    <w:div w:id="1145002980">
      <w:bodyDiv w:val="1"/>
      <w:marLeft w:val="0"/>
      <w:marRight w:val="0"/>
      <w:marTop w:val="0"/>
      <w:marBottom w:val="0"/>
      <w:divBdr>
        <w:top w:val="none" w:sz="0" w:space="0" w:color="auto"/>
        <w:left w:val="none" w:sz="0" w:space="0" w:color="auto"/>
        <w:bottom w:val="none" w:sz="0" w:space="0" w:color="auto"/>
        <w:right w:val="none" w:sz="0" w:space="0" w:color="auto"/>
      </w:divBdr>
    </w:div>
    <w:div w:id="1162086660">
      <w:bodyDiv w:val="1"/>
      <w:marLeft w:val="0"/>
      <w:marRight w:val="0"/>
      <w:marTop w:val="0"/>
      <w:marBottom w:val="0"/>
      <w:divBdr>
        <w:top w:val="none" w:sz="0" w:space="0" w:color="auto"/>
        <w:left w:val="none" w:sz="0" w:space="0" w:color="auto"/>
        <w:bottom w:val="none" w:sz="0" w:space="0" w:color="auto"/>
        <w:right w:val="none" w:sz="0" w:space="0" w:color="auto"/>
      </w:divBdr>
    </w:div>
    <w:div w:id="1224952054">
      <w:bodyDiv w:val="1"/>
      <w:marLeft w:val="0"/>
      <w:marRight w:val="0"/>
      <w:marTop w:val="0"/>
      <w:marBottom w:val="0"/>
      <w:divBdr>
        <w:top w:val="none" w:sz="0" w:space="0" w:color="auto"/>
        <w:left w:val="none" w:sz="0" w:space="0" w:color="auto"/>
        <w:bottom w:val="none" w:sz="0" w:space="0" w:color="auto"/>
        <w:right w:val="none" w:sz="0" w:space="0" w:color="auto"/>
      </w:divBdr>
    </w:div>
    <w:div w:id="1239170830">
      <w:bodyDiv w:val="1"/>
      <w:marLeft w:val="0"/>
      <w:marRight w:val="0"/>
      <w:marTop w:val="0"/>
      <w:marBottom w:val="0"/>
      <w:divBdr>
        <w:top w:val="none" w:sz="0" w:space="0" w:color="auto"/>
        <w:left w:val="none" w:sz="0" w:space="0" w:color="auto"/>
        <w:bottom w:val="none" w:sz="0" w:space="0" w:color="auto"/>
        <w:right w:val="none" w:sz="0" w:space="0" w:color="auto"/>
      </w:divBdr>
    </w:div>
    <w:div w:id="1248538447">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305113488">
      <w:bodyDiv w:val="1"/>
      <w:marLeft w:val="0"/>
      <w:marRight w:val="0"/>
      <w:marTop w:val="0"/>
      <w:marBottom w:val="0"/>
      <w:divBdr>
        <w:top w:val="none" w:sz="0" w:space="0" w:color="auto"/>
        <w:left w:val="none" w:sz="0" w:space="0" w:color="auto"/>
        <w:bottom w:val="none" w:sz="0" w:space="0" w:color="auto"/>
        <w:right w:val="none" w:sz="0" w:space="0" w:color="auto"/>
      </w:divBdr>
    </w:div>
    <w:div w:id="1367290549">
      <w:bodyDiv w:val="1"/>
      <w:marLeft w:val="0"/>
      <w:marRight w:val="0"/>
      <w:marTop w:val="0"/>
      <w:marBottom w:val="0"/>
      <w:divBdr>
        <w:top w:val="none" w:sz="0" w:space="0" w:color="auto"/>
        <w:left w:val="none" w:sz="0" w:space="0" w:color="auto"/>
        <w:bottom w:val="none" w:sz="0" w:space="0" w:color="auto"/>
        <w:right w:val="none" w:sz="0" w:space="0" w:color="auto"/>
      </w:divBdr>
    </w:div>
    <w:div w:id="1371345051">
      <w:bodyDiv w:val="1"/>
      <w:marLeft w:val="0"/>
      <w:marRight w:val="0"/>
      <w:marTop w:val="0"/>
      <w:marBottom w:val="0"/>
      <w:divBdr>
        <w:top w:val="none" w:sz="0" w:space="0" w:color="auto"/>
        <w:left w:val="none" w:sz="0" w:space="0" w:color="auto"/>
        <w:bottom w:val="none" w:sz="0" w:space="0" w:color="auto"/>
        <w:right w:val="none" w:sz="0" w:space="0" w:color="auto"/>
      </w:divBdr>
    </w:div>
    <w:div w:id="1421637445">
      <w:bodyDiv w:val="1"/>
      <w:marLeft w:val="0"/>
      <w:marRight w:val="0"/>
      <w:marTop w:val="0"/>
      <w:marBottom w:val="0"/>
      <w:divBdr>
        <w:top w:val="none" w:sz="0" w:space="0" w:color="auto"/>
        <w:left w:val="none" w:sz="0" w:space="0" w:color="auto"/>
        <w:bottom w:val="none" w:sz="0" w:space="0" w:color="auto"/>
        <w:right w:val="none" w:sz="0" w:space="0" w:color="auto"/>
      </w:divBdr>
    </w:div>
    <w:div w:id="1446264663">
      <w:bodyDiv w:val="1"/>
      <w:marLeft w:val="0"/>
      <w:marRight w:val="0"/>
      <w:marTop w:val="0"/>
      <w:marBottom w:val="0"/>
      <w:divBdr>
        <w:top w:val="none" w:sz="0" w:space="0" w:color="auto"/>
        <w:left w:val="none" w:sz="0" w:space="0" w:color="auto"/>
        <w:bottom w:val="none" w:sz="0" w:space="0" w:color="auto"/>
        <w:right w:val="none" w:sz="0" w:space="0" w:color="auto"/>
      </w:divBdr>
    </w:div>
    <w:div w:id="1464039947">
      <w:bodyDiv w:val="1"/>
      <w:marLeft w:val="0"/>
      <w:marRight w:val="0"/>
      <w:marTop w:val="0"/>
      <w:marBottom w:val="0"/>
      <w:divBdr>
        <w:top w:val="none" w:sz="0" w:space="0" w:color="auto"/>
        <w:left w:val="none" w:sz="0" w:space="0" w:color="auto"/>
        <w:bottom w:val="none" w:sz="0" w:space="0" w:color="auto"/>
        <w:right w:val="none" w:sz="0" w:space="0" w:color="auto"/>
      </w:divBdr>
    </w:div>
    <w:div w:id="1476950071">
      <w:bodyDiv w:val="1"/>
      <w:marLeft w:val="0"/>
      <w:marRight w:val="0"/>
      <w:marTop w:val="0"/>
      <w:marBottom w:val="0"/>
      <w:divBdr>
        <w:top w:val="none" w:sz="0" w:space="0" w:color="auto"/>
        <w:left w:val="none" w:sz="0" w:space="0" w:color="auto"/>
        <w:bottom w:val="none" w:sz="0" w:space="0" w:color="auto"/>
        <w:right w:val="none" w:sz="0" w:space="0" w:color="auto"/>
      </w:divBdr>
    </w:div>
    <w:div w:id="1492988888">
      <w:bodyDiv w:val="1"/>
      <w:marLeft w:val="0"/>
      <w:marRight w:val="0"/>
      <w:marTop w:val="0"/>
      <w:marBottom w:val="0"/>
      <w:divBdr>
        <w:top w:val="none" w:sz="0" w:space="0" w:color="auto"/>
        <w:left w:val="none" w:sz="0" w:space="0" w:color="auto"/>
        <w:bottom w:val="none" w:sz="0" w:space="0" w:color="auto"/>
        <w:right w:val="none" w:sz="0" w:space="0" w:color="auto"/>
      </w:divBdr>
    </w:div>
    <w:div w:id="1527133750">
      <w:bodyDiv w:val="1"/>
      <w:marLeft w:val="0"/>
      <w:marRight w:val="0"/>
      <w:marTop w:val="0"/>
      <w:marBottom w:val="0"/>
      <w:divBdr>
        <w:top w:val="none" w:sz="0" w:space="0" w:color="auto"/>
        <w:left w:val="none" w:sz="0" w:space="0" w:color="auto"/>
        <w:bottom w:val="none" w:sz="0" w:space="0" w:color="auto"/>
        <w:right w:val="none" w:sz="0" w:space="0" w:color="auto"/>
      </w:divBdr>
    </w:div>
    <w:div w:id="1528831740">
      <w:bodyDiv w:val="1"/>
      <w:marLeft w:val="0"/>
      <w:marRight w:val="0"/>
      <w:marTop w:val="0"/>
      <w:marBottom w:val="0"/>
      <w:divBdr>
        <w:top w:val="none" w:sz="0" w:space="0" w:color="auto"/>
        <w:left w:val="none" w:sz="0" w:space="0" w:color="auto"/>
        <w:bottom w:val="none" w:sz="0" w:space="0" w:color="auto"/>
        <w:right w:val="none" w:sz="0" w:space="0" w:color="auto"/>
      </w:divBdr>
    </w:div>
    <w:div w:id="1584611183">
      <w:bodyDiv w:val="1"/>
      <w:marLeft w:val="0"/>
      <w:marRight w:val="0"/>
      <w:marTop w:val="0"/>
      <w:marBottom w:val="0"/>
      <w:divBdr>
        <w:top w:val="none" w:sz="0" w:space="0" w:color="auto"/>
        <w:left w:val="none" w:sz="0" w:space="0" w:color="auto"/>
        <w:bottom w:val="none" w:sz="0" w:space="0" w:color="auto"/>
        <w:right w:val="none" w:sz="0" w:space="0" w:color="auto"/>
      </w:divBdr>
    </w:div>
    <w:div w:id="1646467603">
      <w:bodyDiv w:val="1"/>
      <w:marLeft w:val="0"/>
      <w:marRight w:val="0"/>
      <w:marTop w:val="0"/>
      <w:marBottom w:val="0"/>
      <w:divBdr>
        <w:top w:val="none" w:sz="0" w:space="0" w:color="auto"/>
        <w:left w:val="none" w:sz="0" w:space="0" w:color="auto"/>
        <w:bottom w:val="none" w:sz="0" w:space="0" w:color="auto"/>
        <w:right w:val="none" w:sz="0" w:space="0" w:color="auto"/>
      </w:divBdr>
      <w:divsChild>
        <w:div w:id="134883223">
          <w:marLeft w:val="0"/>
          <w:marRight w:val="0"/>
          <w:marTop w:val="0"/>
          <w:marBottom w:val="0"/>
          <w:divBdr>
            <w:top w:val="none" w:sz="0" w:space="0" w:color="auto"/>
            <w:left w:val="none" w:sz="0" w:space="0" w:color="auto"/>
            <w:bottom w:val="none" w:sz="0" w:space="0" w:color="auto"/>
            <w:right w:val="none" w:sz="0" w:space="0" w:color="auto"/>
          </w:divBdr>
          <w:divsChild>
            <w:div w:id="1045911048">
              <w:marLeft w:val="0"/>
              <w:marRight w:val="0"/>
              <w:marTop w:val="105"/>
              <w:marBottom w:val="0"/>
              <w:divBdr>
                <w:top w:val="none" w:sz="0" w:space="0" w:color="auto"/>
                <w:left w:val="none" w:sz="0" w:space="0" w:color="auto"/>
                <w:bottom w:val="none" w:sz="0" w:space="0" w:color="auto"/>
                <w:right w:val="none" w:sz="0" w:space="0" w:color="auto"/>
              </w:divBdr>
              <w:divsChild>
                <w:div w:id="193273856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717587079">
      <w:bodyDiv w:val="1"/>
      <w:marLeft w:val="0"/>
      <w:marRight w:val="0"/>
      <w:marTop w:val="0"/>
      <w:marBottom w:val="0"/>
      <w:divBdr>
        <w:top w:val="none" w:sz="0" w:space="0" w:color="auto"/>
        <w:left w:val="none" w:sz="0" w:space="0" w:color="auto"/>
        <w:bottom w:val="none" w:sz="0" w:space="0" w:color="auto"/>
        <w:right w:val="none" w:sz="0" w:space="0" w:color="auto"/>
      </w:divBdr>
    </w:div>
    <w:div w:id="1784031258">
      <w:bodyDiv w:val="1"/>
      <w:marLeft w:val="0"/>
      <w:marRight w:val="0"/>
      <w:marTop w:val="0"/>
      <w:marBottom w:val="0"/>
      <w:divBdr>
        <w:top w:val="none" w:sz="0" w:space="0" w:color="auto"/>
        <w:left w:val="none" w:sz="0" w:space="0" w:color="auto"/>
        <w:bottom w:val="none" w:sz="0" w:space="0" w:color="auto"/>
        <w:right w:val="none" w:sz="0" w:space="0" w:color="auto"/>
      </w:divBdr>
      <w:divsChild>
        <w:div w:id="1005474748">
          <w:marLeft w:val="0"/>
          <w:marRight w:val="0"/>
          <w:marTop w:val="0"/>
          <w:marBottom w:val="0"/>
          <w:divBdr>
            <w:top w:val="none" w:sz="0" w:space="0" w:color="auto"/>
            <w:left w:val="none" w:sz="0" w:space="0" w:color="auto"/>
            <w:bottom w:val="none" w:sz="0" w:space="0" w:color="auto"/>
            <w:right w:val="none" w:sz="0" w:space="0" w:color="auto"/>
          </w:divBdr>
        </w:div>
      </w:divsChild>
    </w:div>
    <w:div w:id="1803769336">
      <w:bodyDiv w:val="1"/>
      <w:marLeft w:val="0"/>
      <w:marRight w:val="0"/>
      <w:marTop w:val="0"/>
      <w:marBottom w:val="0"/>
      <w:divBdr>
        <w:top w:val="none" w:sz="0" w:space="0" w:color="auto"/>
        <w:left w:val="none" w:sz="0" w:space="0" w:color="auto"/>
        <w:bottom w:val="none" w:sz="0" w:space="0" w:color="auto"/>
        <w:right w:val="none" w:sz="0" w:space="0" w:color="auto"/>
      </w:divBdr>
      <w:divsChild>
        <w:div w:id="597911659">
          <w:marLeft w:val="0"/>
          <w:marRight w:val="0"/>
          <w:marTop w:val="0"/>
          <w:marBottom w:val="0"/>
          <w:divBdr>
            <w:top w:val="none" w:sz="0" w:space="0" w:color="auto"/>
            <w:left w:val="none" w:sz="0" w:space="0" w:color="auto"/>
            <w:bottom w:val="none" w:sz="0" w:space="0" w:color="auto"/>
            <w:right w:val="none" w:sz="0" w:space="0" w:color="auto"/>
          </w:divBdr>
          <w:divsChild>
            <w:div w:id="840924353">
              <w:marLeft w:val="0"/>
              <w:marRight w:val="0"/>
              <w:marTop w:val="0"/>
              <w:marBottom w:val="0"/>
              <w:divBdr>
                <w:top w:val="none" w:sz="0" w:space="0" w:color="auto"/>
                <w:left w:val="none" w:sz="0" w:space="0" w:color="auto"/>
                <w:bottom w:val="none" w:sz="0" w:space="0" w:color="auto"/>
                <w:right w:val="none" w:sz="0" w:space="0" w:color="auto"/>
              </w:divBdr>
              <w:divsChild>
                <w:div w:id="1423454289">
                  <w:marLeft w:val="0"/>
                  <w:marRight w:val="0"/>
                  <w:marTop w:val="0"/>
                  <w:marBottom w:val="0"/>
                  <w:divBdr>
                    <w:top w:val="none" w:sz="0" w:space="0" w:color="auto"/>
                    <w:left w:val="none" w:sz="0" w:space="0" w:color="auto"/>
                    <w:bottom w:val="none" w:sz="0" w:space="0" w:color="auto"/>
                    <w:right w:val="none" w:sz="0" w:space="0" w:color="auto"/>
                  </w:divBdr>
                  <w:divsChild>
                    <w:div w:id="208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31357">
      <w:bodyDiv w:val="1"/>
      <w:marLeft w:val="0"/>
      <w:marRight w:val="0"/>
      <w:marTop w:val="0"/>
      <w:marBottom w:val="0"/>
      <w:divBdr>
        <w:top w:val="none" w:sz="0" w:space="0" w:color="auto"/>
        <w:left w:val="none" w:sz="0" w:space="0" w:color="auto"/>
        <w:bottom w:val="none" w:sz="0" w:space="0" w:color="auto"/>
        <w:right w:val="none" w:sz="0" w:space="0" w:color="auto"/>
      </w:divBdr>
    </w:div>
    <w:div w:id="1841040284">
      <w:bodyDiv w:val="1"/>
      <w:marLeft w:val="0"/>
      <w:marRight w:val="0"/>
      <w:marTop w:val="0"/>
      <w:marBottom w:val="0"/>
      <w:divBdr>
        <w:top w:val="none" w:sz="0" w:space="0" w:color="auto"/>
        <w:left w:val="none" w:sz="0" w:space="0" w:color="auto"/>
        <w:bottom w:val="none" w:sz="0" w:space="0" w:color="auto"/>
        <w:right w:val="none" w:sz="0" w:space="0" w:color="auto"/>
      </w:divBdr>
    </w:div>
    <w:div w:id="1845509154">
      <w:bodyDiv w:val="1"/>
      <w:marLeft w:val="0"/>
      <w:marRight w:val="0"/>
      <w:marTop w:val="0"/>
      <w:marBottom w:val="0"/>
      <w:divBdr>
        <w:top w:val="none" w:sz="0" w:space="0" w:color="auto"/>
        <w:left w:val="none" w:sz="0" w:space="0" w:color="auto"/>
        <w:bottom w:val="none" w:sz="0" w:space="0" w:color="auto"/>
        <w:right w:val="none" w:sz="0" w:space="0" w:color="auto"/>
      </w:divBdr>
    </w:div>
    <w:div w:id="1860309272">
      <w:bodyDiv w:val="1"/>
      <w:marLeft w:val="0"/>
      <w:marRight w:val="0"/>
      <w:marTop w:val="0"/>
      <w:marBottom w:val="0"/>
      <w:divBdr>
        <w:top w:val="none" w:sz="0" w:space="0" w:color="auto"/>
        <w:left w:val="none" w:sz="0" w:space="0" w:color="auto"/>
        <w:bottom w:val="none" w:sz="0" w:space="0" w:color="auto"/>
        <w:right w:val="none" w:sz="0" w:space="0" w:color="auto"/>
      </w:divBdr>
    </w:div>
    <w:div w:id="1864588773">
      <w:bodyDiv w:val="1"/>
      <w:marLeft w:val="0"/>
      <w:marRight w:val="0"/>
      <w:marTop w:val="0"/>
      <w:marBottom w:val="0"/>
      <w:divBdr>
        <w:top w:val="none" w:sz="0" w:space="0" w:color="auto"/>
        <w:left w:val="none" w:sz="0" w:space="0" w:color="auto"/>
        <w:bottom w:val="none" w:sz="0" w:space="0" w:color="auto"/>
        <w:right w:val="none" w:sz="0" w:space="0" w:color="auto"/>
      </w:divBdr>
    </w:div>
    <w:div w:id="1870875001">
      <w:bodyDiv w:val="1"/>
      <w:marLeft w:val="0"/>
      <w:marRight w:val="0"/>
      <w:marTop w:val="0"/>
      <w:marBottom w:val="0"/>
      <w:divBdr>
        <w:top w:val="none" w:sz="0" w:space="0" w:color="auto"/>
        <w:left w:val="none" w:sz="0" w:space="0" w:color="auto"/>
        <w:bottom w:val="none" w:sz="0" w:space="0" w:color="auto"/>
        <w:right w:val="none" w:sz="0" w:space="0" w:color="auto"/>
      </w:divBdr>
    </w:div>
    <w:div w:id="1875380366">
      <w:bodyDiv w:val="1"/>
      <w:marLeft w:val="0"/>
      <w:marRight w:val="0"/>
      <w:marTop w:val="0"/>
      <w:marBottom w:val="0"/>
      <w:divBdr>
        <w:top w:val="none" w:sz="0" w:space="0" w:color="auto"/>
        <w:left w:val="none" w:sz="0" w:space="0" w:color="auto"/>
        <w:bottom w:val="none" w:sz="0" w:space="0" w:color="auto"/>
        <w:right w:val="none" w:sz="0" w:space="0" w:color="auto"/>
      </w:divBdr>
    </w:div>
    <w:div w:id="1885869363">
      <w:bodyDiv w:val="1"/>
      <w:marLeft w:val="0"/>
      <w:marRight w:val="0"/>
      <w:marTop w:val="0"/>
      <w:marBottom w:val="0"/>
      <w:divBdr>
        <w:top w:val="none" w:sz="0" w:space="0" w:color="auto"/>
        <w:left w:val="none" w:sz="0" w:space="0" w:color="auto"/>
        <w:bottom w:val="none" w:sz="0" w:space="0" w:color="auto"/>
        <w:right w:val="none" w:sz="0" w:space="0" w:color="auto"/>
      </w:divBdr>
    </w:div>
    <w:div w:id="1899247447">
      <w:bodyDiv w:val="1"/>
      <w:marLeft w:val="0"/>
      <w:marRight w:val="0"/>
      <w:marTop w:val="0"/>
      <w:marBottom w:val="0"/>
      <w:divBdr>
        <w:top w:val="none" w:sz="0" w:space="0" w:color="auto"/>
        <w:left w:val="none" w:sz="0" w:space="0" w:color="auto"/>
        <w:bottom w:val="none" w:sz="0" w:space="0" w:color="auto"/>
        <w:right w:val="none" w:sz="0" w:space="0" w:color="auto"/>
      </w:divBdr>
    </w:div>
    <w:div w:id="1971663466">
      <w:bodyDiv w:val="1"/>
      <w:marLeft w:val="0"/>
      <w:marRight w:val="0"/>
      <w:marTop w:val="0"/>
      <w:marBottom w:val="0"/>
      <w:divBdr>
        <w:top w:val="none" w:sz="0" w:space="0" w:color="auto"/>
        <w:left w:val="none" w:sz="0" w:space="0" w:color="auto"/>
        <w:bottom w:val="none" w:sz="0" w:space="0" w:color="auto"/>
        <w:right w:val="none" w:sz="0" w:space="0" w:color="auto"/>
      </w:divBdr>
    </w:div>
    <w:div w:id="1973170738">
      <w:bodyDiv w:val="1"/>
      <w:marLeft w:val="0"/>
      <w:marRight w:val="0"/>
      <w:marTop w:val="0"/>
      <w:marBottom w:val="0"/>
      <w:divBdr>
        <w:top w:val="none" w:sz="0" w:space="0" w:color="auto"/>
        <w:left w:val="none" w:sz="0" w:space="0" w:color="auto"/>
        <w:bottom w:val="none" w:sz="0" w:space="0" w:color="auto"/>
        <w:right w:val="none" w:sz="0" w:space="0" w:color="auto"/>
      </w:divBdr>
    </w:div>
    <w:div w:id="2028633017">
      <w:bodyDiv w:val="1"/>
      <w:marLeft w:val="0"/>
      <w:marRight w:val="0"/>
      <w:marTop w:val="0"/>
      <w:marBottom w:val="0"/>
      <w:divBdr>
        <w:top w:val="none" w:sz="0" w:space="0" w:color="auto"/>
        <w:left w:val="none" w:sz="0" w:space="0" w:color="auto"/>
        <w:bottom w:val="none" w:sz="0" w:space="0" w:color="auto"/>
        <w:right w:val="none" w:sz="0" w:space="0" w:color="auto"/>
      </w:divBdr>
      <w:divsChild>
        <w:div w:id="155145478">
          <w:marLeft w:val="0"/>
          <w:marRight w:val="0"/>
          <w:marTop w:val="0"/>
          <w:marBottom w:val="0"/>
          <w:divBdr>
            <w:top w:val="none" w:sz="0" w:space="0" w:color="auto"/>
            <w:left w:val="none" w:sz="0" w:space="0" w:color="auto"/>
            <w:bottom w:val="none" w:sz="0" w:space="0" w:color="auto"/>
            <w:right w:val="none" w:sz="0" w:space="0" w:color="auto"/>
          </w:divBdr>
          <w:divsChild>
            <w:div w:id="17527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682">
      <w:bodyDiv w:val="1"/>
      <w:marLeft w:val="0"/>
      <w:marRight w:val="0"/>
      <w:marTop w:val="0"/>
      <w:marBottom w:val="0"/>
      <w:divBdr>
        <w:top w:val="none" w:sz="0" w:space="0" w:color="auto"/>
        <w:left w:val="none" w:sz="0" w:space="0" w:color="auto"/>
        <w:bottom w:val="none" w:sz="0" w:space="0" w:color="auto"/>
        <w:right w:val="none" w:sz="0" w:space="0" w:color="auto"/>
      </w:divBdr>
    </w:div>
    <w:div w:id="2059470972">
      <w:bodyDiv w:val="1"/>
      <w:marLeft w:val="0"/>
      <w:marRight w:val="0"/>
      <w:marTop w:val="0"/>
      <w:marBottom w:val="0"/>
      <w:divBdr>
        <w:top w:val="none" w:sz="0" w:space="0" w:color="auto"/>
        <w:left w:val="none" w:sz="0" w:space="0" w:color="auto"/>
        <w:bottom w:val="none" w:sz="0" w:space="0" w:color="auto"/>
        <w:right w:val="none" w:sz="0" w:space="0" w:color="auto"/>
      </w:divBdr>
    </w:div>
    <w:div w:id="2108959062">
      <w:bodyDiv w:val="1"/>
      <w:marLeft w:val="0"/>
      <w:marRight w:val="0"/>
      <w:marTop w:val="0"/>
      <w:marBottom w:val="0"/>
      <w:divBdr>
        <w:top w:val="none" w:sz="0" w:space="0" w:color="auto"/>
        <w:left w:val="none" w:sz="0" w:space="0" w:color="auto"/>
        <w:bottom w:val="none" w:sz="0" w:space="0" w:color="auto"/>
        <w:right w:val="none" w:sz="0" w:space="0" w:color="auto"/>
      </w:divBdr>
      <w:divsChild>
        <w:div w:id="1942372703">
          <w:marLeft w:val="0"/>
          <w:marRight w:val="0"/>
          <w:marTop w:val="0"/>
          <w:marBottom w:val="0"/>
          <w:divBdr>
            <w:top w:val="none" w:sz="0" w:space="0" w:color="auto"/>
            <w:left w:val="none" w:sz="0" w:space="0" w:color="auto"/>
            <w:bottom w:val="none" w:sz="0" w:space="0" w:color="auto"/>
            <w:right w:val="none" w:sz="0" w:space="0" w:color="auto"/>
          </w:divBdr>
        </w:div>
        <w:div w:id="1991981760">
          <w:marLeft w:val="0"/>
          <w:marRight w:val="0"/>
          <w:marTop w:val="0"/>
          <w:marBottom w:val="300"/>
          <w:divBdr>
            <w:top w:val="none" w:sz="0" w:space="0" w:color="auto"/>
            <w:left w:val="none" w:sz="0" w:space="0" w:color="auto"/>
            <w:bottom w:val="none" w:sz="0" w:space="0" w:color="auto"/>
            <w:right w:val="none" w:sz="0" w:space="0" w:color="auto"/>
          </w:divBdr>
          <w:divsChild>
            <w:div w:id="1777601076">
              <w:marLeft w:val="0"/>
              <w:marRight w:val="0"/>
              <w:marTop w:val="240"/>
              <w:marBottom w:val="240"/>
              <w:divBdr>
                <w:top w:val="none" w:sz="0" w:space="0" w:color="auto"/>
                <w:left w:val="none" w:sz="0" w:space="0" w:color="auto"/>
                <w:bottom w:val="single" w:sz="6" w:space="6" w:color="CCC1B7"/>
                <w:right w:val="none" w:sz="0" w:space="0" w:color="auto"/>
              </w:divBdr>
              <w:divsChild>
                <w:div w:id="19735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mckinsey.com/industries/financial-services/our-insights/a-decade-after-the-global-financial-crisis-what-has-and-hasnt-changed" TargetMode="External"/><Relationship Id="rId3" Type="http://schemas.openxmlformats.org/officeDocument/2006/relationships/styles" Target="styles.xml"/><Relationship Id="rId21" Type="http://schemas.openxmlformats.org/officeDocument/2006/relationships/hyperlink" Target="https://de.statista.com/statistik/daten/studie/242867/umfrage/provisionsertraege-der-banken-in-deutschlan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theguardian.com/business/2019/apr/07/monzo-digital-bank-could-double-value-to-2bn-with-new-us-stak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db.com/newsroom_news/2018/deutsche-bank-reports-first-full-year-net-profit-since-2014-and-delivers-on-2018-targets-en-11787.htm" TargetMode="External"/><Relationship Id="rId29" Type="http://schemas.openxmlformats.org/officeDocument/2006/relationships/hyperlink" Target="http://www.peneconomics.com/blog/2016/2/6/what-is-a-just-pr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simple.com/blog/how-do-banks-wor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wsj.com/articles/facebook-unveils-crypto-wallet-based-on-currency-libra-11560850141" TargetMode="External"/><Relationship Id="rId28" Type="http://schemas.openxmlformats.org/officeDocument/2006/relationships/hyperlink" Target="https://www.businessinsider.de/paypal-could-be-a-threat-to-major-banks-2016-6?r=US&amp;IR=T" TargetMode="Externa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hyperlink" Target="https://www.handelsblatt.com/finanzen/banken-versicherungen/studie-zu-retailbanken-sparkassen-verdienen-mit-gebuehrenerhoehungen-so-viel-wie-nie/21021350.html?ticket=ST-2555057-C4f7aDh7o4EzVTXkELGM-ap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nzz.ch/finanzen/hohe-kosten-von-konten-und-karten-ld.1327689" TargetMode="External"/><Relationship Id="rId27" Type="http://schemas.openxmlformats.org/officeDocument/2006/relationships/hyperlink" Target="https://www.ft.com/content/a54940b2-f1a1-11e8-ae55-df4bf40f9d0d" TargetMode="External"/><Relationship Id="rId30" Type="http://schemas.openxmlformats.org/officeDocument/2006/relationships/hyperlink" Target="https://www.strategyand.pwc.com/de/pressemitteilungen/getting-the-balance-right-de"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41F46-8B79-294E-A332-0C69B230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9275</Words>
  <Characters>58435</Characters>
  <Application>Microsoft Office Word</Application>
  <DocSecurity>0</DocSecurity>
  <Lines>486</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 John Henry</dc:creator>
  <cp:keywords/>
  <dc:description/>
  <cp:lastModifiedBy>Westphal John Henry</cp:lastModifiedBy>
  <cp:revision>10</cp:revision>
  <cp:lastPrinted>2019-06-19T20:50:00Z</cp:lastPrinted>
  <dcterms:created xsi:type="dcterms:W3CDTF">2019-06-19T20:50:00Z</dcterms:created>
  <dcterms:modified xsi:type="dcterms:W3CDTF">2019-06-19T21:05:00Z</dcterms:modified>
</cp:coreProperties>
</file>